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21E5">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jc w:val="center"/>
        <w:textAlignment w:val="auto"/>
        <w:outlineLvl w:val="9"/>
        <w:rPr>
          <w:rFonts w:hint="eastAsia" w:ascii="宋体" w:hAnsi="宋体" w:cs="宋体"/>
          <w:color w:val="auto"/>
          <w:sz w:val="21"/>
          <w:szCs w:val="21"/>
          <w:u w:val="none"/>
          <w:lang w:eastAsia="zh-CN"/>
        </w:rPr>
      </w:pPr>
    </w:p>
    <w:p w14:paraId="5407A029">
      <w:pPr>
        <w:keepNext w:val="0"/>
        <w:keepLines w:val="0"/>
        <w:pageBreakBefore w:val="0"/>
        <w:widowControl w:val="0"/>
        <w:kinsoku/>
        <w:wordWrap w:val="0"/>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宋体" w:hAnsi="宋体" w:eastAsia="宋体" w:cs="宋体"/>
          <w:color w:val="auto"/>
          <w:sz w:val="21"/>
          <w:szCs w:val="21"/>
          <w:u w:val="none"/>
          <w:lang w:eastAsia="zh-CN"/>
        </w:rPr>
      </w:pPr>
    </w:p>
    <w:p w14:paraId="774E6B4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eastAsia="黑体"/>
          <w:color w:val="auto"/>
          <w:sz w:val="28"/>
          <w:szCs w:val="28"/>
          <w:u w:val="single"/>
        </w:rPr>
      </w:pPr>
    </w:p>
    <w:p w14:paraId="33766D9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eastAsia="楷体_GB2312"/>
          <w:b/>
          <w:bCs w:val="0"/>
          <w:color w:val="auto"/>
          <w:sz w:val="44"/>
          <w:szCs w:val="44"/>
          <w:u w:val="none"/>
        </w:rPr>
      </w:pPr>
      <w:r>
        <w:rPr>
          <w:rFonts w:hint="eastAsia" w:eastAsia="楷体_GB2312"/>
          <w:b/>
          <w:bCs w:val="0"/>
          <w:color w:val="auto"/>
          <w:sz w:val="44"/>
          <w:szCs w:val="44"/>
          <w:u w:val="single"/>
        </w:rPr>
        <w:t>河北女子职业技术学院辛集校区建设工程</w:t>
      </w:r>
    </w:p>
    <w:p w14:paraId="7389A02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eastAsia="楷体_GB2312"/>
          <w:b/>
          <w:color w:val="auto"/>
          <w:sz w:val="44"/>
          <w:szCs w:val="44"/>
        </w:rPr>
      </w:pPr>
      <w:r>
        <w:rPr>
          <w:rFonts w:eastAsia="楷体_GB2312"/>
          <w:b/>
          <w:bCs w:val="0"/>
          <w:color w:val="auto"/>
          <w:sz w:val="44"/>
          <w:szCs w:val="44"/>
          <w:u w:val="none"/>
        </w:rPr>
        <w:t>工程</w:t>
      </w:r>
      <w:r>
        <w:rPr>
          <w:rFonts w:eastAsia="楷体_GB2312"/>
          <w:b/>
          <w:color w:val="auto"/>
          <w:sz w:val="44"/>
          <w:szCs w:val="44"/>
        </w:rPr>
        <w:t>总承包</w:t>
      </w:r>
    </w:p>
    <w:p w14:paraId="05615E04">
      <w:pPr>
        <w:pageBreakBefore w:val="0"/>
        <w:kinsoku/>
        <w:wordWrap w:val="0"/>
        <w:overflowPunct/>
        <w:bidi w:val="0"/>
        <w:ind w:left="0" w:leftChars="0" w:firstLine="0" w:firstLineChars="0"/>
        <w:jc w:val="center"/>
        <w:rPr>
          <w:color w:val="auto"/>
          <w:sz w:val="28"/>
          <w:szCs w:val="28"/>
        </w:rPr>
      </w:pPr>
    </w:p>
    <w:p w14:paraId="400A632A">
      <w:pPr>
        <w:pageBreakBefore w:val="0"/>
        <w:kinsoku/>
        <w:wordWrap w:val="0"/>
        <w:overflowPunct/>
        <w:bidi w:val="0"/>
        <w:ind w:left="0" w:leftChars="0" w:firstLine="0" w:firstLineChars="0"/>
        <w:jc w:val="center"/>
        <w:rPr>
          <w:color w:val="auto"/>
          <w:sz w:val="28"/>
          <w:szCs w:val="28"/>
        </w:rPr>
      </w:pPr>
    </w:p>
    <w:p w14:paraId="6906541B">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eastAsia="楷体_GB2312"/>
          <w:bCs/>
          <w:color w:val="auto"/>
          <w:sz w:val="84"/>
        </w:rPr>
      </w:pPr>
      <w:r>
        <w:rPr>
          <w:rFonts w:eastAsia="楷体_GB2312"/>
          <w:bCs/>
          <w:color w:val="auto"/>
          <w:sz w:val="84"/>
        </w:rPr>
        <w:t>招 标 文 件</w:t>
      </w:r>
    </w:p>
    <w:p w14:paraId="21662667">
      <w:pPr>
        <w:pageBreakBefore w:val="0"/>
        <w:kinsoku/>
        <w:wordWrap w:val="0"/>
        <w:overflowPunct/>
        <w:bidi w:val="0"/>
        <w:ind w:left="0" w:leftChars="0" w:firstLine="0" w:firstLineChars="0"/>
        <w:jc w:val="center"/>
        <w:rPr>
          <w:rFonts w:cs="Times New Roman"/>
          <w:color w:val="auto"/>
          <w:sz w:val="28"/>
          <w:szCs w:val="28"/>
        </w:rPr>
      </w:pPr>
    </w:p>
    <w:p w14:paraId="1B921B74">
      <w:pPr>
        <w:pageBreakBefore w:val="0"/>
        <w:kinsoku/>
        <w:wordWrap w:val="0"/>
        <w:overflowPunct/>
        <w:bidi w:val="0"/>
        <w:ind w:left="0" w:leftChars="0" w:firstLine="0" w:firstLineChars="0"/>
        <w:jc w:val="center"/>
        <w:rPr>
          <w:rFonts w:cs="Times New Roman"/>
          <w:color w:val="auto"/>
          <w:sz w:val="28"/>
          <w:szCs w:val="28"/>
        </w:rPr>
      </w:pPr>
    </w:p>
    <w:p w14:paraId="797CFE90">
      <w:pPr>
        <w:pageBreakBefore w:val="0"/>
        <w:kinsoku/>
        <w:wordWrap w:val="0"/>
        <w:overflowPunct/>
        <w:bidi w:val="0"/>
        <w:ind w:left="0" w:leftChars="0" w:firstLine="0" w:firstLineChars="0"/>
        <w:jc w:val="center"/>
        <w:rPr>
          <w:rFonts w:cs="Times New Roman"/>
          <w:color w:val="auto"/>
          <w:sz w:val="28"/>
          <w:szCs w:val="28"/>
        </w:rPr>
      </w:pPr>
    </w:p>
    <w:p w14:paraId="1CD156B4">
      <w:pPr>
        <w:pageBreakBefore w:val="0"/>
        <w:kinsoku/>
        <w:wordWrap w:val="0"/>
        <w:overflowPunct/>
        <w:bidi w:val="0"/>
        <w:ind w:left="0" w:leftChars="0" w:firstLine="0" w:firstLineChars="0"/>
        <w:jc w:val="center"/>
        <w:rPr>
          <w:rFonts w:cs="Times New Roman"/>
          <w:color w:val="auto"/>
          <w:sz w:val="28"/>
          <w:szCs w:val="28"/>
        </w:rPr>
      </w:pPr>
    </w:p>
    <w:p w14:paraId="4C3E4574">
      <w:pPr>
        <w:pageBreakBefore w:val="0"/>
        <w:kinsoku/>
        <w:wordWrap w:val="0"/>
        <w:overflowPunct/>
        <w:bidi w:val="0"/>
        <w:ind w:left="0" w:leftChars="0" w:firstLine="0" w:firstLineChars="0"/>
        <w:jc w:val="center"/>
        <w:rPr>
          <w:rFonts w:cs="Times New Roman"/>
          <w:color w:val="auto"/>
          <w:sz w:val="28"/>
          <w:szCs w:val="28"/>
        </w:rPr>
      </w:pPr>
    </w:p>
    <w:p w14:paraId="6C16BBC2">
      <w:pPr>
        <w:pageBreakBefore w:val="0"/>
        <w:kinsoku/>
        <w:wordWrap w:val="0"/>
        <w:overflowPunct/>
        <w:bidi w:val="0"/>
        <w:ind w:left="0" w:leftChars="0" w:firstLine="0" w:firstLineChars="0"/>
        <w:jc w:val="center"/>
        <w:rPr>
          <w:rFonts w:cs="Times New Roman"/>
          <w:color w:val="auto"/>
          <w:sz w:val="28"/>
          <w:szCs w:val="28"/>
        </w:rPr>
      </w:pPr>
    </w:p>
    <w:p w14:paraId="5E2B4370">
      <w:pPr>
        <w:pageBreakBefore w:val="0"/>
        <w:kinsoku/>
        <w:wordWrap w:val="0"/>
        <w:overflowPunct/>
        <w:bidi w:val="0"/>
        <w:ind w:left="0" w:leftChars="0" w:firstLine="0" w:firstLineChars="0"/>
        <w:jc w:val="center"/>
        <w:rPr>
          <w:rFonts w:cs="Times New Roman"/>
          <w:color w:val="auto"/>
          <w:sz w:val="28"/>
          <w:szCs w:val="28"/>
        </w:rPr>
      </w:pPr>
    </w:p>
    <w:p w14:paraId="548CCA60">
      <w:pPr>
        <w:pageBreakBefore w:val="0"/>
        <w:kinsoku/>
        <w:wordWrap w:val="0"/>
        <w:overflowPunct/>
        <w:bidi w:val="0"/>
        <w:ind w:left="0" w:leftChars="0" w:firstLine="0" w:firstLineChars="0"/>
        <w:jc w:val="center"/>
        <w:rPr>
          <w:rFonts w:cs="Times New Roman"/>
          <w:color w:val="auto"/>
          <w:sz w:val="28"/>
          <w:szCs w:val="28"/>
        </w:rPr>
      </w:pPr>
    </w:p>
    <w:p w14:paraId="46BF558E">
      <w:pPr>
        <w:pageBreakBefore w:val="0"/>
        <w:kinsoku/>
        <w:wordWrap w:val="0"/>
        <w:overflowPunct/>
        <w:bidi w:val="0"/>
        <w:ind w:left="0" w:leftChars="0" w:firstLine="0" w:firstLineChars="0"/>
        <w:jc w:val="center"/>
        <w:rPr>
          <w:rFonts w:cs="Times New Roman"/>
          <w:color w:val="auto"/>
          <w:sz w:val="28"/>
          <w:szCs w:val="28"/>
        </w:rPr>
      </w:pPr>
    </w:p>
    <w:p w14:paraId="683688D6">
      <w:pPr>
        <w:pageBreakBefore w:val="0"/>
        <w:kinsoku/>
        <w:wordWrap w:val="0"/>
        <w:overflowPunct/>
        <w:bidi w:val="0"/>
        <w:adjustRightInd w:val="0"/>
        <w:snapToGrid w:val="0"/>
        <w:spacing w:line="640" w:lineRule="exact"/>
        <w:ind w:left="0" w:leftChars="0" w:firstLine="1680" w:firstLineChars="600"/>
        <w:jc w:val="both"/>
        <w:rPr>
          <w:rFonts w:hint="default" w:eastAsia="楷体"/>
          <w:bCs/>
          <w:color w:val="auto"/>
          <w:sz w:val="28"/>
          <w:lang w:val="en-US" w:eastAsia="zh-CN"/>
        </w:rPr>
      </w:pPr>
      <w:r>
        <w:rPr>
          <w:rFonts w:hint="eastAsia" w:eastAsia="楷体"/>
          <w:bCs/>
          <w:color w:val="auto"/>
          <w:sz w:val="28"/>
          <w:lang w:eastAsia="zh-CN"/>
        </w:rPr>
        <w:t>招标</w:t>
      </w:r>
      <w:r>
        <w:rPr>
          <w:rFonts w:eastAsia="楷体"/>
          <w:bCs/>
          <w:color w:val="auto"/>
          <w:sz w:val="28"/>
        </w:rPr>
        <w:t>编码：</w:t>
      </w:r>
      <w:r>
        <w:rPr>
          <w:rFonts w:hint="eastAsia" w:eastAsia="楷体"/>
          <w:bCs/>
          <w:color w:val="auto"/>
          <w:sz w:val="28"/>
          <w:u w:val="single"/>
          <w:lang w:val="en-US" w:eastAsia="zh-CN"/>
        </w:rPr>
        <w:t>*****</w:t>
      </w:r>
    </w:p>
    <w:p w14:paraId="545ACFC8">
      <w:pPr>
        <w:pageBreakBefore w:val="0"/>
        <w:kinsoku/>
        <w:wordWrap w:val="0"/>
        <w:overflowPunct/>
        <w:bidi w:val="0"/>
        <w:adjustRightInd w:val="0"/>
        <w:snapToGrid w:val="0"/>
        <w:spacing w:line="640" w:lineRule="exact"/>
        <w:ind w:left="0" w:leftChars="0" w:firstLine="1680" w:firstLineChars="600"/>
        <w:jc w:val="both"/>
        <w:rPr>
          <w:rFonts w:hint="eastAsia" w:eastAsia="楷体"/>
          <w:bCs/>
          <w:color w:val="auto"/>
          <w:sz w:val="28"/>
          <w:u w:val="single"/>
          <w:lang w:val="en-US" w:eastAsia="zh-CN"/>
        </w:rPr>
      </w:pPr>
      <w:r>
        <w:rPr>
          <w:rFonts w:hint="eastAsia" w:eastAsia="楷体"/>
          <w:bCs/>
          <w:color w:val="auto"/>
          <w:sz w:val="28"/>
          <w:highlight w:val="none"/>
          <w:lang w:eastAsia="zh-CN"/>
        </w:rPr>
        <w:t>工程</w:t>
      </w:r>
      <w:r>
        <w:rPr>
          <w:rFonts w:eastAsia="楷体"/>
          <w:bCs/>
          <w:color w:val="auto"/>
          <w:sz w:val="28"/>
        </w:rPr>
        <w:t>名称：</w:t>
      </w:r>
      <w:r>
        <w:rPr>
          <w:rFonts w:hint="eastAsia" w:ascii="Times New Roman" w:hAnsi="Times New Roman" w:eastAsia="楷体" w:cs="Times New Roman"/>
          <w:bCs/>
          <w:color w:val="auto"/>
          <w:sz w:val="28"/>
          <w:u w:val="single"/>
        </w:rPr>
        <w:t>河北女子职业技术学院辛集校区建设工程</w:t>
      </w:r>
    </w:p>
    <w:p w14:paraId="6C633101">
      <w:pPr>
        <w:pageBreakBefore w:val="0"/>
        <w:kinsoku/>
        <w:wordWrap w:val="0"/>
        <w:overflowPunct/>
        <w:bidi w:val="0"/>
        <w:adjustRightInd w:val="0"/>
        <w:snapToGrid w:val="0"/>
        <w:spacing w:line="640" w:lineRule="exact"/>
        <w:ind w:left="0" w:leftChars="0" w:firstLine="1680" w:firstLineChars="600"/>
        <w:jc w:val="both"/>
        <w:rPr>
          <w:rFonts w:eastAsia="楷体"/>
          <w:bCs/>
          <w:color w:val="auto"/>
          <w:sz w:val="28"/>
          <w:u w:val="single"/>
        </w:rPr>
      </w:pPr>
      <w:r>
        <w:rPr>
          <w:rFonts w:eastAsia="楷体"/>
          <w:bCs/>
          <w:color w:val="auto"/>
          <w:sz w:val="28"/>
        </w:rPr>
        <w:t>招 标 人：</w:t>
      </w:r>
      <w:r>
        <w:rPr>
          <w:rFonts w:hint="eastAsia" w:eastAsia="楷体"/>
          <w:bCs/>
          <w:color w:val="auto"/>
          <w:sz w:val="28"/>
          <w:u w:val="single"/>
        </w:rPr>
        <w:t>河北女子职业技术学院</w:t>
      </w:r>
      <w:r>
        <w:rPr>
          <w:rFonts w:eastAsia="楷体"/>
          <w:bCs/>
          <w:color w:val="auto"/>
          <w:sz w:val="28"/>
          <w:u w:val="single"/>
        </w:rPr>
        <w:t>（盖章）</w:t>
      </w:r>
    </w:p>
    <w:p w14:paraId="05A1C6FE">
      <w:pPr>
        <w:pageBreakBefore w:val="0"/>
        <w:kinsoku/>
        <w:wordWrap w:val="0"/>
        <w:overflowPunct/>
        <w:bidi w:val="0"/>
        <w:adjustRightInd w:val="0"/>
        <w:snapToGrid w:val="0"/>
        <w:spacing w:line="640" w:lineRule="exact"/>
        <w:ind w:left="0" w:leftChars="0" w:firstLine="1680" w:firstLineChars="600"/>
        <w:jc w:val="both"/>
        <w:rPr>
          <w:rFonts w:eastAsia="楷体"/>
          <w:bCs/>
          <w:color w:val="auto"/>
          <w:sz w:val="28"/>
          <w:u w:val="single"/>
        </w:rPr>
      </w:pPr>
      <w:r>
        <w:rPr>
          <w:rFonts w:eastAsia="楷体"/>
          <w:bCs/>
          <w:color w:val="auto"/>
          <w:sz w:val="28"/>
        </w:rPr>
        <w:t>法定代表人或其委托代理人：</w:t>
      </w:r>
      <w:r>
        <w:rPr>
          <w:rFonts w:eastAsia="楷体"/>
          <w:bCs/>
          <w:color w:val="auto"/>
          <w:sz w:val="28"/>
          <w:u w:val="single"/>
        </w:rPr>
        <w:t xml:space="preserve">  </w:t>
      </w:r>
      <w:r>
        <w:rPr>
          <w:rFonts w:hint="eastAsia" w:eastAsia="楷体"/>
          <w:bCs/>
          <w:color w:val="auto"/>
          <w:sz w:val="28"/>
          <w:u w:val="single"/>
          <w:lang w:val="en-US" w:eastAsia="zh-CN"/>
        </w:rPr>
        <w:t xml:space="preserve"> </w:t>
      </w:r>
      <w:r>
        <w:rPr>
          <w:rFonts w:eastAsia="楷体"/>
          <w:bCs/>
          <w:color w:val="auto"/>
          <w:sz w:val="28"/>
          <w:u w:val="single"/>
        </w:rPr>
        <w:t xml:space="preserve">   </w:t>
      </w:r>
      <w:r>
        <w:rPr>
          <w:rFonts w:hint="eastAsia" w:eastAsia="楷体"/>
          <w:bCs/>
          <w:color w:val="auto"/>
          <w:sz w:val="28"/>
          <w:u w:val="single"/>
          <w:lang w:val="en-US" w:eastAsia="zh-CN"/>
        </w:rPr>
        <w:t xml:space="preserve">    </w:t>
      </w:r>
      <w:r>
        <w:rPr>
          <w:rFonts w:eastAsia="楷体"/>
          <w:bCs/>
          <w:color w:val="auto"/>
          <w:sz w:val="28"/>
          <w:u w:val="single"/>
        </w:rPr>
        <w:t>（签字或盖章）</w:t>
      </w:r>
    </w:p>
    <w:p w14:paraId="4D18E810">
      <w:pPr>
        <w:pageBreakBefore w:val="0"/>
        <w:kinsoku/>
        <w:wordWrap w:val="0"/>
        <w:overflowPunct/>
        <w:bidi w:val="0"/>
        <w:adjustRightInd w:val="0"/>
        <w:snapToGrid w:val="0"/>
        <w:spacing w:line="640" w:lineRule="exact"/>
        <w:ind w:left="0" w:leftChars="0" w:firstLine="1680" w:firstLineChars="600"/>
        <w:jc w:val="both"/>
        <w:rPr>
          <w:rFonts w:eastAsia="楷体"/>
          <w:bCs/>
          <w:color w:val="auto"/>
          <w:sz w:val="28"/>
          <w:u w:val="single"/>
        </w:rPr>
      </w:pPr>
      <w:r>
        <w:rPr>
          <w:rFonts w:eastAsia="楷体"/>
          <w:bCs/>
          <w:color w:val="auto"/>
          <w:sz w:val="28"/>
        </w:rPr>
        <w:t>招标代理机构：</w:t>
      </w:r>
      <w:r>
        <w:rPr>
          <w:rFonts w:hint="eastAsia" w:eastAsia="楷体"/>
          <w:bCs/>
          <w:color w:val="auto"/>
          <w:sz w:val="28"/>
          <w:u w:val="single"/>
          <w:lang w:val="en-US" w:eastAsia="zh-CN"/>
        </w:rPr>
        <w:t xml:space="preserve">                      </w:t>
      </w:r>
      <w:r>
        <w:rPr>
          <w:rFonts w:eastAsia="楷体"/>
          <w:bCs/>
          <w:color w:val="auto"/>
          <w:sz w:val="28"/>
          <w:u w:val="single"/>
        </w:rPr>
        <w:t>（盖章）</w:t>
      </w:r>
    </w:p>
    <w:p w14:paraId="437E29B4">
      <w:pPr>
        <w:pageBreakBefore w:val="0"/>
        <w:kinsoku/>
        <w:wordWrap w:val="0"/>
        <w:overflowPunct/>
        <w:bidi w:val="0"/>
        <w:adjustRightInd w:val="0"/>
        <w:snapToGrid w:val="0"/>
        <w:spacing w:line="640" w:lineRule="exact"/>
        <w:ind w:left="0" w:leftChars="0" w:firstLine="1680" w:firstLineChars="600"/>
        <w:jc w:val="both"/>
        <w:rPr>
          <w:rFonts w:eastAsia="楷体"/>
          <w:bCs/>
          <w:color w:val="auto"/>
          <w:sz w:val="28"/>
          <w:u w:val="single"/>
        </w:rPr>
      </w:pPr>
      <w:r>
        <w:rPr>
          <w:rFonts w:eastAsia="楷体"/>
          <w:bCs/>
          <w:color w:val="auto"/>
          <w:sz w:val="28"/>
        </w:rPr>
        <w:t>法定代表人或其委托代理人：</w:t>
      </w:r>
      <w:r>
        <w:rPr>
          <w:rFonts w:eastAsia="楷体"/>
          <w:bCs/>
          <w:color w:val="auto"/>
          <w:sz w:val="28"/>
          <w:u w:val="single"/>
        </w:rPr>
        <w:t xml:space="preserve">  </w:t>
      </w:r>
      <w:r>
        <w:rPr>
          <w:rFonts w:hint="eastAsia" w:eastAsia="楷体"/>
          <w:bCs/>
          <w:color w:val="auto"/>
          <w:sz w:val="28"/>
          <w:u w:val="single"/>
          <w:lang w:val="en-US" w:eastAsia="zh-CN"/>
        </w:rPr>
        <w:t xml:space="preserve"> </w:t>
      </w:r>
      <w:r>
        <w:rPr>
          <w:rFonts w:eastAsia="楷体"/>
          <w:bCs/>
          <w:color w:val="auto"/>
          <w:sz w:val="28"/>
          <w:u w:val="single"/>
        </w:rPr>
        <w:t xml:space="preserve">   </w:t>
      </w:r>
      <w:r>
        <w:rPr>
          <w:rFonts w:hint="eastAsia" w:eastAsia="楷体"/>
          <w:bCs/>
          <w:color w:val="auto"/>
          <w:sz w:val="28"/>
          <w:u w:val="single"/>
          <w:lang w:val="en-US" w:eastAsia="zh-CN"/>
        </w:rPr>
        <w:t xml:space="preserve">    </w:t>
      </w:r>
      <w:r>
        <w:rPr>
          <w:rFonts w:eastAsia="楷体"/>
          <w:bCs/>
          <w:color w:val="auto"/>
          <w:sz w:val="28"/>
          <w:u w:val="single"/>
        </w:rPr>
        <w:t>（签字或盖章）</w:t>
      </w:r>
    </w:p>
    <w:p w14:paraId="5CE11011">
      <w:pPr>
        <w:pageBreakBefore w:val="0"/>
        <w:kinsoku/>
        <w:wordWrap w:val="0"/>
        <w:overflowPunct/>
        <w:bidi w:val="0"/>
        <w:adjustRightInd w:val="0"/>
        <w:snapToGrid w:val="0"/>
        <w:spacing w:line="640" w:lineRule="exact"/>
        <w:ind w:left="0" w:leftChars="0" w:firstLine="0" w:firstLineChars="0"/>
        <w:jc w:val="center"/>
        <w:rPr>
          <w:rFonts w:hint="eastAsia" w:eastAsia="楷体"/>
          <w:bCs/>
          <w:color w:val="auto"/>
          <w:sz w:val="28"/>
          <w:u w:val="single"/>
          <w:lang w:eastAsia="zh-CN"/>
        </w:rPr>
      </w:pPr>
      <w:r>
        <w:rPr>
          <w:rFonts w:eastAsia="楷体"/>
          <w:bCs/>
          <w:color w:val="auto"/>
          <w:sz w:val="28"/>
        </w:rPr>
        <w:t>编制时间：</w:t>
      </w:r>
      <w:r>
        <w:rPr>
          <w:rFonts w:hint="eastAsia" w:eastAsia="楷体"/>
          <w:bCs/>
          <w:color w:val="auto"/>
          <w:sz w:val="28"/>
          <w:u w:val="single"/>
          <w:lang w:val="en-US" w:eastAsia="zh-CN"/>
        </w:rPr>
        <w:t>2025</w:t>
      </w:r>
      <w:r>
        <w:rPr>
          <w:rFonts w:eastAsia="楷体"/>
          <w:bCs/>
          <w:color w:val="auto"/>
          <w:sz w:val="28"/>
          <w:u w:val="none"/>
        </w:rPr>
        <w:t>年</w:t>
      </w:r>
      <w:r>
        <w:rPr>
          <w:rFonts w:hint="eastAsia" w:eastAsia="楷体"/>
          <w:bCs/>
          <w:color w:val="auto"/>
          <w:sz w:val="28"/>
          <w:u w:val="single"/>
          <w:lang w:val="en-US" w:eastAsia="zh-CN"/>
        </w:rPr>
        <w:t>11</w:t>
      </w:r>
      <w:r>
        <w:rPr>
          <w:rFonts w:eastAsia="楷体"/>
          <w:bCs/>
          <w:color w:val="auto"/>
          <w:sz w:val="28"/>
          <w:u w:val="none"/>
        </w:rPr>
        <w:t>月</w:t>
      </w:r>
      <w:r>
        <w:rPr>
          <w:rFonts w:eastAsia="楷体"/>
          <w:bCs/>
          <w:color w:val="auto"/>
          <w:sz w:val="28"/>
          <w:u w:val="single"/>
        </w:rPr>
        <w:t xml:space="preserve">   </w:t>
      </w:r>
      <w:r>
        <w:rPr>
          <w:rFonts w:hint="eastAsia" w:eastAsia="楷体"/>
          <w:bCs/>
          <w:color w:val="auto"/>
          <w:sz w:val="28"/>
          <w:u w:val="none"/>
          <w:lang w:eastAsia="zh-CN"/>
        </w:rPr>
        <w:t>日</w:t>
      </w:r>
    </w:p>
    <w:p w14:paraId="599C537C">
      <w:pPr>
        <w:pageBreakBefore w:val="0"/>
        <w:kinsoku/>
        <w:wordWrap w:val="0"/>
        <w:overflowPunct/>
        <w:bidi w:val="0"/>
        <w:adjustRightInd w:val="0"/>
        <w:snapToGrid w:val="0"/>
        <w:spacing w:line="640" w:lineRule="exact"/>
        <w:jc w:val="center"/>
        <w:outlineLvl w:val="9"/>
        <w:rPr>
          <w:b/>
          <w:color w:val="auto"/>
          <w:sz w:val="52"/>
          <w:szCs w:val="52"/>
        </w:rPr>
      </w:pPr>
      <w:bookmarkStart w:id="0" w:name="_Toc152042286"/>
      <w:bookmarkStart w:id="1" w:name="_Toc300834926"/>
      <w:bookmarkStart w:id="2" w:name="_Toc144974478"/>
      <w:bookmarkStart w:id="3" w:name="_Toc247527532"/>
    </w:p>
    <w:p w14:paraId="2E55B721">
      <w:pPr>
        <w:pageBreakBefore w:val="0"/>
        <w:kinsoku/>
        <w:wordWrap w:val="0"/>
        <w:overflowPunct/>
        <w:bidi w:val="0"/>
        <w:adjustRightInd w:val="0"/>
        <w:snapToGrid w:val="0"/>
        <w:spacing w:line="640" w:lineRule="exact"/>
        <w:jc w:val="center"/>
        <w:outlineLvl w:val="0"/>
        <w:rPr>
          <w:b/>
          <w:color w:val="auto"/>
          <w:sz w:val="52"/>
          <w:szCs w:val="52"/>
        </w:rPr>
        <w:sectPr>
          <w:footerReference r:id="rId5"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1E4FE649">
      <w:pPr>
        <w:pageBreakBefore w:val="0"/>
        <w:kinsoku/>
        <w:wordWrap w:val="0"/>
        <w:overflowPunct/>
        <w:bidi w:val="0"/>
        <w:adjustRightInd w:val="0"/>
        <w:snapToGrid w:val="0"/>
        <w:spacing w:line="640" w:lineRule="exact"/>
        <w:ind w:left="0" w:leftChars="0" w:firstLine="0" w:firstLineChars="0"/>
        <w:jc w:val="center"/>
        <w:outlineLvl w:val="0"/>
        <w:rPr>
          <w:b/>
          <w:color w:val="auto"/>
          <w:sz w:val="32"/>
          <w:szCs w:val="32"/>
        </w:rPr>
      </w:pPr>
      <w:bookmarkStart w:id="4" w:name="_Toc32170"/>
      <w:bookmarkStart w:id="5" w:name="_Toc22295"/>
      <w:bookmarkStart w:id="6" w:name="_Toc28697"/>
      <w:r>
        <w:rPr>
          <w:b/>
          <w:color w:val="auto"/>
          <w:sz w:val="32"/>
          <w:szCs w:val="32"/>
        </w:rPr>
        <w:t>目录</w:t>
      </w:r>
      <w:bookmarkEnd w:id="0"/>
      <w:bookmarkEnd w:id="1"/>
      <w:bookmarkEnd w:id="2"/>
      <w:bookmarkEnd w:id="3"/>
      <w:bookmarkEnd w:id="4"/>
      <w:bookmarkEnd w:id="5"/>
      <w:bookmarkEnd w:id="6"/>
    </w:p>
    <w:p w14:paraId="640CC6F7">
      <w:pPr>
        <w:pStyle w:val="27"/>
        <w:tabs>
          <w:tab w:val="right" w:leader="dot" w:pos="9637"/>
        </w:tabs>
        <w:spacing w:line="240" w:lineRule="auto"/>
        <w:rPr>
          <w:color w:val="auto"/>
        </w:rPr>
      </w:pPr>
      <w:bookmarkStart w:id="7" w:name="_Toc247513932"/>
      <w:bookmarkStart w:id="8" w:name="_Toc247527533"/>
      <w:bookmarkStart w:id="9" w:name="_Toc152045511"/>
      <w:bookmarkStart w:id="10" w:name="_Toc144974479"/>
      <w:bookmarkStart w:id="11" w:name="_Toc152042287"/>
      <w:r>
        <w:rPr>
          <w:bCs w:val="0"/>
          <w:color w:val="auto"/>
          <w:szCs w:val="21"/>
        </w:rPr>
        <w:fldChar w:fldCharType="begin"/>
      </w:r>
      <w:r>
        <w:rPr>
          <w:bCs w:val="0"/>
          <w:color w:val="auto"/>
          <w:szCs w:val="21"/>
        </w:rPr>
        <w:instrText xml:space="preserve">TOC \o "1-3" \h \u </w:instrText>
      </w:r>
      <w:r>
        <w:rPr>
          <w:bCs w:val="0"/>
          <w:color w:val="auto"/>
          <w:szCs w:val="21"/>
        </w:rPr>
        <w:fldChar w:fldCharType="separate"/>
      </w:r>
      <w:r>
        <w:rPr>
          <w:bCs w:val="0"/>
          <w:color w:val="auto"/>
          <w:szCs w:val="21"/>
        </w:rPr>
        <w:fldChar w:fldCharType="begin"/>
      </w:r>
      <w:r>
        <w:rPr>
          <w:bCs w:val="0"/>
          <w:color w:val="auto"/>
          <w:szCs w:val="21"/>
        </w:rPr>
        <w:instrText xml:space="preserve"> HYPERLINK \l _Toc32170 </w:instrText>
      </w:r>
      <w:r>
        <w:rPr>
          <w:bCs w:val="0"/>
          <w:color w:val="auto"/>
          <w:szCs w:val="21"/>
        </w:rPr>
        <w:fldChar w:fldCharType="separate"/>
      </w:r>
      <w:r>
        <w:rPr>
          <w:color w:val="auto"/>
          <w:szCs w:val="52"/>
        </w:rPr>
        <w:t>目     录</w:t>
      </w:r>
      <w:r>
        <w:rPr>
          <w:color w:val="auto"/>
        </w:rPr>
        <w:tab/>
      </w:r>
      <w:r>
        <w:rPr>
          <w:color w:val="auto"/>
        </w:rPr>
        <w:fldChar w:fldCharType="begin"/>
      </w:r>
      <w:r>
        <w:rPr>
          <w:color w:val="auto"/>
        </w:rPr>
        <w:instrText xml:space="preserve"> PAGEREF _Toc32170 \h </w:instrText>
      </w:r>
      <w:r>
        <w:rPr>
          <w:color w:val="auto"/>
        </w:rPr>
        <w:fldChar w:fldCharType="separate"/>
      </w:r>
      <w:r>
        <w:rPr>
          <w:color w:val="auto"/>
        </w:rPr>
        <w:t>1</w:t>
      </w:r>
      <w:r>
        <w:rPr>
          <w:color w:val="auto"/>
        </w:rPr>
        <w:fldChar w:fldCharType="end"/>
      </w:r>
      <w:r>
        <w:rPr>
          <w:bCs w:val="0"/>
          <w:color w:val="auto"/>
          <w:szCs w:val="21"/>
        </w:rPr>
        <w:fldChar w:fldCharType="end"/>
      </w:r>
    </w:p>
    <w:p w14:paraId="1DD8DD57">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_Toc19916 </w:instrText>
      </w:r>
      <w:r>
        <w:rPr>
          <w:bCs w:val="0"/>
          <w:color w:val="auto"/>
          <w:szCs w:val="21"/>
        </w:rPr>
        <w:fldChar w:fldCharType="separate"/>
      </w:r>
      <w:r>
        <w:rPr>
          <w:color w:val="auto"/>
        </w:rPr>
        <w:t>第一章 招标公告</w:t>
      </w:r>
      <w:r>
        <w:rPr>
          <w:color w:val="auto"/>
        </w:rPr>
        <w:tab/>
      </w:r>
      <w:r>
        <w:rPr>
          <w:color w:val="auto"/>
        </w:rPr>
        <w:fldChar w:fldCharType="begin"/>
      </w:r>
      <w:r>
        <w:rPr>
          <w:color w:val="auto"/>
        </w:rPr>
        <w:instrText xml:space="preserve"> PAGEREF _Toc19916 \h </w:instrText>
      </w:r>
      <w:r>
        <w:rPr>
          <w:color w:val="auto"/>
        </w:rPr>
        <w:fldChar w:fldCharType="separate"/>
      </w:r>
      <w:r>
        <w:rPr>
          <w:color w:val="auto"/>
        </w:rPr>
        <w:t>1</w:t>
      </w:r>
      <w:r>
        <w:rPr>
          <w:color w:val="auto"/>
        </w:rPr>
        <w:fldChar w:fldCharType="end"/>
      </w:r>
      <w:r>
        <w:rPr>
          <w:bCs w:val="0"/>
          <w:color w:val="auto"/>
          <w:szCs w:val="21"/>
        </w:rPr>
        <w:fldChar w:fldCharType="end"/>
      </w:r>
    </w:p>
    <w:p w14:paraId="244F3EB9">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_Toc10967 </w:instrText>
      </w:r>
      <w:r>
        <w:rPr>
          <w:bCs/>
          <w:color w:val="auto"/>
          <w:szCs w:val="21"/>
        </w:rPr>
        <w:fldChar w:fldCharType="separate"/>
      </w:r>
      <w:r>
        <w:rPr>
          <w:rFonts w:hint="eastAsia" w:ascii="方正黑体_GBK" w:hAnsi="方正黑体_GBK" w:eastAsia="方正黑体_GBK" w:cs="方正黑体_GBK"/>
          <w:color w:val="auto"/>
          <w:kern w:val="0"/>
          <w:szCs w:val="24"/>
        </w:rPr>
        <w:t>1.招标条件</w:t>
      </w:r>
      <w:r>
        <w:rPr>
          <w:color w:val="auto"/>
        </w:rPr>
        <w:tab/>
      </w:r>
      <w:r>
        <w:rPr>
          <w:color w:val="auto"/>
        </w:rPr>
        <w:fldChar w:fldCharType="begin"/>
      </w:r>
      <w:r>
        <w:rPr>
          <w:color w:val="auto"/>
        </w:rPr>
        <w:instrText xml:space="preserve"> PAGEREF _Toc10967 \h </w:instrText>
      </w:r>
      <w:r>
        <w:rPr>
          <w:color w:val="auto"/>
        </w:rPr>
        <w:fldChar w:fldCharType="separate"/>
      </w:r>
      <w:r>
        <w:rPr>
          <w:color w:val="auto"/>
        </w:rPr>
        <w:t>1</w:t>
      </w:r>
      <w:r>
        <w:rPr>
          <w:color w:val="auto"/>
        </w:rPr>
        <w:fldChar w:fldCharType="end"/>
      </w:r>
      <w:r>
        <w:rPr>
          <w:bCs/>
          <w:color w:val="auto"/>
          <w:szCs w:val="21"/>
        </w:rPr>
        <w:fldChar w:fldCharType="end"/>
      </w:r>
    </w:p>
    <w:p w14:paraId="14FFA6D4">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_Toc12117 </w:instrText>
      </w:r>
      <w:r>
        <w:rPr>
          <w:bCs/>
          <w:color w:val="auto"/>
          <w:szCs w:val="21"/>
        </w:rPr>
        <w:fldChar w:fldCharType="separate"/>
      </w:r>
      <w:r>
        <w:rPr>
          <w:rFonts w:hint="eastAsia" w:ascii="方正黑体_GBK" w:hAnsi="方正黑体_GBK" w:eastAsia="方正黑体_GBK" w:cs="方正黑体_GBK"/>
          <w:color w:val="auto"/>
          <w:kern w:val="0"/>
          <w:szCs w:val="24"/>
        </w:rPr>
        <w:t>2.</w:t>
      </w:r>
      <w:r>
        <w:rPr>
          <w:rFonts w:hint="eastAsia" w:ascii="方正黑体_GBK" w:hAnsi="方正黑体_GBK" w:eastAsia="方正黑体_GBK" w:cs="方正黑体_GBK"/>
          <w:color w:val="auto"/>
          <w:kern w:val="0"/>
          <w:szCs w:val="24"/>
          <w:highlight w:val="none"/>
          <w:lang w:eastAsia="zh-CN"/>
        </w:rPr>
        <w:t>项目</w:t>
      </w:r>
      <w:r>
        <w:rPr>
          <w:rFonts w:hint="eastAsia" w:ascii="方正黑体_GBK" w:hAnsi="方正黑体_GBK" w:eastAsia="方正黑体_GBK" w:cs="方正黑体_GBK"/>
          <w:color w:val="auto"/>
          <w:kern w:val="0"/>
          <w:szCs w:val="24"/>
        </w:rPr>
        <w:t>概况与招标范围</w:t>
      </w:r>
      <w:r>
        <w:rPr>
          <w:color w:val="auto"/>
        </w:rPr>
        <w:tab/>
      </w:r>
      <w:r>
        <w:rPr>
          <w:color w:val="auto"/>
        </w:rPr>
        <w:fldChar w:fldCharType="begin"/>
      </w:r>
      <w:r>
        <w:rPr>
          <w:color w:val="auto"/>
        </w:rPr>
        <w:instrText xml:space="preserve"> PAGEREF _Toc12117 \h </w:instrText>
      </w:r>
      <w:r>
        <w:rPr>
          <w:color w:val="auto"/>
        </w:rPr>
        <w:fldChar w:fldCharType="separate"/>
      </w:r>
      <w:r>
        <w:rPr>
          <w:color w:val="auto"/>
        </w:rPr>
        <w:t>1</w:t>
      </w:r>
      <w:r>
        <w:rPr>
          <w:color w:val="auto"/>
        </w:rPr>
        <w:fldChar w:fldCharType="end"/>
      </w:r>
      <w:r>
        <w:rPr>
          <w:bCs/>
          <w:color w:val="auto"/>
          <w:szCs w:val="21"/>
        </w:rPr>
        <w:fldChar w:fldCharType="end"/>
      </w:r>
    </w:p>
    <w:p w14:paraId="2C39969E">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_Toc812 </w:instrText>
      </w:r>
      <w:r>
        <w:rPr>
          <w:bCs/>
          <w:color w:val="auto"/>
          <w:szCs w:val="21"/>
        </w:rPr>
        <w:fldChar w:fldCharType="separate"/>
      </w:r>
      <w:r>
        <w:rPr>
          <w:rFonts w:hint="eastAsia" w:ascii="方正黑体_GBK" w:hAnsi="方正黑体_GBK" w:eastAsia="方正黑体_GBK" w:cs="方正黑体_GBK"/>
          <w:color w:val="auto"/>
          <w:kern w:val="0"/>
          <w:szCs w:val="24"/>
        </w:rPr>
        <w:t>3. 投标人资格要求</w:t>
      </w:r>
      <w:r>
        <w:rPr>
          <w:color w:val="auto"/>
        </w:rPr>
        <w:tab/>
      </w:r>
      <w:r>
        <w:rPr>
          <w:color w:val="auto"/>
        </w:rPr>
        <w:fldChar w:fldCharType="begin"/>
      </w:r>
      <w:r>
        <w:rPr>
          <w:color w:val="auto"/>
        </w:rPr>
        <w:instrText xml:space="preserve"> PAGEREF _Toc812 \h </w:instrText>
      </w:r>
      <w:r>
        <w:rPr>
          <w:color w:val="auto"/>
        </w:rPr>
        <w:fldChar w:fldCharType="separate"/>
      </w:r>
      <w:r>
        <w:rPr>
          <w:color w:val="auto"/>
        </w:rPr>
        <w:t>2</w:t>
      </w:r>
      <w:r>
        <w:rPr>
          <w:color w:val="auto"/>
        </w:rPr>
        <w:fldChar w:fldCharType="end"/>
      </w:r>
      <w:r>
        <w:rPr>
          <w:bCs/>
          <w:color w:val="auto"/>
          <w:szCs w:val="21"/>
        </w:rPr>
        <w:fldChar w:fldCharType="end"/>
      </w:r>
    </w:p>
    <w:p w14:paraId="54A24C85">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_Toc1826 </w:instrText>
      </w:r>
      <w:r>
        <w:rPr>
          <w:bCs/>
          <w:color w:val="auto"/>
          <w:szCs w:val="21"/>
        </w:rPr>
        <w:fldChar w:fldCharType="separate"/>
      </w:r>
      <w:r>
        <w:rPr>
          <w:rFonts w:hint="eastAsia" w:ascii="方正黑体_GBK" w:hAnsi="方正黑体_GBK" w:eastAsia="方正黑体_GBK" w:cs="方正黑体_GBK"/>
          <w:color w:val="auto"/>
          <w:kern w:val="0"/>
          <w:szCs w:val="24"/>
        </w:rPr>
        <w:t>4.招标文件的获取</w:t>
      </w:r>
      <w:r>
        <w:rPr>
          <w:color w:val="auto"/>
        </w:rPr>
        <w:tab/>
      </w:r>
      <w:r>
        <w:rPr>
          <w:color w:val="auto"/>
        </w:rPr>
        <w:fldChar w:fldCharType="begin"/>
      </w:r>
      <w:r>
        <w:rPr>
          <w:color w:val="auto"/>
        </w:rPr>
        <w:instrText xml:space="preserve"> PAGEREF _Toc1826 \h </w:instrText>
      </w:r>
      <w:r>
        <w:rPr>
          <w:color w:val="auto"/>
        </w:rPr>
        <w:fldChar w:fldCharType="separate"/>
      </w:r>
      <w:r>
        <w:rPr>
          <w:color w:val="auto"/>
        </w:rPr>
        <w:t>4</w:t>
      </w:r>
      <w:r>
        <w:rPr>
          <w:color w:val="auto"/>
        </w:rPr>
        <w:fldChar w:fldCharType="end"/>
      </w:r>
      <w:r>
        <w:rPr>
          <w:bCs/>
          <w:color w:val="auto"/>
          <w:szCs w:val="21"/>
        </w:rPr>
        <w:fldChar w:fldCharType="end"/>
      </w:r>
    </w:p>
    <w:p w14:paraId="2CA2C01A">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_Toc21121 </w:instrText>
      </w:r>
      <w:r>
        <w:rPr>
          <w:bCs/>
          <w:color w:val="auto"/>
          <w:szCs w:val="21"/>
        </w:rPr>
        <w:fldChar w:fldCharType="separate"/>
      </w:r>
      <w:r>
        <w:rPr>
          <w:rFonts w:hint="eastAsia" w:ascii="方正黑体_GBK" w:hAnsi="方正黑体_GBK" w:eastAsia="方正黑体_GBK" w:cs="方正黑体_GBK"/>
          <w:color w:val="auto"/>
          <w:kern w:val="0"/>
          <w:szCs w:val="24"/>
        </w:rPr>
        <w:t>5.投标文件的递交</w:t>
      </w:r>
      <w:r>
        <w:rPr>
          <w:color w:val="auto"/>
        </w:rPr>
        <w:tab/>
      </w:r>
      <w:r>
        <w:rPr>
          <w:color w:val="auto"/>
        </w:rPr>
        <w:fldChar w:fldCharType="begin"/>
      </w:r>
      <w:r>
        <w:rPr>
          <w:color w:val="auto"/>
        </w:rPr>
        <w:instrText xml:space="preserve"> PAGEREF _Toc21121 \h </w:instrText>
      </w:r>
      <w:r>
        <w:rPr>
          <w:color w:val="auto"/>
        </w:rPr>
        <w:fldChar w:fldCharType="separate"/>
      </w:r>
      <w:r>
        <w:rPr>
          <w:color w:val="auto"/>
        </w:rPr>
        <w:t>4</w:t>
      </w:r>
      <w:r>
        <w:rPr>
          <w:color w:val="auto"/>
        </w:rPr>
        <w:fldChar w:fldCharType="end"/>
      </w:r>
      <w:r>
        <w:rPr>
          <w:bCs/>
          <w:color w:val="auto"/>
          <w:szCs w:val="21"/>
        </w:rPr>
        <w:fldChar w:fldCharType="end"/>
      </w:r>
    </w:p>
    <w:p w14:paraId="4CC16733">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_Toc10635 </w:instrText>
      </w:r>
      <w:r>
        <w:rPr>
          <w:bCs/>
          <w:color w:val="auto"/>
          <w:szCs w:val="21"/>
        </w:rPr>
        <w:fldChar w:fldCharType="separate"/>
      </w:r>
      <w:r>
        <w:rPr>
          <w:rFonts w:hint="eastAsia" w:ascii="国标黑体" w:hAnsi="国标黑体" w:eastAsia="国标黑体" w:cs="国标黑体"/>
          <w:color w:val="auto"/>
          <w:kern w:val="0"/>
          <w:szCs w:val="24"/>
        </w:rPr>
        <w:t>6.发布公告的媒介</w:t>
      </w:r>
      <w:r>
        <w:rPr>
          <w:color w:val="auto"/>
        </w:rPr>
        <w:tab/>
      </w:r>
      <w:r>
        <w:rPr>
          <w:color w:val="auto"/>
        </w:rPr>
        <w:fldChar w:fldCharType="begin"/>
      </w:r>
      <w:r>
        <w:rPr>
          <w:color w:val="auto"/>
        </w:rPr>
        <w:instrText xml:space="preserve"> PAGEREF _Toc10635 \h </w:instrText>
      </w:r>
      <w:r>
        <w:rPr>
          <w:color w:val="auto"/>
        </w:rPr>
        <w:fldChar w:fldCharType="separate"/>
      </w:r>
      <w:r>
        <w:rPr>
          <w:color w:val="auto"/>
        </w:rPr>
        <w:t>4</w:t>
      </w:r>
      <w:r>
        <w:rPr>
          <w:color w:val="auto"/>
        </w:rPr>
        <w:fldChar w:fldCharType="end"/>
      </w:r>
      <w:r>
        <w:rPr>
          <w:bCs/>
          <w:color w:val="auto"/>
          <w:szCs w:val="21"/>
        </w:rPr>
        <w:fldChar w:fldCharType="end"/>
      </w:r>
    </w:p>
    <w:p w14:paraId="3C0352FF">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_Toc31785 </w:instrText>
      </w:r>
      <w:r>
        <w:rPr>
          <w:bCs/>
          <w:color w:val="auto"/>
          <w:szCs w:val="21"/>
        </w:rPr>
        <w:fldChar w:fldCharType="separate"/>
      </w:r>
      <w:r>
        <w:rPr>
          <w:rFonts w:hint="eastAsia" w:ascii="方正黑体_GBK" w:hAnsi="方正黑体_GBK" w:eastAsia="方正黑体_GBK" w:cs="方正黑体_GBK"/>
          <w:color w:val="auto"/>
          <w:kern w:val="0"/>
          <w:szCs w:val="24"/>
          <w:lang w:val="en-US" w:eastAsia="zh-CN"/>
        </w:rPr>
        <w:t>7.提出异议的渠道和方式</w:t>
      </w:r>
      <w:r>
        <w:rPr>
          <w:color w:val="auto"/>
        </w:rPr>
        <w:tab/>
      </w:r>
      <w:r>
        <w:rPr>
          <w:color w:val="auto"/>
        </w:rPr>
        <w:fldChar w:fldCharType="begin"/>
      </w:r>
      <w:r>
        <w:rPr>
          <w:color w:val="auto"/>
        </w:rPr>
        <w:instrText xml:space="preserve"> PAGEREF _Toc31785 \h </w:instrText>
      </w:r>
      <w:r>
        <w:rPr>
          <w:color w:val="auto"/>
        </w:rPr>
        <w:fldChar w:fldCharType="separate"/>
      </w:r>
      <w:r>
        <w:rPr>
          <w:color w:val="auto"/>
        </w:rPr>
        <w:t>4</w:t>
      </w:r>
      <w:r>
        <w:rPr>
          <w:color w:val="auto"/>
        </w:rPr>
        <w:fldChar w:fldCharType="end"/>
      </w:r>
      <w:r>
        <w:rPr>
          <w:bCs/>
          <w:color w:val="auto"/>
          <w:szCs w:val="21"/>
        </w:rPr>
        <w:fldChar w:fldCharType="end"/>
      </w:r>
    </w:p>
    <w:p w14:paraId="02E8A606">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_Toc13198 </w:instrText>
      </w:r>
      <w:r>
        <w:rPr>
          <w:bCs/>
          <w:color w:val="auto"/>
          <w:szCs w:val="21"/>
        </w:rPr>
        <w:fldChar w:fldCharType="separate"/>
      </w:r>
      <w:r>
        <w:rPr>
          <w:rFonts w:hint="eastAsia" w:ascii="方正黑体_GBK" w:hAnsi="方正黑体_GBK" w:eastAsia="方正黑体_GBK" w:cs="方正黑体_GBK"/>
          <w:color w:val="auto"/>
          <w:kern w:val="0"/>
          <w:szCs w:val="24"/>
          <w:lang w:val="en-US" w:eastAsia="zh-CN"/>
        </w:rPr>
        <w:t>8.本招标项目的监督部门</w:t>
      </w:r>
      <w:r>
        <w:rPr>
          <w:color w:val="auto"/>
        </w:rPr>
        <w:tab/>
      </w:r>
      <w:r>
        <w:rPr>
          <w:color w:val="auto"/>
        </w:rPr>
        <w:fldChar w:fldCharType="begin"/>
      </w:r>
      <w:r>
        <w:rPr>
          <w:color w:val="auto"/>
        </w:rPr>
        <w:instrText xml:space="preserve"> PAGEREF _Toc13198 \h </w:instrText>
      </w:r>
      <w:r>
        <w:rPr>
          <w:color w:val="auto"/>
        </w:rPr>
        <w:fldChar w:fldCharType="separate"/>
      </w:r>
      <w:r>
        <w:rPr>
          <w:color w:val="auto"/>
        </w:rPr>
        <w:t>5</w:t>
      </w:r>
      <w:r>
        <w:rPr>
          <w:color w:val="auto"/>
        </w:rPr>
        <w:fldChar w:fldCharType="end"/>
      </w:r>
      <w:r>
        <w:rPr>
          <w:bCs/>
          <w:color w:val="auto"/>
          <w:szCs w:val="21"/>
        </w:rPr>
        <w:fldChar w:fldCharType="end"/>
      </w:r>
    </w:p>
    <w:p w14:paraId="5D4EE22D">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_Toc7248 </w:instrText>
      </w:r>
      <w:r>
        <w:rPr>
          <w:bCs/>
          <w:color w:val="auto"/>
          <w:szCs w:val="21"/>
        </w:rPr>
        <w:fldChar w:fldCharType="separate"/>
      </w:r>
      <w:r>
        <w:rPr>
          <w:rFonts w:hint="eastAsia" w:ascii="方正黑体_GBK" w:hAnsi="方正黑体_GBK" w:eastAsia="方正黑体_GBK" w:cs="方正黑体_GBK"/>
          <w:color w:val="auto"/>
          <w:kern w:val="0"/>
          <w:szCs w:val="24"/>
          <w:lang w:val="en-US" w:eastAsia="zh-CN"/>
        </w:rPr>
        <w:t>9.其他公示内容</w:t>
      </w:r>
      <w:r>
        <w:rPr>
          <w:color w:val="auto"/>
        </w:rPr>
        <w:tab/>
      </w:r>
      <w:r>
        <w:rPr>
          <w:color w:val="auto"/>
        </w:rPr>
        <w:fldChar w:fldCharType="begin"/>
      </w:r>
      <w:r>
        <w:rPr>
          <w:color w:val="auto"/>
        </w:rPr>
        <w:instrText xml:space="preserve"> PAGEREF _Toc7248 \h </w:instrText>
      </w:r>
      <w:r>
        <w:rPr>
          <w:color w:val="auto"/>
        </w:rPr>
        <w:fldChar w:fldCharType="separate"/>
      </w:r>
      <w:r>
        <w:rPr>
          <w:color w:val="auto"/>
        </w:rPr>
        <w:t>5</w:t>
      </w:r>
      <w:r>
        <w:rPr>
          <w:color w:val="auto"/>
        </w:rPr>
        <w:fldChar w:fldCharType="end"/>
      </w:r>
      <w:r>
        <w:rPr>
          <w:bCs/>
          <w:color w:val="auto"/>
          <w:szCs w:val="21"/>
        </w:rPr>
        <w:fldChar w:fldCharType="end"/>
      </w:r>
    </w:p>
    <w:p w14:paraId="10CF1AD7">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_Toc7973 </w:instrText>
      </w:r>
      <w:r>
        <w:rPr>
          <w:bCs/>
          <w:color w:val="auto"/>
          <w:szCs w:val="21"/>
        </w:rPr>
        <w:fldChar w:fldCharType="separate"/>
      </w:r>
      <w:r>
        <w:rPr>
          <w:rFonts w:hint="eastAsia" w:ascii="方正黑体_GBK" w:hAnsi="方正黑体_GBK" w:eastAsia="方正黑体_GBK" w:cs="方正黑体_GBK"/>
          <w:color w:val="auto"/>
          <w:kern w:val="0"/>
          <w:szCs w:val="24"/>
          <w:lang w:val="en-US" w:eastAsia="zh-CN"/>
        </w:rPr>
        <w:t>10.</w:t>
      </w:r>
      <w:r>
        <w:rPr>
          <w:rFonts w:hint="eastAsia" w:ascii="方正黑体_GBK" w:hAnsi="方正黑体_GBK" w:eastAsia="方正黑体_GBK" w:cs="方正黑体_GBK"/>
          <w:color w:val="auto"/>
          <w:kern w:val="0"/>
          <w:szCs w:val="24"/>
        </w:rPr>
        <w:t>联系方式</w:t>
      </w:r>
      <w:r>
        <w:rPr>
          <w:color w:val="auto"/>
        </w:rPr>
        <w:tab/>
      </w:r>
      <w:r>
        <w:rPr>
          <w:color w:val="auto"/>
        </w:rPr>
        <w:fldChar w:fldCharType="begin"/>
      </w:r>
      <w:r>
        <w:rPr>
          <w:color w:val="auto"/>
        </w:rPr>
        <w:instrText xml:space="preserve"> PAGEREF _Toc7973 \h </w:instrText>
      </w:r>
      <w:r>
        <w:rPr>
          <w:color w:val="auto"/>
        </w:rPr>
        <w:fldChar w:fldCharType="separate"/>
      </w:r>
      <w:r>
        <w:rPr>
          <w:color w:val="auto"/>
        </w:rPr>
        <w:t>6</w:t>
      </w:r>
      <w:r>
        <w:rPr>
          <w:color w:val="auto"/>
        </w:rPr>
        <w:fldChar w:fldCharType="end"/>
      </w:r>
      <w:r>
        <w:rPr>
          <w:bCs/>
          <w:color w:val="auto"/>
          <w:szCs w:val="21"/>
        </w:rPr>
        <w:fldChar w:fldCharType="end"/>
      </w:r>
    </w:p>
    <w:p w14:paraId="74FEABC2">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_Toc24967 </w:instrText>
      </w:r>
      <w:r>
        <w:rPr>
          <w:bCs w:val="0"/>
          <w:color w:val="auto"/>
          <w:szCs w:val="21"/>
        </w:rPr>
        <w:fldChar w:fldCharType="separate"/>
      </w:r>
      <w:r>
        <w:rPr>
          <w:color w:val="auto"/>
        </w:rPr>
        <w:t>第二章 投标人须知</w:t>
      </w:r>
      <w:r>
        <w:rPr>
          <w:color w:val="auto"/>
        </w:rPr>
        <w:tab/>
      </w:r>
      <w:r>
        <w:rPr>
          <w:color w:val="auto"/>
        </w:rPr>
        <w:fldChar w:fldCharType="begin"/>
      </w:r>
      <w:r>
        <w:rPr>
          <w:color w:val="auto"/>
        </w:rPr>
        <w:instrText xml:space="preserve"> PAGEREF _Toc24967 \h </w:instrText>
      </w:r>
      <w:r>
        <w:rPr>
          <w:color w:val="auto"/>
        </w:rPr>
        <w:fldChar w:fldCharType="separate"/>
      </w:r>
      <w:r>
        <w:rPr>
          <w:color w:val="auto"/>
        </w:rPr>
        <w:t>7</w:t>
      </w:r>
      <w:r>
        <w:rPr>
          <w:color w:val="auto"/>
        </w:rPr>
        <w:fldChar w:fldCharType="end"/>
      </w:r>
      <w:r>
        <w:rPr>
          <w:bCs w:val="0"/>
          <w:color w:val="auto"/>
          <w:szCs w:val="21"/>
        </w:rPr>
        <w:fldChar w:fldCharType="end"/>
      </w:r>
    </w:p>
    <w:p w14:paraId="2C13986D">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_Toc29491 </w:instrText>
      </w:r>
      <w:r>
        <w:rPr>
          <w:bCs/>
          <w:color w:val="auto"/>
          <w:szCs w:val="21"/>
        </w:rPr>
        <w:fldChar w:fldCharType="separate"/>
      </w:r>
      <w:r>
        <w:rPr>
          <w:color w:val="auto"/>
        </w:rPr>
        <w:t>投标人须知前附表</w:t>
      </w:r>
      <w:r>
        <w:rPr>
          <w:color w:val="auto"/>
        </w:rPr>
        <w:tab/>
      </w:r>
      <w:r>
        <w:rPr>
          <w:color w:val="auto"/>
        </w:rPr>
        <w:fldChar w:fldCharType="begin"/>
      </w:r>
      <w:r>
        <w:rPr>
          <w:color w:val="auto"/>
        </w:rPr>
        <w:instrText xml:space="preserve"> PAGEREF _Toc29491 \h </w:instrText>
      </w:r>
      <w:r>
        <w:rPr>
          <w:color w:val="auto"/>
        </w:rPr>
        <w:fldChar w:fldCharType="separate"/>
      </w:r>
      <w:r>
        <w:rPr>
          <w:color w:val="auto"/>
        </w:rPr>
        <w:t>7</w:t>
      </w:r>
      <w:r>
        <w:rPr>
          <w:color w:val="auto"/>
        </w:rPr>
        <w:fldChar w:fldCharType="end"/>
      </w:r>
      <w:r>
        <w:rPr>
          <w:bCs/>
          <w:color w:val="auto"/>
          <w:szCs w:val="21"/>
        </w:rPr>
        <w:fldChar w:fldCharType="end"/>
      </w:r>
    </w:p>
    <w:p w14:paraId="68EA3E76">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_Toc18284 </w:instrText>
      </w:r>
      <w:r>
        <w:rPr>
          <w:bCs/>
          <w:color w:val="auto"/>
          <w:szCs w:val="21"/>
        </w:rPr>
        <w:fldChar w:fldCharType="separate"/>
      </w:r>
      <w:r>
        <w:rPr>
          <w:rFonts w:hint="eastAsia" w:ascii="方正黑体_GBK" w:hAnsi="方正黑体_GBK" w:eastAsia="方正黑体_GBK" w:cs="方正黑体_GBK"/>
          <w:bCs w:val="0"/>
          <w:color w:val="auto"/>
          <w:kern w:val="2"/>
          <w:szCs w:val="24"/>
          <w:lang w:val="en-US" w:eastAsia="zh-CN" w:bidi="ar-SA"/>
        </w:rPr>
        <w:t>1.</w:t>
      </w:r>
      <w:r>
        <w:rPr>
          <w:rFonts w:hint="eastAsia" w:ascii="方正黑体_GBK" w:hAnsi="方正黑体_GBK" w:eastAsia="方正黑体_GBK" w:cs="方正黑体_GBK"/>
          <w:color w:val="auto"/>
          <w:szCs w:val="24"/>
        </w:rPr>
        <w:t xml:space="preserve"> 总则</w:t>
      </w:r>
      <w:r>
        <w:rPr>
          <w:color w:val="auto"/>
        </w:rPr>
        <w:tab/>
      </w:r>
      <w:r>
        <w:rPr>
          <w:color w:val="auto"/>
        </w:rPr>
        <w:fldChar w:fldCharType="begin"/>
      </w:r>
      <w:r>
        <w:rPr>
          <w:color w:val="auto"/>
        </w:rPr>
        <w:instrText xml:space="preserve"> PAGEREF _Toc18284 \h </w:instrText>
      </w:r>
      <w:r>
        <w:rPr>
          <w:color w:val="auto"/>
        </w:rPr>
        <w:fldChar w:fldCharType="separate"/>
      </w:r>
      <w:r>
        <w:rPr>
          <w:color w:val="auto"/>
        </w:rPr>
        <w:t>23</w:t>
      </w:r>
      <w:r>
        <w:rPr>
          <w:color w:val="auto"/>
        </w:rPr>
        <w:fldChar w:fldCharType="end"/>
      </w:r>
      <w:r>
        <w:rPr>
          <w:bCs/>
          <w:color w:val="auto"/>
          <w:szCs w:val="21"/>
        </w:rPr>
        <w:fldChar w:fldCharType="end"/>
      </w:r>
    </w:p>
    <w:p w14:paraId="43529A61">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_Toc13307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 xml:space="preserve">1.1 </w:t>
      </w:r>
      <w:r>
        <w:rPr>
          <w:rFonts w:hint="eastAsia" w:ascii="方正楷体_GBK" w:hAnsi="方正楷体_GBK" w:eastAsia="方正楷体_GBK" w:cs="方正楷体_GBK"/>
          <w:color w:val="auto"/>
          <w:szCs w:val="24"/>
        </w:rPr>
        <w:t>项目概况</w:t>
      </w:r>
      <w:r>
        <w:rPr>
          <w:color w:val="auto"/>
        </w:rPr>
        <w:tab/>
      </w:r>
      <w:r>
        <w:rPr>
          <w:color w:val="auto"/>
        </w:rPr>
        <w:fldChar w:fldCharType="begin"/>
      </w:r>
      <w:r>
        <w:rPr>
          <w:color w:val="auto"/>
        </w:rPr>
        <w:instrText xml:space="preserve"> PAGEREF _Toc13307 \h </w:instrText>
      </w:r>
      <w:r>
        <w:rPr>
          <w:color w:val="auto"/>
        </w:rPr>
        <w:fldChar w:fldCharType="separate"/>
      </w:r>
      <w:r>
        <w:rPr>
          <w:color w:val="auto"/>
        </w:rPr>
        <w:t>23</w:t>
      </w:r>
      <w:r>
        <w:rPr>
          <w:color w:val="auto"/>
        </w:rPr>
        <w:fldChar w:fldCharType="end"/>
      </w:r>
      <w:r>
        <w:rPr>
          <w:bCs/>
          <w:color w:val="auto"/>
          <w:szCs w:val="21"/>
        </w:rPr>
        <w:fldChar w:fldCharType="end"/>
      </w:r>
    </w:p>
    <w:p w14:paraId="0BEED4E7">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_Toc25549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1.2 项目的资金来源和落实情况</w:t>
      </w:r>
      <w:r>
        <w:rPr>
          <w:color w:val="auto"/>
        </w:rPr>
        <w:tab/>
      </w:r>
      <w:r>
        <w:rPr>
          <w:color w:val="auto"/>
        </w:rPr>
        <w:fldChar w:fldCharType="begin"/>
      </w:r>
      <w:r>
        <w:rPr>
          <w:color w:val="auto"/>
        </w:rPr>
        <w:instrText xml:space="preserve"> PAGEREF _Toc25549 \h </w:instrText>
      </w:r>
      <w:r>
        <w:rPr>
          <w:color w:val="auto"/>
        </w:rPr>
        <w:fldChar w:fldCharType="separate"/>
      </w:r>
      <w:r>
        <w:rPr>
          <w:color w:val="auto"/>
        </w:rPr>
        <w:t>23</w:t>
      </w:r>
      <w:r>
        <w:rPr>
          <w:color w:val="auto"/>
        </w:rPr>
        <w:fldChar w:fldCharType="end"/>
      </w:r>
      <w:r>
        <w:rPr>
          <w:bCs/>
          <w:color w:val="auto"/>
          <w:szCs w:val="21"/>
        </w:rPr>
        <w:fldChar w:fldCharType="end"/>
      </w:r>
    </w:p>
    <w:p w14:paraId="158C5D31">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_Toc8261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1.3 招标范围、工期要求和质量标准</w:t>
      </w:r>
      <w:r>
        <w:rPr>
          <w:color w:val="auto"/>
        </w:rPr>
        <w:tab/>
      </w:r>
      <w:r>
        <w:rPr>
          <w:color w:val="auto"/>
        </w:rPr>
        <w:fldChar w:fldCharType="begin"/>
      </w:r>
      <w:r>
        <w:rPr>
          <w:color w:val="auto"/>
        </w:rPr>
        <w:instrText xml:space="preserve"> PAGEREF _Toc8261 \h </w:instrText>
      </w:r>
      <w:r>
        <w:rPr>
          <w:color w:val="auto"/>
        </w:rPr>
        <w:fldChar w:fldCharType="separate"/>
      </w:r>
      <w:r>
        <w:rPr>
          <w:color w:val="auto"/>
        </w:rPr>
        <w:t>23</w:t>
      </w:r>
      <w:r>
        <w:rPr>
          <w:color w:val="auto"/>
        </w:rPr>
        <w:fldChar w:fldCharType="end"/>
      </w:r>
      <w:r>
        <w:rPr>
          <w:bCs/>
          <w:color w:val="auto"/>
          <w:szCs w:val="21"/>
        </w:rPr>
        <w:fldChar w:fldCharType="end"/>
      </w:r>
    </w:p>
    <w:p w14:paraId="7617277B">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_Toc16834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1.4 投标人资格要求</w:t>
      </w:r>
      <w:r>
        <w:rPr>
          <w:color w:val="auto"/>
        </w:rPr>
        <w:tab/>
      </w:r>
      <w:r>
        <w:rPr>
          <w:color w:val="auto"/>
        </w:rPr>
        <w:fldChar w:fldCharType="begin"/>
      </w:r>
      <w:r>
        <w:rPr>
          <w:color w:val="auto"/>
        </w:rPr>
        <w:instrText xml:space="preserve"> PAGEREF _Toc16834 \h </w:instrText>
      </w:r>
      <w:r>
        <w:rPr>
          <w:color w:val="auto"/>
        </w:rPr>
        <w:fldChar w:fldCharType="separate"/>
      </w:r>
      <w:r>
        <w:rPr>
          <w:color w:val="auto"/>
        </w:rPr>
        <w:t>23</w:t>
      </w:r>
      <w:r>
        <w:rPr>
          <w:color w:val="auto"/>
        </w:rPr>
        <w:fldChar w:fldCharType="end"/>
      </w:r>
      <w:r>
        <w:rPr>
          <w:bCs/>
          <w:color w:val="auto"/>
          <w:szCs w:val="21"/>
        </w:rPr>
        <w:fldChar w:fldCharType="end"/>
      </w:r>
    </w:p>
    <w:p w14:paraId="567061FF">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_Toc26770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1.5 费用承担和设计成果补偿</w:t>
      </w:r>
      <w:r>
        <w:rPr>
          <w:color w:val="auto"/>
        </w:rPr>
        <w:tab/>
      </w:r>
      <w:r>
        <w:rPr>
          <w:color w:val="auto"/>
        </w:rPr>
        <w:fldChar w:fldCharType="begin"/>
      </w:r>
      <w:r>
        <w:rPr>
          <w:color w:val="auto"/>
        </w:rPr>
        <w:instrText xml:space="preserve"> PAGEREF _Toc26770 \h </w:instrText>
      </w:r>
      <w:r>
        <w:rPr>
          <w:color w:val="auto"/>
        </w:rPr>
        <w:fldChar w:fldCharType="separate"/>
      </w:r>
      <w:r>
        <w:rPr>
          <w:color w:val="auto"/>
        </w:rPr>
        <w:t>24</w:t>
      </w:r>
      <w:r>
        <w:rPr>
          <w:color w:val="auto"/>
        </w:rPr>
        <w:fldChar w:fldCharType="end"/>
      </w:r>
      <w:r>
        <w:rPr>
          <w:bCs/>
          <w:color w:val="auto"/>
          <w:szCs w:val="21"/>
        </w:rPr>
        <w:fldChar w:fldCharType="end"/>
      </w:r>
    </w:p>
    <w:p w14:paraId="3C9B8231">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_Toc25214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1.6 保密</w:t>
      </w:r>
      <w:r>
        <w:rPr>
          <w:color w:val="auto"/>
        </w:rPr>
        <w:tab/>
      </w:r>
      <w:r>
        <w:rPr>
          <w:color w:val="auto"/>
        </w:rPr>
        <w:fldChar w:fldCharType="begin"/>
      </w:r>
      <w:r>
        <w:rPr>
          <w:color w:val="auto"/>
        </w:rPr>
        <w:instrText xml:space="preserve"> PAGEREF _Toc25214 \h </w:instrText>
      </w:r>
      <w:r>
        <w:rPr>
          <w:color w:val="auto"/>
        </w:rPr>
        <w:fldChar w:fldCharType="separate"/>
      </w:r>
      <w:r>
        <w:rPr>
          <w:color w:val="auto"/>
        </w:rPr>
        <w:t>24</w:t>
      </w:r>
      <w:r>
        <w:rPr>
          <w:color w:val="auto"/>
        </w:rPr>
        <w:fldChar w:fldCharType="end"/>
      </w:r>
      <w:r>
        <w:rPr>
          <w:bCs/>
          <w:color w:val="auto"/>
          <w:szCs w:val="21"/>
        </w:rPr>
        <w:fldChar w:fldCharType="end"/>
      </w:r>
    </w:p>
    <w:p w14:paraId="1A49E057">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_Toc14611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1.7 语言文字</w:t>
      </w:r>
      <w:r>
        <w:rPr>
          <w:color w:val="auto"/>
        </w:rPr>
        <w:tab/>
      </w:r>
      <w:r>
        <w:rPr>
          <w:color w:val="auto"/>
        </w:rPr>
        <w:fldChar w:fldCharType="begin"/>
      </w:r>
      <w:r>
        <w:rPr>
          <w:color w:val="auto"/>
        </w:rPr>
        <w:instrText xml:space="preserve"> PAGEREF _Toc14611 \h </w:instrText>
      </w:r>
      <w:r>
        <w:rPr>
          <w:color w:val="auto"/>
        </w:rPr>
        <w:fldChar w:fldCharType="separate"/>
      </w:r>
      <w:r>
        <w:rPr>
          <w:color w:val="auto"/>
        </w:rPr>
        <w:t>24</w:t>
      </w:r>
      <w:r>
        <w:rPr>
          <w:color w:val="auto"/>
        </w:rPr>
        <w:fldChar w:fldCharType="end"/>
      </w:r>
      <w:r>
        <w:rPr>
          <w:bCs/>
          <w:color w:val="auto"/>
          <w:szCs w:val="21"/>
        </w:rPr>
        <w:fldChar w:fldCharType="end"/>
      </w:r>
    </w:p>
    <w:p w14:paraId="726EEAC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_Toc31227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1.8 计量单位</w:t>
      </w:r>
      <w:r>
        <w:rPr>
          <w:color w:val="auto"/>
        </w:rPr>
        <w:tab/>
      </w:r>
      <w:r>
        <w:rPr>
          <w:color w:val="auto"/>
        </w:rPr>
        <w:fldChar w:fldCharType="begin"/>
      </w:r>
      <w:r>
        <w:rPr>
          <w:color w:val="auto"/>
        </w:rPr>
        <w:instrText xml:space="preserve"> PAGEREF _Toc31227 \h </w:instrText>
      </w:r>
      <w:r>
        <w:rPr>
          <w:color w:val="auto"/>
        </w:rPr>
        <w:fldChar w:fldCharType="separate"/>
      </w:r>
      <w:r>
        <w:rPr>
          <w:color w:val="auto"/>
        </w:rPr>
        <w:t>24</w:t>
      </w:r>
      <w:r>
        <w:rPr>
          <w:color w:val="auto"/>
        </w:rPr>
        <w:fldChar w:fldCharType="end"/>
      </w:r>
      <w:r>
        <w:rPr>
          <w:bCs/>
          <w:color w:val="auto"/>
          <w:szCs w:val="21"/>
        </w:rPr>
        <w:fldChar w:fldCharType="end"/>
      </w:r>
    </w:p>
    <w:p w14:paraId="625CAF93">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_Toc29760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1.9 踏勘现场</w:t>
      </w:r>
      <w:r>
        <w:rPr>
          <w:color w:val="auto"/>
        </w:rPr>
        <w:tab/>
      </w:r>
      <w:r>
        <w:rPr>
          <w:color w:val="auto"/>
        </w:rPr>
        <w:fldChar w:fldCharType="begin"/>
      </w:r>
      <w:r>
        <w:rPr>
          <w:color w:val="auto"/>
        </w:rPr>
        <w:instrText xml:space="preserve"> PAGEREF _Toc29760 \h </w:instrText>
      </w:r>
      <w:r>
        <w:rPr>
          <w:color w:val="auto"/>
        </w:rPr>
        <w:fldChar w:fldCharType="separate"/>
      </w:r>
      <w:r>
        <w:rPr>
          <w:color w:val="auto"/>
        </w:rPr>
        <w:t>24</w:t>
      </w:r>
      <w:r>
        <w:rPr>
          <w:color w:val="auto"/>
        </w:rPr>
        <w:fldChar w:fldCharType="end"/>
      </w:r>
      <w:r>
        <w:rPr>
          <w:bCs/>
          <w:color w:val="auto"/>
          <w:szCs w:val="21"/>
        </w:rPr>
        <w:fldChar w:fldCharType="end"/>
      </w:r>
    </w:p>
    <w:p w14:paraId="53537847">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_Toc28070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1.10 投标预备会</w:t>
      </w:r>
      <w:r>
        <w:rPr>
          <w:color w:val="auto"/>
        </w:rPr>
        <w:tab/>
      </w:r>
      <w:r>
        <w:rPr>
          <w:color w:val="auto"/>
        </w:rPr>
        <w:fldChar w:fldCharType="begin"/>
      </w:r>
      <w:r>
        <w:rPr>
          <w:color w:val="auto"/>
        </w:rPr>
        <w:instrText xml:space="preserve"> PAGEREF _Toc28070 \h </w:instrText>
      </w:r>
      <w:r>
        <w:rPr>
          <w:color w:val="auto"/>
        </w:rPr>
        <w:fldChar w:fldCharType="separate"/>
      </w:r>
      <w:r>
        <w:rPr>
          <w:color w:val="auto"/>
        </w:rPr>
        <w:t>25</w:t>
      </w:r>
      <w:r>
        <w:rPr>
          <w:color w:val="auto"/>
        </w:rPr>
        <w:fldChar w:fldCharType="end"/>
      </w:r>
      <w:r>
        <w:rPr>
          <w:bCs/>
          <w:color w:val="auto"/>
          <w:szCs w:val="21"/>
        </w:rPr>
        <w:fldChar w:fldCharType="end"/>
      </w:r>
    </w:p>
    <w:p w14:paraId="597274B8">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_Toc11076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1.11 分包</w:t>
      </w:r>
      <w:r>
        <w:rPr>
          <w:color w:val="auto"/>
        </w:rPr>
        <w:tab/>
      </w:r>
      <w:r>
        <w:rPr>
          <w:color w:val="auto"/>
        </w:rPr>
        <w:fldChar w:fldCharType="begin"/>
      </w:r>
      <w:r>
        <w:rPr>
          <w:color w:val="auto"/>
        </w:rPr>
        <w:instrText xml:space="preserve"> PAGEREF _Toc11076 \h </w:instrText>
      </w:r>
      <w:r>
        <w:rPr>
          <w:color w:val="auto"/>
        </w:rPr>
        <w:fldChar w:fldCharType="separate"/>
      </w:r>
      <w:r>
        <w:rPr>
          <w:color w:val="auto"/>
        </w:rPr>
        <w:t>25</w:t>
      </w:r>
      <w:r>
        <w:rPr>
          <w:color w:val="auto"/>
        </w:rPr>
        <w:fldChar w:fldCharType="end"/>
      </w:r>
      <w:r>
        <w:rPr>
          <w:bCs/>
          <w:color w:val="auto"/>
          <w:szCs w:val="21"/>
        </w:rPr>
        <w:fldChar w:fldCharType="end"/>
      </w:r>
    </w:p>
    <w:p w14:paraId="2B4F67C6">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_Toc3502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1.12  偏差</w:t>
      </w:r>
      <w:r>
        <w:rPr>
          <w:color w:val="auto"/>
        </w:rPr>
        <w:tab/>
      </w:r>
      <w:r>
        <w:rPr>
          <w:color w:val="auto"/>
        </w:rPr>
        <w:fldChar w:fldCharType="begin"/>
      </w:r>
      <w:r>
        <w:rPr>
          <w:color w:val="auto"/>
        </w:rPr>
        <w:instrText xml:space="preserve"> PAGEREF _Toc3502 \h </w:instrText>
      </w:r>
      <w:r>
        <w:rPr>
          <w:color w:val="auto"/>
        </w:rPr>
        <w:fldChar w:fldCharType="separate"/>
      </w:r>
      <w:r>
        <w:rPr>
          <w:color w:val="auto"/>
        </w:rPr>
        <w:t>25</w:t>
      </w:r>
      <w:r>
        <w:rPr>
          <w:color w:val="auto"/>
        </w:rPr>
        <w:fldChar w:fldCharType="end"/>
      </w:r>
      <w:r>
        <w:rPr>
          <w:bCs/>
          <w:color w:val="auto"/>
          <w:szCs w:val="21"/>
        </w:rPr>
        <w:fldChar w:fldCharType="end"/>
      </w:r>
    </w:p>
    <w:p w14:paraId="10F0DFC9">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_Toc2705 </w:instrText>
      </w:r>
      <w:r>
        <w:rPr>
          <w:bCs/>
          <w:color w:val="auto"/>
          <w:szCs w:val="21"/>
        </w:rPr>
        <w:fldChar w:fldCharType="separate"/>
      </w:r>
      <w:r>
        <w:rPr>
          <w:rFonts w:hint="eastAsia" w:ascii="方正黑体_GBK" w:hAnsi="方正黑体_GBK" w:eastAsia="方正黑体_GBK" w:cs="方正黑体_GBK"/>
          <w:color w:val="auto"/>
          <w:szCs w:val="24"/>
        </w:rPr>
        <w:t>2. 招标文件</w:t>
      </w:r>
      <w:r>
        <w:rPr>
          <w:color w:val="auto"/>
        </w:rPr>
        <w:tab/>
      </w:r>
      <w:r>
        <w:rPr>
          <w:color w:val="auto"/>
        </w:rPr>
        <w:fldChar w:fldCharType="begin"/>
      </w:r>
      <w:r>
        <w:rPr>
          <w:color w:val="auto"/>
        </w:rPr>
        <w:instrText xml:space="preserve"> PAGEREF _Toc2705 \h </w:instrText>
      </w:r>
      <w:r>
        <w:rPr>
          <w:color w:val="auto"/>
        </w:rPr>
        <w:fldChar w:fldCharType="separate"/>
      </w:r>
      <w:r>
        <w:rPr>
          <w:color w:val="auto"/>
        </w:rPr>
        <w:t>25</w:t>
      </w:r>
      <w:r>
        <w:rPr>
          <w:color w:val="auto"/>
        </w:rPr>
        <w:fldChar w:fldCharType="end"/>
      </w:r>
      <w:r>
        <w:rPr>
          <w:bCs/>
          <w:color w:val="auto"/>
          <w:szCs w:val="21"/>
        </w:rPr>
        <w:fldChar w:fldCharType="end"/>
      </w:r>
    </w:p>
    <w:p w14:paraId="1DC04B27">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_Toc1458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2.1 招标文件的组成</w:t>
      </w:r>
      <w:r>
        <w:rPr>
          <w:color w:val="auto"/>
        </w:rPr>
        <w:tab/>
      </w:r>
      <w:r>
        <w:rPr>
          <w:color w:val="auto"/>
        </w:rPr>
        <w:fldChar w:fldCharType="begin"/>
      </w:r>
      <w:r>
        <w:rPr>
          <w:color w:val="auto"/>
        </w:rPr>
        <w:instrText xml:space="preserve"> PAGEREF _Toc1458 \h </w:instrText>
      </w:r>
      <w:r>
        <w:rPr>
          <w:color w:val="auto"/>
        </w:rPr>
        <w:fldChar w:fldCharType="separate"/>
      </w:r>
      <w:r>
        <w:rPr>
          <w:color w:val="auto"/>
        </w:rPr>
        <w:t>25</w:t>
      </w:r>
      <w:r>
        <w:rPr>
          <w:color w:val="auto"/>
        </w:rPr>
        <w:fldChar w:fldCharType="end"/>
      </w:r>
      <w:r>
        <w:rPr>
          <w:bCs/>
          <w:color w:val="auto"/>
          <w:szCs w:val="21"/>
        </w:rPr>
        <w:fldChar w:fldCharType="end"/>
      </w:r>
    </w:p>
    <w:p w14:paraId="47DD09D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_Toc25696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2.2 招标文件的澄清和修改</w:t>
      </w:r>
      <w:r>
        <w:rPr>
          <w:color w:val="auto"/>
        </w:rPr>
        <w:tab/>
      </w:r>
      <w:r>
        <w:rPr>
          <w:color w:val="auto"/>
        </w:rPr>
        <w:fldChar w:fldCharType="begin"/>
      </w:r>
      <w:r>
        <w:rPr>
          <w:color w:val="auto"/>
        </w:rPr>
        <w:instrText xml:space="preserve"> PAGEREF _Toc25696 \h </w:instrText>
      </w:r>
      <w:r>
        <w:rPr>
          <w:color w:val="auto"/>
        </w:rPr>
        <w:fldChar w:fldCharType="separate"/>
      </w:r>
      <w:r>
        <w:rPr>
          <w:color w:val="auto"/>
        </w:rPr>
        <w:t>25</w:t>
      </w:r>
      <w:r>
        <w:rPr>
          <w:color w:val="auto"/>
        </w:rPr>
        <w:fldChar w:fldCharType="end"/>
      </w:r>
      <w:r>
        <w:rPr>
          <w:bCs/>
          <w:color w:val="auto"/>
          <w:szCs w:val="21"/>
        </w:rPr>
        <w:fldChar w:fldCharType="end"/>
      </w:r>
    </w:p>
    <w:p w14:paraId="32C221B6">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_Toc10196 </w:instrText>
      </w:r>
      <w:r>
        <w:rPr>
          <w:bCs/>
          <w:color w:val="auto"/>
          <w:szCs w:val="21"/>
        </w:rPr>
        <w:fldChar w:fldCharType="separate"/>
      </w:r>
      <w:r>
        <w:rPr>
          <w:rFonts w:hint="eastAsia" w:ascii="方正黑体_GBK" w:hAnsi="方正黑体_GBK" w:eastAsia="方正黑体_GBK" w:cs="方正黑体_GBK"/>
          <w:color w:val="auto"/>
          <w:szCs w:val="24"/>
        </w:rPr>
        <w:t>3. 投标文件</w:t>
      </w:r>
      <w:r>
        <w:rPr>
          <w:color w:val="auto"/>
        </w:rPr>
        <w:tab/>
      </w:r>
      <w:r>
        <w:rPr>
          <w:color w:val="auto"/>
        </w:rPr>
        <w:fldChar w:fldCharType="begin"/>
      </w:r>
      <w:r>
        <w:rPr>
          <w:color w:val="auto"/>
        </w:rPr>
        <w:instrText xml:space="preserve"> PAGEREF _Toc10196 \h </w:instrText>
      </w:r>
      <w:r>
        <w:rPr>
          <w:color w:val="auto"/>
        </w:rPr>
        <w:fldChar w:fldCharType="separate"/>
      </w:r>
      <w:r>
        <w:rPr>
          <w:color w:val="auto"/>
        </w:rPr>
        <w:t>26</w:t>
      </w:r>
      <w:r>
        <w:rPr>
          <w:color w:val="auto"/>
        </w:rPr>
        <w:fldChar w:fldCharType="end"/>
      </w:r>
      <w:r>
        <w:rPr>
          <w:bCs/>
          <w:color w:val="auto"/>
          <w:szCs w:val="21"/>
        </w:rPr>
        <w:fldChar w:fldCharType="end"/>
      </w:r>
    </w:p>
    <w:p w14:paraId="3F0FAC7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_Toc4074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3.1 投标文件的组成</w:t>
      </w:r>
      <w:r>
        <w:rPr>
          <w:color w:val="auto"/>
        </w:rPr>
        <w:tab/>
      </w:r>
      <w:r>
        <w:rPr>
          <w:color w:val="auto"/>
        </w:rPr>
        <w:fldChar w:fldCharType="begin"/>
      </w:r>
      <w:r>
        <w:rPr>
          <w:color w:val="auto"/>
        </w:rPr>
        <w:instrText xml:space="preserve"> PAGEREF _Toc4074 \h </w:instrText>
      </w:r>
      <w:r>
        <w:rPr>
          <w:color w:val="auto"/>
        </w:rPr>
        <w:fldChar w:fldCharType="separate"/>
      </w:r>
      <w:r>
        <w:rPr>
          <w:color w:val="auto"/>
        </w:rPr>
        <w:t>26</w:t>
      </w:r>
      <w:r>
        <w:rPr>
          <w:color w:val="auto"/>
        </w:rPr>
        <w:fldChar w:fldCharType="end"/>
      </w:r>
      <w:r>
        <w:rPr>
          <w:bCs/>
          <w:color w:val="auto"/>
          <w:szCs w:val="21"/>
        </w:rPr>
        <w:fldChar w:fldCharType="end"/>
      </w:r>
    </w:p>
    <w:p w14:paraId="29B117B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_Toc19347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3.2 投标报价</w:t>
      </w:r>
      <w:r>
        <w:rPr>
          <w:color w:val="auto"/>
        </w:rPr>
        <w:tab/>
      </w:r>
      <w:r>
        <w:rPr>
          <w:color w:val="auto"/>
        </w:rPr>
        <w:fldChar w:fldCharType="begin"/>
      </w:r>
      <w:r>
        <w:rPr>
          <w:color w:val="auto"/>
        </w:rPr>
        <w:instrText xml:space="preserve"> PAGEREF _Toc19347 \h </w:instrText>
      </w:r>
      <w:r>
        <w:rPr>
          <w:color w:val="auto"/>
        </w:rPr>
        <w:fldChar w:fldCharType="separate"/>
      </w:r>
      <w:r>
        <w:rPr>
          <w:color w:val="auto"/>
        </w:rPr>
        <w:t>26</w:t>
      </w:r>
      <w:r>
        <w:rPr>
          <w:color w:val="auto"/>
        </w:rPr>
        <w:fldChar w:fldCharType="end"/>
      </w:r>
      <w:r>
        <w:rPr>
          <w:bCs/>
          <w:color w:val="auto"/>
          <w:szCs w:val="21"/>
        </w:rPr>
        <w:fldChar w:fldCharType="end"/>
      </w:r>
    </w:p>
    <w:p w14:paraId="3F819AA6">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_Toc9085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3.3 投标有效期</w:t>
      </w:r>
      <w:r>
        <w:rPr>
          <w:color w:val="auto"/>
        </w:rPr>
        <w:tab/>
      </w:r>
      <w:r>
        <w:rPr>
          <w:color w:val="auto"/>
        </w:rPr>
        <w:fldChar w:fldCharType="begin"/>
      </w:r>
      <w:r>
        <w:rPr>
          <w:color w:val="auto"/>
        </w:rPr>
        <w:instrText xml:space="preserve"> PAGEREF _Toc9085 \h </w:instrText>
      </w:r>
      <w:r>
        <w:rPr>
          <w:color w:val="auto"/>
        </w:rPr>
        <w:fldChar w:fldCharType="separate"/>
      </w:r>
      <w:r>
        <w:rPr>
          <w:color w:val="auto"/>
        </w:rPr>
        <w:t>26</w:t>
      </w:r>
      <w:r>
        <w:rPr>
          <w:color w:val="auto"/>
        </w:rPr>
        <w:fldChar w:fldCharType="end"/>
      </w:r>
      <w:r>
        <w:rPr>
          <w:bCs/>
          <w:color w:val="auto"/>
          <w:szCs w:val="21"/>
        </w:rPr>
        <w:fldChar w:fldCharType="end"/>
      </w:r>
    </w:p>
    <w:p w14:paraId="30970D64">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_Toc364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3.4   投标保证金</w:t>
      </w:r>
      <w:r>
        <w:rPr>
          <w:color w:val="auto"/>
        </w:rPr>
        <w:tab/>
      </w:r>
      <w:r>
        <w:rPr>
          <w:color w:val="auto"/>
        </w:rPr>
        <w:fldChar w:fldCharType="begin"/>
      </w:r>
      <w:r>
        <w:rPr>
          <w:color w:val="auto"/>
        </w:rPr>
        <w:instrText xml:space="preserve"> PAGEREF _Toc364 \h </w:instrText>
      </w:r>
      <w:r>
        <w:rPr>
          <w:color w:val="auto"/>
        </w:rPr>
        <w:fldChar w:fldCharType="separate"/>
      </w:r>
      <w:r>
        <w:rPr>
          <w:color w:val="auto"/>
        </w:rPr>
        <w:t>27</w:t>
      </w:r>
      <w:r>
        <w:rPr>
          <w:color w:val="auto"/>
        </w:rPr>
        <w:fldChar w:fldCharType="end"/>
      </w:r>
      <w:r>
        <w:rPr>
          <w:bCs/>
          <w:color w:val="auto"/>
          <w:szCs w:val="21"/>
        </w:rPr>
        <w:fldChar w:fldCharType="end"/>
      </w:r>
    </w:p>
    <w:p w14:paraId="5808F9FE">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_Toc8903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3.5 实质性响应招标文件资料</w:t>
      </w:r>
      <w:r>
        <w:rPr>
          <w:color w:val="auto"/>
        </w:rPr>
        <w:tab/>
      </w:r>
      <w:r>
        <w:rPr>
          <w:color w:val="auto"/>
        </w:rPr>
        <w:fldChar w:fldCharType="begin"/>
      </w:r>
      <w:r>
        <w:rPr>
          <w:color w:val="auto"/>
        </w:rPr>
        <w:instrText xml:space="preserve"> PAGEREF _Toc8903 \h </w:instrText>
      </w:r>
      <w:r>
        <w:rPr>
          <w:color w:val="auto"/>
        </w:rPr>
        <w:fldChar w:fldCharType="separate"/>
      </w:r>
      <w:r>
        <w:rPr>
          <w:color w:val="auto"/>
        </w:rPr>
        <w:t>27</w:t>
      </w:r>
      <w:r>
        <w:rPr>
          <w:color w:val="auto"/>
        </w:rPr>
        <w:fldChar w:fldCharType="end"/>
      </w:r>
      <w:r>
        <w:rPr>
          <w:bCs/>
          <w:color w:val="auto"/>
          <w:szCs w:val="21"/>
        </w:rPr>
        <w:fldChar w:fldCharType="end"/>
      </w:r>
    </w:p>
    <w:p w14:paraId="77B3D3D8">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_Toc2222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3.6 备选投标方案</w:t>
      </w:r>
      <w:r>
        <w:rPr>
          <w:color w:val="auto"/>
        </w:rPr>
        <w:tab/>
      </w:r>
      <w:r>
        <w:rPr>
          <w:color w:val="auto"/>
        </w:rPr>
        <w:fldChar w:fldCharType="begin"/>
      </w:r>
      <w:r>
        <w:rPr>
          <w:color w:val="auto"/>
        </w:rPr>
        <w:instrText xml:space="preserve"> PAGEREF _Toc2222 \h </w:instrText>
      </w:r>
      <w:r>
        <w:rPr>
          <w:color w:val="auto"/>
        </w:rPr>
        <w:fldChar w:fldCharType="separate"/>
      </w:r>
      <w:r>
        <w:rPr>
          <w:color w:val="auto"/>
        </w:rPr>
        <w:t>27</w:t>
      </w:r>
      <w:r>
        <w:rPr>
          <w:color w:val="auto"/>
        </w:rPr>
        <w:fldChar w:fldCharType="end"/>
      </w:r>
      <w:r>
        <w:rPr>
          <w:bCs/>
          <w:color w:val="auto"/>
          <w:szCs w:val="21"/>
        </w:rPr>
        <w:fldChar w:fldCharType="end"/>
      </w:r>
    </w:p>
    <w:p w14:paraId="68A2AE06">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_Toc18114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3.7 投标文件的编制</w:t>
      </w:r>
      <w:r>
        <w:rPr>
          <w:color w:val="auto"/>
        </w:rPr>
        <w:tab/>
      </w:r>
      <w:r>
        <w:rPr>
          <w:color w:val="auto"/>
        </w:rPr>
        <w:fldChar w:fldCharType="begin"/>
      </w:r>
      <w:r>
        <w:rPr>
          <w:color w:val="auto"/>
        </w:rPr>
        <w:instrText xml:space="preserve"> PAGEREF _Toc18114 \h </w:instrText>
      </w:r>
      <w:r>
        <w:rPr>
          <w:color w:val="auto"/>
        </w:rPr>
        <w:fldChar w:fldCharType="separate"/>
      </w:r>
      <w:r>
        <w:rPr>
          <w:color w:val="auto"/>
        </w:rPr>
        <w:t>27</w:t>
      </w:r>
      <w:r>
        <w:rPr>
          <w:color w:val="auto"/>
        </w:rPr>
        <w:fldChar w:fldCharType="end"/>
      </w:r>
      <w:r>
        <w:rPr>
          <w:bCs/>
          <w:color w:val="auto"/>
          <w:szCs w:val="21"/>
        </w:rPr>
        <w:fldChar w:fldCharType="end"/>
      </w:r>
    </w:p>
    <w:p w14:paraId="00948A50">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_Toc5147 </w:instrText>
      </w:r>
      <w:r>
        <w:rPr>
          <w:bCs/>
          <w:color w:val="auto"/>
          <w:szCs w:val="21"/>
        </w:rPr>
        <w:fldChar w:fldCharType="separate"/>
      </w:r>
      <w:r>
        <w:rPr>
          <w:rFonts w:hint="eastAsia" w:ascii="方正黑体_GBK" w:hAnsi="方正黑体_GBK" w:eastAsia="方正黑体_GBK" w:cs="方正黑体_GBK"/>
          <w:color w:val="auto"/>
          <w:szCs w:val="24"/>
        </w:rPr>
        <w:t>4. 投标</w:t>
      </w:r>
      <w:r>
        <w:rPr>
          <w:color w:val="auto"/>
        </w:rPr>
        <w:tab/>
      </w:r>
      <w:r>
        <w:rPr>
          <w:color w:val="auto"/>
        </w:rPr>
        <w:fldChar w:fldCharType="begin"/>
      </w:r>
      <w:r>
        <w:rPr>
          <w:color w:val="auto"/>
        </w:rPr>
        <w:instrText xml:space="preserve"> PAGEREF _Toc5147 \h </w:instrText>
      </w:r>
      <w:r>
        <w:rPr>
          <w:color w:val="auto"/>
        </w:rPr>
        <w:fldChar w:fldCharType="separate"/>
      </w:r>
      <w:r>
        <w:rPr>
          <w:color w:val="auto"/>
        </w:rPr>
        <w:t>27</w:t>
      </w:r>
      <w:r>
        <w:rPr>
          <w:color w:val="auto"/>
        </w:rPr>
        <w:fldChar w:fldCharType="end"/>
      </w:r>
      <w:r>
        <w:rPr>
          <w:bCs/>
          <w:color w:val="auto"/>
          <w:szCs w:val="21"/>
        </w:rPr>
        <w:fldChar w:fldCharType="end"/>
      </w:r>
    </w:p>
    <w:p w14:paraId="0E84E84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_Toc20608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4.1 投标文件的递交</w:t>
      </w:r>
      <w:r>
        <w:rPr>
          <w:color w:val="auto"/>
        </w:rPr>
        <w:tab/>
      </w:r>
      <w:r>
        <w:rPr>
          <w:color w:val="auto"/>
        </w:rPr>
        <w:fldChar w:fldCharType="begin"/>
      </w:r>
      <w:r>
        <w:rPr>
          <w:color w:val="auto"/>
        </w:rPr>
        <w:instrText xml:space="preserve"> PAGEREF _Toc20608 \h </w:instrText>
      </w:r>
      <w:r>
        <w:rPr>
          <w:color w:val="auto"/>
        </w:rPr>
        <w:fldChar w:fldCharType="separate"/>
      </w:r>
      <w:r>
        <w:rPr>
          <w:color w:val="auto"/>
        </w:rPr>
        <w:t>27</w:t>
      </w:r>
      <w:r>
        <w:rPr>
          <w:color w:val="auto"/>
        </w:rPr>
        <w:fldChar w:fldCharType="end"/>
      </w:r>
      <w:r>
        <w:rPr>
          <w:bCs/>
          <w:color w:val="auto"/>
          <w:szCs w:val="21"/>
        </w:rPr>
        <w:fldChar w:fldCharType="end"/>
      </w:r>
    </w:p>
    <w:p w14:paraId="4E929B4E">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_Toc15471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4.2 投标文件的修改与撤回</w:t>
      </w:r>
      <w:r>
        <w:rPr>
          <w:color w:val="auto"/>
        </w:rPr>
        <w:tab/>
      </w:r>
      <w:r>
        <w:rPr>
          <w:color w:val="auto"/>
        </w:rPr>
        <w:fldChar w:fldCharType="begin"/>
      </w:r>
      <w:r>
        <w:rPr>
          <w:color w:val="auto"/>
        </w:rPr>
        <w:instrText xml:space="preserve"> PAGEREF _Toc15471 \h </w:instrText>
      </w:r>
      <w:r>
        <w:rPr>
          <w:color w:val="auto"/>
        </w:rPr>
        <w:fldChar w:fldCharType="separate"/>
      </w:r>
      <w:r>
        <w:rPr>
          <w:color w:val="auto"/>
        </w:rPr>
        <w:t>28</w:t>
      </w:r>
      <w:r>
        <w:rPr>
          <w:color w:val="auto"/>
        </w:rPr>
        <w:fldChar w:fldCharType="end"/>
      </w:r>
      <w:r>
        <w:rPr>
          <w:bCs/>
          <w:color w:val="auto"/>
          <w:szCs w:val="21"/>
        </w:rPr>
        <w:fldChar w:fldCharType="end"/>
      </w:r>
    </w:p>
    <w:p w14:paraId="5B2CE053">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_Toc10747 </w:instrText>
      </w:r>
      <w:r>
        <w:rPr>
          <w:bCs/>
          <w:color w:val="auto"/>
          <w:szCs w:val="21"/>
        </w:rPr>
        <w:fldChar w:fldCharType="separate"/>
      </w:r>
      <w:r>
        <w:rPr>
          <w:rFonts w:hint="eastAsia" w:ascii="方正黑体_GBK" w:hAnsi="方正黑体_GBK" w:eastAsia="方正黑体_GBK" w:cs="方正黑体_GBK"/>
          <w:color w:val="auto"/>
          <w:szCs w:val="24"/>
        </w:rPr>
        <w:t>5. 开标</w:t>
      </w:r>
      <w:r>
        <w:rPr>
          <w:color w:val="auto"/>
        </w:rPr>
        <w:tab/>
      </w:r>
      <w:r>
        <w:rPr>
          <w:color w:val="auto"/>
        </w:rPr>
        <w:fldChar w:fldCharType="begin"/>
      </w:r>
      <w:r>
        <w:rPr>
          <w:color w:val="auto"/>
        </w:rPr>
        <w:instrText xml:space="preserve"> PAGEREF _Toc10747 \h </w:instrText>
      </w:r>
      <w:r>
        <w:rPr>
          <w:color w:val="auto"/>
        </w:rPr>
        <w:fldChar w:fldCharType="separate"/>
      </w:r>
      <w:r>
        <w:rPr>
          <w:color w:val="auto"/>
        </w:rPr>
        <w:t>28</w:t>
      </w:r>
      <w:r>
        <w:rPr>
          <w:color w:val="auto"/>
        </w:rPr>
        <w:fldChar w:fldCharType="end"/>
      </w:r>
      <w:r>
        <w:rPr>
          <w:bCs/>
          <w:color w:val="auto"/>
          <w:szCs w:val="21"/>
        </w:rPr>
        <w:fldChar w:fldCharType="end"/>
      </w:r>
    </w:p>
    <w:p w14:paraId="5F212D7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_Toc20288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5.1 开标时间、地点和要求</w:t>
      </w:r>
      <w:r>
        <w:rPr>
          <w:color w:val="auto"/>
        </w:rPr>
        <w:tab/>
      </w:r>
      <w:r>
        <w:rPr>
          <w:color w:val="auto"/>
        </w:rPr>
        <w:fldChar w:fldCharType="begin"/>
      </w:r>
      <w:r>
        <w:rPr>
          <w:color w:val="auto"/>
        </w:rPr>
        <w:instrText xml:space="preserve"> PAGEREF _Toc20288 \h </w:instrText>
      </w:r>
      <w:r>
        <w:rPr>
          <w:color w:val="auto"/>
        </w:rPr>
        <w:fldChar w:fldCharType="separate"/>
      </w:r>
      <w:r>
        <w:rPr>
          <w:color w:val="auto"/>
        </w:rPr>
        <w:t>28</w:t>
      </w:r>
      <w:r>
        <w:rPr>
          <w:color w:val="auto"/>
        </w:rPr>
        <w:fldChar w:fldCharType="end"/>
      </w:r>
      <w:r>
        <w:rPr>
          <w:bCs/>
          <w:color w:val="auto"/>
          <w:szCs w:val="21"/>
        </w:rPr>
        <w:fldChar w:fldCharType="end"/>
      </w:r>
    </w:p>
    <w:p w14:paraId="6E76BA1C">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_Toc20454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5.2 开标程序</w:t>
      </w:r>
      <w:r>
        <w:rPr>
          <w:color w:val="auto"/>
        </w:rPr>
        <w:tab/>
      </w:r>
      <w:r>
        <w:rPr>
          <w:color w:val="auto"/>
        </w:rPr>
        <w:fldChar w:fldCharType="begin"/>
      </w:r>
      <w:r>
        <w:rPr>
          <w:color w:val="auto"/>
        </w:rPr>
        <w:instrText xml:space="preserve"> PAGEREF _Toc20454 \h </w:instrText>
      </w:r>
      <w:r>
        <w:rPr>
          <w:color w:val="auto"/>
        </w:rPr>
        <w:fldChar w:fldCharType="separate"/>
      </w:r>
      <w:r>
        <w:rPr>
          <w:color w:val="auto"/>
        </w:rPr>
        <w:t>28</w:t>
      </w:r>
      <w:r>
        <w:rPr>
          <w:color w:val="auto"/>
        </w:rPr>
        <w:fldChar w:fldCharType="end"/>
      </w:r>
      <w:r>
        <w:rPr>
          <w:bCs/>
          <w:color w:val="auto"/>
          <w:szCs w:val="21"/>
        </w:rPr>
        <w:fldChar w:fldCharType="end"/>
      </w:r>
    </w:p>
    <w:p w14:paraId="631EDCB1">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_Toc3586 </w:instrText>
      </w:r>
      <w:r>
        <w:rPr>
          <w:bCs/>
          <w:color w:val="auto"/>
          <w:szCs w:val="21"/>
        </w:rPr>
        <w:fldChar w:fldCharType="separate"/>
      </w:r>
      <w:r>
        <w:rPr>
          <w:rFonts w:hint="eastAsia" w:ascii="方正黑体_GBK" w:hAnsi="方正黑体_GBK" w:eastAsia="方正黑体_GBK" w:cs="方正黑体_GBK"/>
          <w:color w:val="auto"/>
          <w:szCs w:val="24"/>
        </w:rPr>
        <w:t>6. 评标</w:t>
      </w:r>
      <w:r>
        <w:rPr>
          <w:color w:val="auto"/>
        </w:rPr>
        <w:tab/>
      </w:r>
      <w:r>
        <w:rPr>
          <w:color w:val="auto"/>
        </w:rPr>
        <w:fldChar w:fldCharType="begin"/>
      </w:r>
      <w:r>
        <w:rPr>
          <w:color w:val="auto"/>
        </w:rPr>
        <w:instrText xml:space="preserve"> PAGEREF _Toc3586 \h </w:instrText>
      </w:r>
      <w:r>
        <w:rPr>
          <w:color w:val="auto"/>
        </w:rPr>
        <w:fldChar w:fldCharType="separate"/>
      </w:r>
      <w:r>
        <w:rPr>
          <w:color w:val="auto"/>
        </w:rPr>
        <w:t>28</w:t>
      </w:r>
      <w:r>
        <w:rPr>
          <w:color w:val="auto"/>
        </w:rPr>
        <w:fldChar w:fldCharType="end"/>
      </w:r>
      <w:r>
        <w:rPr>
          <w:bCs/>
          <w:color w:val="auto"/>
          <w:szCs w:val="21"/>
        </w:rPr>
        <w:fldChar w:fldCharType="end"/>
      </w:r>
    </w:p>
    <w:p w14:paraId="4BDD5AD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_Toc7986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6.1 评标委员会</w:t>
      </w:r>
      <w:r>
        <w:rPr>
          <w:color w:val="auto"/>
        </w:rPr>
        <w:tab/>
      </w:r>
      <w:r>
        <w:rPr>
          <w:color w:val="auto"/>
        </w:rPr>
        <w:fldChar w:fldCharType="begin"/>
      </w:r>
      <w:r>
        <w:rPr>
          <w:color w:val="auto"/>
        </w:rPr>
        <w:instrText xml:space="preserve"> PAGEREF _Toc7986 \h </w:instrText>
      </w:r>
      <w:r>
        <w:rPr>
          <w:color w:val="auto"/>
        </w:rPr>
        <w:fldChar w:fldCharType="separate"/>
      </w:r>
      <w:r>
        <w:rPr>
          <w:color w:val="auto"/>
        </w:rPr>
        <w:t>28</w:t>
      </w:r>
      <w:r>
        <w:rPr>
          <w:color w:val="auto"/>
        </w:rPr>
        <w:fldChar w:fldCharType="end"/>
      </w:r>
      <w:r>
        <w:rPr>
          <w:bCs/>
          <w:color w:val="auto"/>
          <w:szCs w:val="21"/>
        </w:rPr>
        <w:fldChar w:fldCharType="end"/>
      </w:r>
    </w:p>
    <w:p w14:paraId="3E8192BB">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_Toc9740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6.2 评标原则</w:t>
      </w:r>
      <w:r>
        <w:rPr>
          <w:color w:val="auto"/>
        </w:rPr>
        <w:tab/>
      </w:r>
      <w:r>
        <w:rPr>
          <w:color w:val="auto"/>
        </w:rPr>
        <w:fldChar w:fldCharType="begin"/>
      </w:r>
      <w:r>
        <w:rPr>
          <w:color w:val="auto"/>
        </w:rPr>
        <w:instrText xml:space="preserve"> PAGEREF _Toc9740 \h </w:instrText>
      </w:r>
      <w:r>
        <w:rPr>
          <w:color w:val="auto"/>
        </w:rPr>
        <w:fldChar w:fldCharType="separate"/>
      </w:r>
      <w:r>
        <w:rPr>
          <w:color w:val="auto"/>
        </w:rPr>
        <w:t>29</w:t>
      </w:r>
      <w:r>
        <w:rPr>
          <w:color w:val="auto"/>
        </w:rPr>
        <w:fldChar w:fldCharType="end"/>
      </w:r>
      <w:r>
        <w:rPr>
          <w:bCs/>
          <w:color w:val="auto"/>
          <w:szCs w:val="21"/>
        </w:rPr>
        <w:fldChar w:fldCharType="end"/>
      </w:r>
    </w:p>
    <w:p w14:paraId="78B63D36">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_Toc19316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6.3 评标</w:t>
      </w:r>
      <w:r>
        <w:rPr>
          <w:color w:val="auto"/>
        </w:rPr>
        <w:tab/>
      </w:r>
      <w:r>
        <w:rPr>
          <w:color w:val="auto"/>
        </w:rPr>
        <w:fldChar w:fldCharType="begin"/>
      </w:r>
      <w:r>
        <w:rPr>
          <w:color w:val="auto"/>
        </w:rPr>
        <w:instrText xml:space="preserve"> PAGEREF _Toc19316 \h </w:instrText>
      </w:r>
      <w:r>
        <w:rPr>
          <w:color w:val="auto"/>
        </w:rPr>
        <w:fldChar w:fldCharType="separate"/>
      </w:r>
      <w:r>
        <w:rPr>
          <w:color w:val="auto"/>
        </w:rPr>
        <w:t>29</w:t>
      </w:r>
      <w:r>
        <w:rPr>
          <w:color w:val="auto"/>
        </w:rPr>
        <w:fldChar w:fldCharType="end"/>
      </w:r>
      <w:r>
        <w:rPr>
          <w:bCs/>
          <w:color w:val="auto"/>
          <w:szCs w:val="21"/>
        </w:rPr>
        <w:fldChar w:fldCharType="end"/>
      </w:r>
    </w:p>
    <w:p w14:paraId="79CC0A8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_Toc12743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6.4 中标候选人公示</w:t>
      </w:r>
      <w:r>
        <w:rPr>
          <w:color w:val="auto"/>
        </w:rPr>
        <w:tab/>
      </w:r>
      <w:r>
        <w:rPr>
          <w:color w:val="auto"/>
        </w:rPr>
        <w:fldChar w:fldCharType="begin"/>
      </w:r>
      <w:r>
        <w:rPr>
          <w:color w:val="auto"/>
        </w:rPr>
        <w:instrText xml:space="preserve"> PAGEREF _Toc12743 \h </w:instrText>
      </w:r>
      <w:r>
        <w:rPr>
          <w:color w:val="auto"/>
        </w:rPr>
        <w:fldChar w:fldCharType="separate"/>
      </w:r>
      <w:r>
        <w:rPr>
          <w:color w:val="auto"/>
        </w:rPr>
        <w:t>29</w:t>
      </w:r>
      <w:r>
        <w:rPr>
          <w:color w:val="auto"/>
        </w:rPr>
        <w:fldChar w:fldCharType="end"/>
      </w:r>
      <w:r>
        <w:rPr>
          <w:bCs/>
          <w:color w:val="auto"/>
          <w:szCs w:val="21"/>
        </w:rPr>
        <w:fldChar w:fldCharType="end"/>
      </w:r>
    </w:p>
    <w:p w14:paraId="5F4BAFD3">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_Toc11735 </w:instrText>
      </w:r>
      <w:r>
        <w:rPr>
          <w:bCs/>
          <w:color w:val="auto"/>
          <w:szCs w:val="21"/>
        </w:rPr>
        <w:fldChar w:fldCharType="separate"/>
      </w:r>
      <w:r>
        <w:rPr>
          <w:rFonts w:hint="eastAsia" w:ascii="方正黑体_GBK" w:hAnsi="方正黑体_GBK" w:eastAsia="方正黑体_GBK" w:cs="方正黑体_GBK"/>
          <w:color w:val="auto"/>
          <w:szCs w:val="24"/>
        </w:rPr>
        <w:t>7. 合同授予</w:t>
      </w:r>
      <w:r>
        <w:rPr>
          <w:color w:val="auto"/>
        </w:rPr>
        <w:tab/>
      </w:r>
      <w:r>
        <w:rPr>
          <w:color w:val="auto"/>
        </w:rPr>
        <w:fldChar w:fldCharType="begin"/>
      </w:r>
      <w:r>
        <w:rPr>
          <w:color w:val="auto"/>
        </w:rPr>
        <w:instrText xml:space="preserve"> PAGEREF _Toc11735 \h </w:instrText>
      </w:r>
      <w:r>
        <w:rPr>
          <w:color w:val="auto"/>
        </w:rPr>
        <w:fldChar w:fldCharType="separate"/>
      </w:r>
      <w:r>
        <w:rPr>
          <w:color w:val="auto"/>
        </w:rPr>
        <w:t>29</w:t>
      </w:r>
      <w:r>
        <w:rPr>
          <w:color w:val="auto"/>
        </w:rPr>
        <w:fldChar w:fldCharType="end"/>
      </w:r>
      <w:r>
        <w:rPr>
          <w:bCs/>
          <w:color w:val="auto"/>
          <w:szCs w:val="21"/>
        </w:rPr>
        <w:fldChar w:fldCharType="end"/>
      </w:r>
    </w:p>
    <w:p w14:paraId="4A638F5C">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_Toc21629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7.1 确定中标人</w:t>
      </w:r>
      <w:r>
        <w:rPr>
          <w:color w:val="auto"/>
        </w:rPr>
        <w:tab/>
      </w:r>
      <w:r>
        <w:rPr>
          <w:color w:val="auto"/>
        </w:rPr>
        <w:fldChar w:fldCharType="begin"/>
      </w:r>
      <w:r>
        <w:rPr>
          <w:color w:val="auto"/>
        </w:rPr>
        <w:instrText xml:space="preserve"> PAGEREF _Toc21629 \h </w:instrText>
      </w:r>
      <w:r>
        <w:rPr>
          <w:color w:val="auto"/>
        </w:rPr>
        <w:fldChar w:fldCharType="separate"/>
      </w:r>
      <w:r>
        <w:rPr>
          <w:color w:val="auto"/>
        </w:rPr>
        <w:t>29</w:t>
      </w:r>
      <w:r>
        <w:rPr>
          <w:color w:val="auto"/>
        </w:rPr>
        <w:fldChar w:fldCharType="end"/>
      </w:r>
      <w:r>
        <w:rPr>
          <w:bCs/>
          <w:color w:val="auto"/>
          <w:szCs w:val="21"/>
        </w:rPr>
        <w:fldChar w:fldCharType="end"/>
      </w:r>
    </w:p>
    <w:p w14:paraId="31CFAD99">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_Toc22588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7.2中标通知</w:t>
      </w:r>
      <w:r>
        <w:rPr>
          <w:color w:val="auto"/>
        </w:rPr>
        <w:tab/>
      </w:r>
      <w:r>
        <w:rPr>
          <w:color w:val="auto"/>
        </w:rPr>
        <w:fldChar w:fldCharType="begin"/>
      </w:r>
      <w:r>
        <w:rPr>
          <w:color w:val="auto"/>
        </w:rPr>
        <w:instrText xml:space="preserve"> PAGEREF _Toc22588 \h </w:instrText>
      </w:r>
      <w:r>
        <w:rPr>
          <w:color w:val="auto"/>
        </w:rPr>
        <w:fldChar w:fldCharType="separate"/>
      </w:r>
      <w:r>
        <w:rPr>
          <w:color w:val="auto"/>
        </w:rPr>
        <w:t>29</w:t>
      </w:r>
      <w:r>
        <w:rPr>
          <w:color w:val="auto"/>
        </w:rPr>
        <w:fldChar w:fldCharType="end"/>
      </w:r>
      <w:r>
        <w:rPr>
          <w:bCs/>
          <w:color w:val="auto"/>
          <w:szCs w:val="21"/>
        </w:rPr>
        <w:fldChar w:fldCharType="end"/>
      </w:r>
    </w:p>
    <w:p w14:paraId="73DD2034">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_Toc19798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7.3 履约保证金</w:t>
      </w:r>
      <w:r>
        <w:rPr>
          <w:color w:val="auto"/>
        </w:rPr>
        <w:tab/>
      </w:r>
      <w:r>
        <w:rPr>
          <w:color w:val="auto"/>
        </w:rPr>
        <w:fldChar w:fldCharType="begin"/>
      </w:r>
      <w:r>
        <w:rPr>
          <w:color w:val="auto"/>
        </w:rPr>
        <w:instrText xml:space="preserve"> PAGEREF _Toc19798 \h </w:instrText>
      </w:r>
      <w:r>
        <w:rPr>
          <w:color w:val="auto"/>
        </w:rPr>
        <w:fldChar w:fldCharType="separate"/>
      </w:r>
      <w:r>
        <w:rPr>
          <w:color w:val="auto"/>
        </w:rPr>
        <w:t>29</w:t>
      </w:r>
      <w:r>
        <w:rPr>
          <w:color w:val="auto"/>
        </w:rPr>
        <w:fldChar w:fldCharType="end"/>
      </w:r>
      <w:r>
        <w:rPr>
          <w:bCs/>
          <w:color w:val="auto"/>
          <w:szCs w:val="21"/>
        </w:rPr>
        <w:fldChar w:fldCharType="end"/>
      </w:r>
    </w:p>
    <w:p w14:paraId="09F94B00">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_Toc30388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7.4 中标候选人履约能力审查</w:t>
      </w:r>
      <w:r>
        <w:rPr>
          <w:color w:val="auto"/>
        </w:rPr>
        <w:tab/>
      </w:r>
      <w:r>
        <w:rPr>
          <w:color w:val="auto"/>
        </w:rPr>
        <w:fldChar w:fldCharType="begin"/>
      </w:r>
      <w:r>
        <w:rPr>
          <w:color w:val="auto"/>
        </w:rPr>
        <w:instrText xml:space="preserve"> PAGEREF _Toc30388 \h </w:instrText>
      </w:r>
      <w:r>
        <w:rPr>
          <w:color w:val="auto"/>
        </w:rPr>
        <w:fldChar w:fldCharType="separate"/>
      </w:r>
      <w:r>
        <w:rPr>
          <w:color w:val="auto"/>
        </w:rPr>
        <w:t>30</w:t>
      </w:r>
      <w:r>
        <w:rPr>
          <w:color w:val="auto"/>
        </w:rPr>
        <w:fldChar w:fldCharType="end"/>
      </w:r>
      <w:r>
        <w:rPr>
          <w:bCs/>
          <w:color w:val="auto"/>
          <w:szCs w:val="21"/>
        </w:rPr>
        <w:fldChar w:fldCharType="end"/>
      </w:r>
    </w:p>
    <w:p w14:paraId="3638D8F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_Toc902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7.5 签订合同</w:t>
      </w:r>
      <w:r>
        <w:rPr>
          <w:color w:val="auto"/>
        </w:rPr>
        <w:tab/>
      </w:r>
      <w:r>
        <w:rPr>
          <w:color w:val="auto"/>
        </w:rPr>
        <w:fldChar w:fldCharType="begin"/>
      </w:r>
      <w:r>
        <w:rPr>
          <w:color w:val="auto"/>
        </w:rPr>
        <w:instrText xml:space="preserve"> PAGEREF _Toc902 \h </w:instrText>
      </w:r>
      <w:r>
        <w:rPr>
          <w:color w:val="auto"/>
        </w:rPr>
        <w:fldChar w:fldCharType="separate"/>
      </w:r>
      <w:r>
        <w:rPr>
          <w:color w:val="auto"/>
        </w:rPr>
        <w:t>30</w:t>
      </w:r>
      <w:r>
        <w:rPr>
          <w:color w:val="auto"/>
        </w:rPr>
        <w:fldChar w:fldCharType="end"/>
      </w:r>
      <w:r>
        <w:rPr>
          <w:bCs/>
          <w:color w:val="auto"/>
          <w:szCs w:val="21"/>
        </w:rPr>
        <w:fldChar w:fldCharType="end"/>
      </w:r>
    </w:p>
    <w:p w14:paraId="5A015E0C">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_Toc23745 </w:instrText>
      </w:r>
      <w:r>
        <w:rPr>
          <w:bCs/>
          <w:color w:val="auto"/>
          <w:szCs w:val="21"/>
        </w:rPr>
        <w:fldChar w:fldCharType="separate"/>
      </w:r>
      <w:r>
        <w:rPr>
          <w:rFonts w:hint="eastAsia" w:ascii="方正黑体_GBK" w:hAnsi="方正黑体_GBK" w:eastAsia="方正黑体_GBK" w:cs="方正黑体_GBK"/>
          <w:bCs/>
          <w:color w:val="auto"/>
          <w:szCs w:val="24"/>
          <w:lang w:val="en-US" w:eastAsia="zh-CN"/>
        </w:rPr>
        <w:t>8.重新招标和不再招标</w:t>
      </w:r>
      <w:r>
        <w:rPr>
          <w:color w:val="auto"/>
        </w:rPr>
        <w:tab/>
      </w:r>
      <w:r>
        <w:rPr>
          <w:color w:val="auto"/>
        </w:rPr>
        <w:fldChar w:fldCharType="begin"/>
      </w:r>
      <w:r>
        <w:rPr>
          <w:color w:val="auto"/>
        </w:rPr>
        <w:instrText xml:space="preserve"> PAGEREF _Toc23745 \h </w:instrText>
      </w:r>
      <w:r>
        <w:rPr>
          <w:color w:val="auto"/>
        </w:rPr>
        <w:fldChar w:fldCharType="separate"/>
      </w:r>
      <w:r>
        <w:rPr>
          <w:color w:val="auto"/>
        </w:rPr>
        <w:t>30</w:t>
      </w:r>
      <w:r>
        <w:rPr>
          <w:color w:val="auto"/>
        </w:rPr>
        <w:fldChar w:fldCharType="end"/>
      </w:r>
      <w:r>
        <w:rPr>
          <w:bCs/>
          <w:color w:val="auto"/>
          <w:szCs w:val="21"/>
        </w:rPr>
        <w:fldChar w:fldCharType="end"/>
      </w:r>
    </w:p>
    <w:p w14:paraId="2956C3F1">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_Toc5156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8.1 重新招标</w:t>
      </w:r>
      <w:r>
        <w:rPr>
          <w:color w:val="auto"/>
        </w:rPr>
        <w:tab/>
      </w:r>
      <w:r>
        <w:rPr>
          <w:color w:val="auto"/>
        </w:rPr>
        <w:fldChar w:fldCharType="begin"/>
      </w:r>
      <w:r>
        <w:rPr>
          <w:color w:val="auto"/>
        </w:rPr>
        <w:instrText xml:space="preserve"> PAGEREF _Toc5156 \h </w:instrText>
      </w:r>
      <w:r>
        <w:rPr>
          <w:color w:val="auto"/>
        </w:rPr>
        <w:fldChar w:fldCharType="separate"/>
      </w:r>
      <w:r>
        <w:rPr>
          <w:color w:val="auto"/>
        </w:rPr>
        <w:t>30</w:t>
      </w:r>
      <w:r>
        <w:rPr>
          <w:color w:val="auto"/>
        </w:rPr>
        <w:fldChar w:fldCharType="end"/>
      </w:r>
      <w:r>
        <w:rPr>
          <w:bCs/>
          <w:color w:val="auto"/>
          <w:szCs w:val="21"/>
        </w:rPr>
        <w:fldChar w:fldCharType="end"/>
      </w:r>
    </w:p>
    <w:p w14:paraId="3D7A3D3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_Toc30826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8.2 不再招标</w:t>
      </w:r>
      <w:r>
        <w:rPr>
          <w:color w:val="auto"/>
        </w:rPr>
        <w:tab/>
      </w:r>
      <w:r>
        <w:rPr>
          <w:color w:val="auto"/>
        </w:rPr>
        <w:fldChar w:fldCharType="begin"/>
      </w:r>
      <w:r>
        <w:rPr>
          <w:color w:val="auto"/>
        </w:rPr>
        <w:instrText xml:space="preserve"> PAGEREF _Toc30826 \h </w:instrText>
      </w:r>
      <w:r>
        <w:rPr>
          <w:color w:val="auto"/>
        </w:rPr>
        <w:fldChar w:fldCharType="separate"/>
      </w:r>
      <w:r>
        <w:rPr>
          <w:color w:val="auto"/>
        </w:rPr>
        <w:t>30</w:t>
      </w:r>
      <w:r>
        <w:rPr>
          <w:color w:val="auto"/>
        </w:rPr>
        <w:fldChar w:fldCharType="end"/>
      </w:r>
      <w:r>
        <w:rPr>
          <w:bCs/>
          <w:color w:val="auto"/>
          <w:szCs w:val="21"/>
        </w:rPr>
        <w:fldChar w:fldCharType="end"/>
      </w:r>
    </w:p>
    <w:p w14:paraId="29C7BEB3">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_Toc17017 </w:instrText>
      </w:r>
      <w:r>
        <w:rPr>
          <w:bCs/>
          <w:color w:val="auto"/>
          <w:szCs w:val="21"/>
        </w:rPr>
        <w:fldChar w:fldCharType="separate"/>
      </w:r>
      <w:r>
        <w:rPr>
          <w:rFonts w:hint="eastAsia" w:ascii="方正黑体_GBK" w:hAnsi="方正黑体_GBK" w:eastAsia="方正黑体_GBK" w:cs="方正黑体_GBK"/>
          <w:color w:val="auto"/>
          <w:szCs w:val="24"/>
          <w:lang w:val="en-US" w:eastAsia="zh-CN"/>
        </w:rPr>
        <w:t>9</w:t>
      </w:r>
      <w:r>
        <w:rPr>
          <w:rFonts w:hint="eastAsia" w:ascii="方正黑体_GBK" w:hAnsi="方正黑体_GBK" w:eastAsia="方正黑体_GBK" w:cs="方正黑体_GBK"/>
          <w:color w:val="auto"/>
          <w:szCs w:val="24"/>
        </w:rPr>
        <w:t>. 纪律和监督</w:t>
      </w:r>
      <w:r>
        <w:rPr>
          <w:color w:val="auto"/>
        </w:rPr>
        <w:tab/>
      </w:r>
      <w:r>
        <w:rPr>
          <w:color w:val="auto"/>
        </w:rPr>
        <w:fldChar w:fldCharType="begin"/>
      </w:r>
      <w:r>
        <w:rPr>
          <w:color w:val="auto"/>
        </w:rPr>
        <w:instrText xml:space="preserve"> PAGEREF _Toc17017 \h </w:instrText>
      </w:r>
      <w:r>
        <w:rPr>
          <w:color w:val="auto"/>
        </w:rPr>
        <w:fldChar w:fldCharType="separate"/>
      </w:r>
      <w:r>
        <w:rPr>
          <w:color w:val="auto"/>
        </w:rPr>
        <w:t>30</w:t>
      </w:r>
      <w:r>
        <w:rPr>
          <w:color w:val="auto"/>
        </w:rPr>
        <w:fldChar w:fldCharType="end"/>
      </w:r>
      <w:r>
        <w:rPr>
          <w:bCs/>
          <w:color w:val="auto"/>
          <w:szCs w:val="21"/>
        </w:rPr>
        <w:fldChar w:fldCharType="end"/>
      </w:r>
    </w:p>
    <w:p w14:paraId="5971F76F">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_Toc32025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9.1 对招标人的纪律要求</w:t>
      </w:r>
      <w:r>
        <w:rPr>
          <w:color w:val="auto"/>
        </w:rPr>
        <w:tab/>
      </w:r>
      <w:r>
        <w:rPr>
          <w:color w:val="auto"/>
        </w:rPr>
        <w:fldChar w:fldCharType="begin"/>
      </w:r>
      <w:r>
        <w:rPr>
          <w:color w:val="auto"/>
        </w:rPr>
        <w:instrText xml:space="preserve"> PAGEREF _Toc32025 \h </w:instrText>
      </w:r>
      <w:r>
        <w:rPr>
          <w:color w:val="auto"/>
        </w:rPr>
        <w:fldChar w:fldCharType="separate"/>
      </w:r>
      <w:r>
        <w:rPr>
          <w:color w:val="auto"/>
        </w:rPr>
        <w:t>30</w:t>
      </w:r>
      <w:r>
        <w:rPr>
          <w:color w:val="auto"/>
        </w:rPr>
        <w:fldChar w:fldCharType="end"/>
      </w:r>
      <w:r>
        <w:rPr>
          <w:bCs/>
          <w:color w:val="auto"/>
          <w:szCs w:val="21"/>
        </w:rPr>
        <w:fldChar w:fldCharType="end"/>
      </w:r>
    </w:p>
    <w:p w14:paraId="6544C240">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_Toc19072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9.2 对投标人的纪律要求</w:t>
      </w:r>
      <w:r>
        <w:rPr>
          <w:color w:val="auto"/>
        </w:rPr>
        <w:tab/>
      </w:r>
      <w:r>
        <w:rPr>
          <w:color w:val="auto"/>
        </w:rPr>
        <w:fldChar w:fldCharType="begin"/>
      </w:r>
      <w:r>
        <w:rPr>
          <w:color w:val="auto"/>
        </w:rPr>
        <w:instrText xml:space="preserve"> PAGEREF _Toc19072 \h </w:instrText>
      </w:r>
      <w:r>
        <w:rPr>
          <w:color w:val="auto"/>
        </w:rPr>
        <w:fldChar w:fldCharType="separate"/>
      </w:r>
      <w:r>
        <w:rPr>
          <w:color w:val="auto"/>
        </w:rPr>
        <w:t>30</w:t>
      </w:r>
      <w:r>
        <w:rPr>
          <w:color w:val="auto"/>
        </w:rPr>
        <w:fldChar w:fldCharType="end"/>
      </w:r>
      <w:r>
        <w:rPr>
          <w:bCs/>
          <w:color w:val="auto"/>
          <w:szCs w:val="21"/>
        </w:rPr>
        <w:fldChar w:fldCharType="end"/>
      </w:r>
    </w:p>
    <w:p w14:paraId="4940AA7F">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_Toc21353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9.3 对评标委员会成员的纪律要求</w:t>
      </w:r>
      <w:r>
        <w:rPr>
          <w:color w:val="auto"/>
        </w:rPr>
        <w:tab/>
      </w:r>
      <w:r>
        <w:rPr>
          <w:color w:val="auto"/>
        </w:rPr>
        <w:fldChar w:fldCharType="begin"/>
      </w:r>
      <w:r>
        <w:rPr>
          <w:color w:val="auto"/>
        </w:rPr>
        <w:instrText xml:space="preserve"> PAGEREF _Toc21353 \h </w:instrText>
      </w:r>
      <w:r>
        <w:rPr>
          <w:color w:val="auto"/>
        </w:rPr>
        <w:fldChar w:fldCharType="separate"/>
      </w:r>
      <w:r>
        <w:rPr>
          <w:color w:val="auto"/>
        </w:rPr>
        <w:t>31</w:t>
      </w:r>
      <w:r>
        <w:rPr>
          <w:color w:val="auto"/>
        </w:rPr>
        <w:fldChar w:fldCharType="end"/>
      </w:r>
      <w:r>
        <w:rPr>
          <w:bCs/>
          <w:color w:val="auto"/>
          <w:szCs w:val="21"/>
        </w:rPr>
        <w:fldChar w:fldCharType="end"/>
      </w:r>
    </w:p>
    <w:p w14:paraId="05300673">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_Toc27265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9.4 对与评标活动有关的工作人员的纪律要求</w:t>
      </w:r>
      <w:r>
        <w:rPr>
          <w:color w:val="auto"/>
        </w:rPr>
        <w:tab/>
      </w:r>
      <w:r>
        <w:rPr>
          <w:color w:val="auto"/>
        </w:rPr>
        <w:fldChar w:fldCharType="begin"/>
      </w:r>
      <w:r>
        <w:rPr>
          <w:color w:val="auto"/>
        </w:rPr>
        <w:instrText xml:space="preserve"> PAGEREF _Toc27265 \h </w:instrText>
      </w:r>
      <w:r>
        <w:rPr>
          <w:color w:val="auto"/>
        </w:rPr>
        <w:fldChar w:fldCharType="separate"/>
      </w:r>
      <w:r>
        <w:rPr>
          <w:color w:val="auto"/>
        </w:rPr>
        <w:t>31</w:t>
      </w:r>
      <w:r>
        <w:rPr>
          <w:color w:val="auto"/>
        </w:rPr>
        <w:fldChar w:fldCharType="end"/>
      </w:r>
      <w:r>
        <w:rPr>
          <w:bCs/>
          <w:color w:val="auto"/>
          <w:szCs w:val="21"/>
        </w:rPr>
        <w:fldChar w:fldCharType="end"/>
      </w:r>
    </w:p>
    <w:p w14:paraId="23AB7F03">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_Toc16435 </w:instrText>
      </w:r>
      <w:r>
        <w:rPr>
          <w:bCs/>
          <w:color w:val="auto"/>
          <w:szCs w:val="21"/>
        </w:rPr>
        <w:fldChar w:fldCharType="separate"/>
      </w:r>
      <w:r>
        <w:rPr>
          <w:rFonts w:hint="eastAsia" w:ascii="方正黑体_GBK" w:hAnsi="方正黑体_GBK" w:eastAsia="方正黑体_GBK" w:cs="方正黑体_GBK"/>
          <w:bCs/>
          <w:color w:val="auto"/>
          <w:szCs w:val="24"/>
          <w:lang w:val="en-US" w:eastAsia="zh-CN"/>
        </w:rPr>
        <w:t>10. 需要补充的其他内容</w:t>
      </w:r>
      <w:r>
        <w:rPr>
          <w:color w:val="auto"/>
        </w:rPr>
        <w:tab/>
      </w:r>
      <w:r>
        <w:rPr>
          <w:color w:val="auto"/>
        </w:rPr>
        <w:fldChar w:fldCharType="begin"/>
      </w:r>
      <w:r>
        <w:rPr>
          <w:color w:val="auto"/>
        </w:rPr>
        <w:instrText xml:space="preserve"> PAGEREF _Toc16435 \h </w:instrText>
      </w:r>
      <w:r>
        <w:rPr>
          <w:color w:val="auto"/>
        </w:rPr>
        <w:fldChar w:fldCharType="separate"/>
      </w:r>
      <w:r>
        <w:rPr>
          <w:color w:val="auto"/>
        </w:rPr>
        <w:t>31</w:t>
      </w:r>
      <w:r>
        <w:rPr>
          <w:color w:val="auto"/>
        </w:rPr>
        <w:fldChar w:fldCharType="end"/>
      </w:r>
      <w:r>
        <w:rPr>
          <w:bCs/>
          <w:color w:val="auto"/>
          <w:szCs w:val="21"/>
        </w:rPr>
        <w:fldChar w:fldCharType="end"/>
      </w:r>
    </w:p>
    <w:p w14:paraId="0FBD2391">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_Toc7387 </w:instrText>
      </w:r>
      <w:r>
        <w:rPr>
          <w:bCs/>
          <w:color w:val="auto"/>
          <w:szCs w:val="21"/>
        </w:rPr>
        <w:fldChar w:fldCharType="separate"/>
      </w:r>
      <w:r>
        <w:rPr>
          <w:rFonts w:hint="eastAsia"/>
          <w:color w:val="auto"/>
        </w:rPr>
        <w:t>附表一：开标记录表</w:t>
      </w:r>
      <w:r>
        <w:rPr>
          <w:color w:val="auto"/>
        </w:rPr>
        <w:tab/>
      </w:r>
      <w:r>
        <w:rPr>
          <w:color w:val="auto"/>
        </w:rPr>
        <w:fldChar w:fldCharType="begin"/>
      </w:r>
      <w:r>
        <w:rPr>
          <w:color w:val="auto"/>
        </w:rPr>
        <w:instrText xml:space="preserve"> PAGEREF _Toc7387 \h </w:instrText>
      </w:r>
      <w:r>
        <w:rPr>
          <w:color w:val="auto"/>
        </w:rPr>
        <w:fldChar w:fldCharType="separate"/>
      </w:r>
      <w:r>
        <w:rPr>
          <w:color w:val="auto"/>
        </w:rPr>
        <w:t>32</w:t>
      </w:r>
      <w:r>
        <w:rPr>
          <w:color w:val="auto"/>
        </w:rPr>
        <w:fldChar w:fldCharType="end"/>
      </w:r>
      <w:r>
        <w:rPr>
          <w:bCs/>
          <w:color w:val="auto"/>
          <w:szCs w:val="21"/>
        </w:rPr>
        <w:fldChar w:fldCharType="end"/>
      </w:r>
    </w:p>
    <w:p w14:paraId="5673FAAD">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_Toc26450 </w:instrText>
      </w:r>
      <w:r>
        <w:rPr>
          <w:bCs/>
          <w:color w:val="auto"/>
          <w:szCs w:val="21"/>
        </w:rPr>
        <w:fldChar w:fldCharType="separate"/>
      </w:r>
      <w:r>
        <w:rPr>
          <w:color w:val="auto"/>
        </w:rPr>
        <w:t>附</w:t>
      </w:r>
      <w:r>
        <w:rPr>
          <w:rFonts w:hint="eastAsia"/>
          <w:color w:val="auto"/>
        </w:rPr>
        <w:t>表</w:t>
      </w:r>
      <w:r>
        <w:rPr>
          <w:color w:val="auto"/>
        </w:rPr>
        <w:t>二：</w:t>
      </w:r>
      <w:r>
        <w:rPr>
          <w:rFonts w:hint="eastAsia"/>
          <w:color w:val="auto"/>
        </w:rPr>
        <w:t>投标文件</w:t>
      </w:r>
      <w:r>
        <w:rPr>
          <w:color w:val="auto"/>
        </w:rPr>
        <w:t>澄清通知</w:t>
      </w:r>
      <w:r>
        <w:rPr>
          <w:color w:val="auto"/>
        </w:rPr>
        <w:tab/>
      </w:r>
      <w:r>
        <w:rPr>
          <w:color w:val="auto"/>
        </w:rPr>
        <w:fldChar w:fldCharType="begin"/>
      </w:r>
      <w:r>
        <w:rPr>
          <w:color w:val="auto"/>
        </w:rPr>
        <w:instrText xml:space="preserve"> PAGEREF _Toc26450 \h </w:instrText>
      </w:r>
      <w:r>
        <w:rPr>
          <w:color w:val="auto"/>
        </w:rPr>
        <w:fldChar w:fldCharType="separate"/>
      </w:r>
      <w:r>
        <w:rPr>
          <w:color w:val="auto"/>
        </w:rPr>
        <w:t>33</w:t>
      </w:r>
      <w:r>
        <w:rPr>
          <w:color w:val="auto"/>
        </w:rPr>
        <w:fldChar w:fldCharType="end"/>
      </w:r>
      <w:r>
        <w:rPr>
          <w:bCs/>
          <w:color w:val="auto"/>
          <w:szCs w:val="21"/>
        </w:rPr>
        <w:fldChar w:fldCharType="end"/>
      </w:r>
    </w:p>
    <w:p w14:paraId="2BCD46BB">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_Toc28075 </w:instrText>
      </w:r>
      <w:r>
        <w:rPr>
          <w:bCs/>
          <w:color w:val="auto"/>
          <w:szCs w:val="21"/>
        </w:rPr>
        <w:fldChar w:fldCharType="separate"/>
      </w:r>
      <w:r>
        <w:rPr>
          <w:rFonts w:hint="eastAsia"/>
          <w:color w:val="auto"/>
        </w:rPr>
        <w:t>附表三：投标文件澄清回复</w:t>
      </w:r>
      <w:r>
        <w:rPr>
          <w:color w:val="auto"/>
        </w:rPr>
        <w:tab/>
      </w:r>
      <w:r>
        <w:rPr>
          <w:color w:val="auto"/>
        </w:rPr>
        <w:fldChar w:fldCharType="begin"/>
      </w:r>
      <w:r>
        <w:rPr>
          <w:color w:val="auto"/>
        </w:rPr>
        <w:instrText xml:space="preserve"> PAGEREF _Toc28075 \h </w:instrText>
      </w:r>
      <w:r>
        <w:rPr>
          <w:color w:val="auto"/>
        </w:rPr>
        <w:fldChar w:fldCharType="separate"/>
      </w:r>
      <w:r>
        <w:rPr>
          <w:color w:val="auto"/>
        </w:rPr>
        <w:t>34</w:t>
      </w:r>
      <w:r>
        <w:rPr>
          <w:color w:val="auto"/>
        </w:rPr>
        <w:fldChar w:fldCharType="end"/>
      </w:r>
      <w:r>
        <w:rPr>
          <w:bCs/>
          <w:color w:val="auto"/>
          <w:szCs w:val="21"/>
        </w:rPr>
        <w:fldChar w:fldCharType="end"/>
      </w:r>
    </w:p>
    <w:p w14:paraId="6734F10A">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_Toc17960 </w:instrText>
      </w:r>
      <w:r>
        <w:rPr>
          <w:bCs/>
          <w:color w:val="auto"/>
          <w:szCs w:val="21"/>
        </w:rPr>
        <w:fldChar w:fldCharType="separate"/>
      </w:r>
      <w:r>
        <w:rPr>
          <w:rFonts w:hint="eastAsia"/>
          <w:color w:val="auto"/>
        </w:rPr>
        <w:t>投标文件澄清回复</w:t>
      </w:r>
      <w:r>
        <w:rPr>
          <w:color w:val="auto"/>
        </w:rPr>
        <w:tab/>
      </w:r>
      <w:r>
        <w:rPr>
          <w:color w:val="auto"/>
        </w:rPr>
        <w:fldChar w:fldCharType="begin"/>
      </w:r>
      <w:r>
        <w:rPr>
          <w:color w:val="auto"/>
        </w:rPr>
        <w:instrText xml:space="preserve"> PAGEREF _Toc17960 \h </w:instrText>
      </w:r>
      <w:r>
        <w:rPr>
          <w:color w:val="auto"/>
        </w:rPr>
        <w:fldChar w:fldCharType="separate"/>
      </w:r>
      <w:r>
        <w:rPr>
          <w:color w:val="auto"/>
        </w:rPr>
        <w:t>34</w:t>
      </w:r>
      <w:r>
        <w:rPr>
          <w:color w:val="auto"/>
        </w:rPr>
        <w:fldChar w:fldCharType="end"/>
      </w:r>
      <w:r>
        <w:rPr>
          <w:bCs/>
          <w:color w:val="auto"/>
          <w:szCs w:val="21"/>
        </w:rPr>
        <w:fldChar w:fldCharType="end"/>
      </w:r>
    </w:p>
    <w:p w14:paraId="7D2A1AD4">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_Toc8612 </w:instrText>
      </w:r>
      <w:r>
        <w:rPr>
          <w:bCs/>
          <w:color w:val="auto"/>
          <w:szCs w:val="21"/>
        </w:rPr>
        <w:fldChar w:fldCharType="separate"/>
      </w:r>
      <w:r>
        <w:rPr>
          <w:rFonts w:hint="eastAsia"/>
          <w:color w:val="auto"/>
        </w:rPr>
        <w:t>附表四：中标通知书</w:t>
      </w:r>
      <w:r>
        <w:rPr>
          <w:color w:val="auto"/>
        </w:rPr>
        <w:tab/>
      </w:r>
      <w:r>
        <w:rPr>
          <w:color w:val="auto"/>
        </w:rPr>
        <w:fldChar w:fldCharType="begin"/>
      </w:r>
      <w:r>
        <w:rPr>
          <w:color w:val="auto"/>
        </w:rPr>
        <w:instrText xml:space="preserve"> PAGEREF _Toc8612 \h </w:instrText>
      </w:r>
      <w:r>
        <w:rPr>
          <w:color w:val="auto"/>
        </w:rPr>
        <w:fldChar w:fldCharType="separate"/>
      </w:r>
      <w:r>
        <w:rPr>
          <w:color w:val="auto"/>
        </w:rPr>
        <w:t>35</w:t>
      </w:r>
      <w:r>
        <w:rPr>
          <w:color w:val="auto"/>
        </w:rPr>
        <w:fldChar w:fldCharType="end"/>
      </w:r>
      <w:r>
        <w:rPr>
          <w:bCs/>
          <w:color w:val="auto"/>
          <w:szCs w:val="21"/>
        </w:rPr>
        <w:fldChar w:fldCharType="end"/>
      </w:r>
    </w:p>
    <w:p w14:paraId="2215161F">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_Toc21802 </w:instrText>
      </w:r>
      <w:r>
        <w:rPr>
          <w:bCs/>
          <w:color w:val="auto"/>
          <w:szCs w:val="21"/>
        </w:rPr>
        <w:fldChar w:fldCharType="separate"/>
      </w:r>
      <w:r>
        <w:rPr>
          <w:rFonts w:hint="eastAsia"/>
          <w:color w:val="auto"/>
        </w:rPr>
        <w:t>附表五：中标结果通知书</w:t>
      </w:r>
      <w:r>
        <w:rPr>
          <w:color w:val="auto"/>
        </w:rPr>
        <w:tab/>
      </w:r>
      <w:r>
        <w:rPr>
          <w:color w:val="auto"/>
        </w:rPr>
        <w:fldChar w:fldCharType="begin"/>
      </w:r>
      <w:r>
        <w:rPr>
          <w:color w:val="auto"/>
        </w:rPr>
        <w:instrText xml:space="preserve"> PAGEREF _Toc21802 \h </w:instrText>
      </w:r>
      <w:r>
        <w:rPr>
          <w:color w:val="auto"/>
        </w:rPr>
        <w:fldChar w:fldCharType="separate"/>
      </w:r>
      <w:r>
        <w:rPr>
          <w:color w:val="auto"/>
        </w:rPr>
        <w:t>36</w:t>
      </w:r>
      <w:r>
        <w:rPr>
          <w:color w:val="auto"/>
        </w:rPr>
        <w:fldChar w:fldCharType="end"/>
      </w:r>
      <w:r>
        <w:rPr>
          <w:bCs/>
          <w:color w:val="auto"/>
          <w:szCs w:val="21"/>
        </w:rPr>
        <w:fldChar w:fldCharType="end"/>
      </w:r>
    </w:p>
    <w:p w14:paraId="01B700E3">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_Toc30038 </w:instrText>
      </w:r>
      <w:r>
        <w:rPr>
          <w:bCs/>
          <w:color w:val="auto"/>
          <w:szCs w:val="21"/>
        </w:rPr>
        <w:fldChar w:fldCharType="separate"/>
      </w:r>
      <w:r>
        <w:rPr>
          <w:rFonts w:hint="eastAsia"/>
          <w:color w:val="auto"/>
        </w:rPr>
        <w:t>附表六：确认通知</w:t>
      </w:r>
      <w:r>
        <w:rPr>
          <w:color w:val="auto"/>
        </w:rPr>
        <w:tab/>
      </w:r>
      <w:r>
        <w:rPr>
          <w:color w:val="auto"/>
        </w:rPr>
        <w:fldChar w:fldCharType="begin"/>
      </w:r>
      <w:r>
        <w:rPr>
          <w:color w:val="auto"/>
        </w:rPr>
        <w:instrText xml:space="preserve"> PAGEREF _Toc30038 \h </w:instrText>
      </w:r>
      <w:r>
        <w:rPr>
          <w:color w:val="auto"/>
        </w:rPr>
        <w:fldChar w:fldCharType="separate"/>
      </w:r>
      <w:r>
        <w:rPr>
          <w:color w:val="auto"/>
        </w:rPr>
        <w:t>37</w:t>
      </w:r>
      <w:r>
        <w:rPr>
          <w:color w:val="auto"/>
        </w:rPr>
        <w:fldChar w:fldCharType="end"/>
      </w:r>
      <w:r>
        <w:rPr>
          <w:bCs/>
          <w:color w:val="auto"/>
          <w:szCs w:val="21"/>
        </w:rPr>
        <w:fldChar w:fldCharType="end"/>
      </w:r>
    </w:p>
    <w:p w14:paraId="22E3E8B2">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_Toc32392 </w:instrText>
      </w:r>
      <w:r>
        <w:rPr>
          <w:bCs w:val="0"/>
          <w:color w:val="auto"/>
          <w:szCs w:val="21"/>
        </w:rPr>
        <w:fldChar w:fldCharType="separate"/>
      </w:r>
      <w:r>
        <w:rPr>
          <w:color w:val="auto"/>
        </w:rPr>
        <w:t>第三章 评标办法</w:t>
      </w:r>
      <w:r>
        <w:rPr>
          <w:color w:val="auto"/>
        </w:rPr>
        <w:tab/>
      </w:r>
      <w:r>
        <w:rPr>
          <w:color w:val="auto"/>
        </w:rPr>
        <w:fldChar w:fldCharType="begin"/>
      </w:r>
      <w:r>
        <w:rPr>
          <w:color w:val="auto"/>
        </w:rPr>
        <w:instrText xml:space="preserve"> PAGEREF _Toc32392 \h </w:instrText>
      </w:r>
      <w:r>
        <w:rPr>
          <w:color w:val="auto"/>
        </w:rPr>
        <w:fldChar w:fldCharType="separate"/>
      </w:r>
      <w:r>
        <w:rPr>
          <w:color w:val="auto"/>
        </w:rPr>
        <w:t>38</w:t>
      </w:r>
      <w:r>
        <w:rPr>
          <w:color w:val="auto"/>
        </w:rPr>
        <w:fldChar w:fldCharType="end"/>
      </w:r>
      <w:r>
        <w:rPr>
          <w:bCs w:val="0"/>
          <w:color w:val="auto"/>
          <w:szCs w:val="21"/>
        </w:rPr>
        <w:fldChar w:fldCharType="end"/>
      </w:r>
    </w:p>
    <w:p w14:paraId="2CD7BF68">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_Toc6144 </w:instrText>
      </w:r>
      <w:r>
        <w:rPr>
          <w:bCs/>
          <w:color w:val="auto"/>
          <w:szCs w:val="21"/>
        </w:rPr>
        <w:fldChar w:fldCharType="separate"/>
      </w:r>
      <w:r>
        <w:rPr>
          <w:rFonts w:hint="eastAsia" w:ascii="方正黑体_GBK" w:hAnsi="方正黑体_GBK" w:eastAsia="方正黑体_GBK" w:cs="方正黑体_GBK"/>
          <w:color w:val="auto"/>
          <w:szCs w:val="24"/>
        </w:rPr>
        <w:t>一、总则</w:t>
      </w:r>
      <w:r>
        <w:rPr>
          <w:color w:val="auto"/>
        </w:rPr>
        <w:tab/>
      </w:r>
      <w:r>
        <w:rPr>
          <w:color w:val="auto"/>
        </w:rPr>
        <w:fldChar w:fldCharType="begin"/>
      </w:r>
      <w:r>
        <w:rPr>
          <w:color w:val="auto"/>
        </w:rPr>
        <w:instrText xml:space="preserve"> PAGEREF _Toc6144 \h </w:instrText>
      </w:r>
      <w:r>
        <w:rPr>
          <w:color w:val="auto"/>
        </w:rPr>
        <w:fldChar w:fldCharType="separate"/>
      </w:r>
      <w:r>
        <w:rPr>
          <w:color w:val="auto"/>
        </w:rPr>
        <w:t>38</w:t>
      </w:r>
      <w:r>
        <w:rPr>
          <w:color w:val="auto"/>
        </w:rPr>
        <w:fldChar w:fldCharType="end"/>
      </w:r>
      <w:r>
        <w:rPr>
          <w:bCs/>
          <w:color w:val="auto"/>
          <w:szCs w:val="21"/>
        </w:rPr>
        <w:fldChar w:fldCharType="end"/>
      </w:r>
    </w:p>
    <w:p w14:paraId="0EDE694F">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_Toc5605 </w:instrText>
      </w:r>
      <w:r>
        <w:rPr>
          <w:bCs/>
          <w:color w:val="auto"/>
          <w:szCs w:val="21"/>
        </w:rPr>
        <w:fldChar w:fldCharType="separate"/>
      </w:r>
      <w:r>
        <w:rPr>
          <w:rFonts w:hint="eastAsia" w:ascii="方正楷体_GBK" w:hAnsi="方正楷体_GBK" w:eastAsia="方正楷体_GBK" w:cs="方正楷体_GBK"/>
          <w:bCs w:val="0"/>
          <w:color w:val="auto"/>
          <w:szCs w:val="24"/>
        </w:rPr>
        <w:t>（一）评标原则</w:t>
      </w:r>
      <w:r>
        <w:rPr>
          <w:color w:val="auto"/>
        </w:rPr>
        <w:tab/>
      </w:r>
      <w:r>
        <w:rPr>
          <w:color w:val="auto"/>
        </w:rPr>
        <w:fldChar w:fldCharType="begin"/>
      </w:r>
      <w:r>
        <w:rPr>
          <w:color w:val="auto"/>
        </w:rPr>
        <w:instrText xml:space="preserve"> PAGEREF _Toc5605 \h </w:instrText>
      </w:r>
      <w:r>
        <w:rPr>
          <w:color w:val="auto"/>
        </w:rPr>
        <w:fldChar w:fldCharType="separate"/>
      </w:r>
      <w:r>
        <w:rPr>
          <w:color w:val="auto"/>
        </w:rPr>
        <w:t>38</w:t>
      </w:r>
      <w:r>
        <w:rPr>
          <w:color w:val="auto"/>
        </w:rPr>
        <w:fldChar w:fldCharType="end"/>
      </w:r>
      <w:r>
        <w:rPr>
          <w:bCs/>
          <w:color w:val="auto"/>
          <w:szCs w:val="21"/>
        </w:rPr>
        <w:fldChar w:fldCharType="end"/>
      </w:r>
    </w:p>
    <w:p w14:paraId="14ECEFF1">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_Toc16638 </w:instrText>
      </w:r>
      <w:r>
        <w:rPr>
          <w:bCs/>
          <w:color w:val="auto"/>
          <w:szCs w:val="21"/>
        </w:rPr>
        <w:fldChar w:fldCharType="separate"/>
      </w:r>
      <w:r>
        <w:rPr>
          <w:rFonts w:hint="eastAsia" w:ascii="方正楷体_GBK" w:hAnsi="方正楷体_GBK" w:eastAsia="方正楷体_GBK" w:cs="方正楷体_GBK"/>
          <w:bCs w:val="0"/>
          <w:color w:val="auto"/>
          <w:szCs w:val="24"/>
        </w:rPr>
        <w:t>（二）评标监督</w:t>
      </w:r>
      <w:r>
        <w:rPr>
          <w:color w:val="auto"/>
        </w:rPr>
        <w:tab/>
      </w:r>
      <w:r>
        <w:rPr>
          <w:color w:val="auto"/>
        </w:rPr>
        <w:fldChar w:fldCharType="begin"/>
      </w:r>
      <w:r>
        <w:rPr>
          <w:color w:val="auto"/>
        </w:rPr>
        <w:instrText xml:space="preserve"> PAGEREF _Toc16638 \h </w:instrText>
      </w:r>
      <w:r>
        <w:rPr>
          <w:color w:val="auto"/>
        </w:rPr>
        <w:fldChar w:fldCharType="separate"/>
      </w:r>
      <w:r>
        <w:rPr>
          <w:color w:val="auto"/>
        </w:rPr>
        <w:t>38</w:t>
      </w:r>
      <w:r>
        <w:rPr>
          <w:color w:val="auto"/>
        </w:rPr>
        <w:fldChar w:fldCharType="end"/>
      </w:r>
      <w:r>
        <w:rPr>
          <w:bCs/>
          <w:color w:val="auto"/>
          <w:szCs w:val="21"/>
        </w:rPr>
        <w:fldChar w:fldCharType="end"/>
      </w:r>
    </w:p>
    <w:p w14:paraId="7D55A10A">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_Toc1610 </w:instrText>
      </w:r>
      <w:r>
        <w:rPr>
          <w:bCs/>
          <w:color w:val="auto"/>
          <w:szCs w:val="21"/>
        </w:rPr>
        <w:fldChar w:fldCharType="separate"/>
      </w:r>
      <w:r>
        <w:rPr>
          <w:rFonts w:hint="eastAsia" w:ascii="方正黑体_GBK" w:hAnsi="方正黑体_GBK" w:eastAsia="方正黑体_GBK" w:cs="方正黑体_GBK"/>
          <w:color w:val="auto"/>
          <w:szCs w:val="24"/>
        </w:rPr>
        <w:t>二、评标程序</w:t>
      </w:r>
      <w:r>
        <w:rPr>
          <w:color w:val="auto"/>
        </w:rPr>
        <w:tab/>
      </w:r>
      <w:r>
        <w:rPr>
          <w:color w:val="auto"/>
        </w:rPr>
        <w:fldChar w:fldCharType="begin"/>
      </w:r>
      <w:r>
        <w:rPr>
          <w:color w:val="auto"/>
        </w:rPr>
        <w:instrText xml:space="preserve"> PAGEREF _Toc1610 \h </w:instrText>
      </w:r>
      <w:r>
        <w:rPr>
          <w:color w:val="auto"/>
        </w:rPr>
        <w:fldChar w:fldCharType="separate"/>
      </w:r>
      <w:r>
        <w:rPr>
          <w:color w:val="auto"/>
        </w:rPr>
        <w:t>38</w:t>
      </w:r>
      <w:r>
        <w:rPr>
          <w:color w:val="auto"/>
        </w:rPr>
        <w:fldChar w:fldCharType="end"/>
      </w:r>
      <w:r>
        <w:rPr>
          <w:bCs/>
          <w:color w:val="auto"/>
          <w:szCs w:val="21"/>
        </w:rPr>
        <w:fldChar w:fldCharType="end"/>
      </w:r>
    </w:p>
    <w:p w14:paraId="5BA9861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_Toc977 </w:instrText>
      </w:r>
      <w:r>
        <w:rPr>
          <w:bCs/>
          <w:color w:val="auto"/>
          <w:szCs w:val="21"/>
        </w:rPr>
        <w:fldChar w:fldCharType="separate"/>
      </w:r>
      <w:r>
        <w:rPr>
          <w:rFonts w:hint="eastAsia" w:ascii="宋体" w:hAnsi="宋体" w:eastAsia="宋体" w:cs="宋体"/>
          <w:bCs/>
          <w:color w:val="auto"/>
          <w:szCs w:val="24"/>
        </w:rPr>
        <w:t>（一）评标程序</w:t>
      </w:r>
      <w:r>
        <w:rPr>
          <w:color w:val="auto"/>
        </w:rPr>
        <w:tab/>
      </w:r>
      <w:r>
        <w:rPr>
          <w:color w:val="auto"/>
        </w:rPr>
        <w:fldChar w:fldCharType="begin"/>
      </w:r>
      <w:r>
        <w:rPr>
          <w:color w:val="auto"/>
        </w:rPr>
        <w:instrText xml:space="preserve"> PAGEREF _Toc977 \h </w:instrText>
      </w:r>
      <w:r>
        <w:rPr>
          <w:color w:val="auto"/>
        </w:rPr>
        <w:fldChar w:fldCharType="separate"/>
      </w:r>
      <w:r>
        <w:rPr>
          <w:color w:val="auto"/>
        </w:rPr>
        <w:t>38</w:t>
      </w:r>
      <w:r>
        <w:rPr>
          <w:color w:val="auto"/>
        </w:rPr>
        <w:fldChar w:fldCharType="end"/>
      </w:r>
      <w:r>
        <w:rPr>
          <w:bCs/>
          <w:color w:val="auto"/>
          <w:szCs w:val="21"/>
        </w:rPr>
        <w:fldChar w:fldCharType="end"/>
      </w:r>
    </w:p>
    <w:p w14:paraId="1C94C497">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_Toc32614 </w:instrText>
      </w:r>
      <w:r>
        <w:rPr>
          <w:bCs/>
          <w:color w:val="auto"/>
          <w:szCs w:val="21"/>
        </w:rPr>
        <w:fldChar w:fldCharType="separate"/>
      </w:r>
      <w:r>
        <w:rPr>
          <w:rFonts w:hint="eastAsia" w:ascii="宋体" w:hAnsi="宋体" w:eastAsia="宋体" w:cs="宋体"/>
          <w:bCs w:val="0"/>
          <w:color w:val="auto"/>
          <w:szCs w:val="24"/>
        </w:rPr>
        <w:t>（二）特殊情况的处置程序</w:t>
      </w:r>
      <w:r>
        <w:rPr>
          <w:color w:val="auto"/>
        </w:rPr>
        <w:tab/>
      </w:r>
      <w:r>
        <w:rPr>
          <w:color w:val="auto"/>
        </w:rPr>
        <w:fldChar w:fldCharType="begin"/>
      </w:r>
      <w:r>
        <w:rPr>
          <w:color w:val="auto"/>
        </w:rPr>
        <w:instrText xml:space="preserve"> PAGEREF _Toc32614 \h </w:instrText>
      </w:r>
      <w:r>
        <w:rPr>
          <w:color w:val="auto"/>
        </w:rPr>
        <w:fldChar w:fldCharType="separate"/>
      </w:r>
      <w:r>
        <w:rPr>
          <w:color w:val="auto"/>
        </w:rPr>
        <w:t>39</w:t>
      </w:r>
      <w:r>
        <w:rPr>
          <w:color w:val="auto"/>
        </w:rPr>
        <w:fldChar w:fldCharType="end"/>
      </w:r>
      <w:r>
        <w:rPr>
          <w:bCs/>
          <w:color w:val="auto"/>
          <w:szCs w:val="21"/>
        </w:rPr>
        <w:fldChar w:fldCharType="end"/>
      </w:r>
    </w:p>
    <w:p w14:paraId="79A5DF2D">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_Toc23255 </w:instrText>
      </w:r>
      <w:r>
        <w:rPr>
          <w:bCs/>
          <w:color w:val="auto"/>
          <w:szCs w:val="21"/>
        </w:rPr>
        <w:fldChar w:fldCharType="separate"/>
      </w:r>
      <w:r>
        <w:rPr>
          <w:rFonts w:hint="eastAsia" w:ascii="方正黑体_GBK" w:hAnsi="方正黑体_GBK" w:eastAsia="方正黑体_GBK" w:cs="方正黑体_GBK"/>
          <w:color w:val="auto"/>
          <w:szCs w:val="24"/>
        </w:rPr>
        <w:t>三、评标委员会工作纪律</w:t>
      </w:r>
      <w:r>
        <w:rPr>
          <w:color w:val="auto"/>
        </w:rPr>
        <w:tab/>
      </w:r>
      <w:r>
        <w:rPr>
          <w:color w:val="auto"/>
        </w:rPr>
        <w:fldChar w:fldCharType="begin"/>
      </w:r>
      <w:r>
        <w:rPr>
          <w:color w:val="auto"/>
        </w:rPr>
        <w:instrText xml:space="preserve"> PAGEREF _Toc23255 \h </w:instrText>
      </w:r>
      <w:r>
        <w:rPr>
          <w:color w:val="auto"/>
        </w:rPr>
        <w:fldChar w:fldCharType="separate"/>
      </w:r>
      <w:r>
        <w:rPr>
          <w:color w:val="auto"/>
        </w:rPr>
        <w:t>40</w:t>
      </w:r>
      <w:r>
        <w:rPr>
          <w:color w:val="auto"/>
        </w:rPr>
        <w:fldChar w:fldCharType="end"/>
      </w:r>
      <w:r>
        <w:rPr>
          <w:bCs/>
          <w:color w:val="auto"/>
          <w:szCs w:val="21"/>
        </w:rPr>
        <w:fldChar w:fldCharType="end"/>
      </w:r>
    </w:p>
    <w:p w14:paraId="06338860">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_Toc7656 </w:instrText>
      </w:r>
      <w:r>
        <w:rPr>
          <w:bCs/>
          <w:color w:val="auto"/>
          <w:szCs w:val="21"/>
        </w:rPr>
        <w:fldChar w:fldCharType="separate"/>
      </w:r>
      <w:r>
        <w:rPr>
          <w:rFonts w:hint="eastAsia" w:ascii="方正黑体_GBK" w:hAnsi="方正黑体_GBK" w:eastAsia="方正黑体_GBK" w:cs="方正黑体_GBK"/>
          <w:color w:val="auto"/>
          <w:szCs w:val="24"/>
        </w:rPr>
        <w:t>四、评标</w:t>
      </w:r>
      <w:r>
        <w:rPr>
          <w:rFonts w:hint="eastAsia" w:ascii="方正黑体_GBK" w:hAnsi="方正黑体_GBK" w:eastAsia="方正黑体_GBK" w:cs="方正黑体_GBK"/>
          <w:color w:val="auto"/>
          <w:szCs w:val="24"/>
          <w:lang w:eastAsia="zh-CN"/>
        </w:rPr>
        <w:t>方法</w:t>
      </w:r>
      <w:r>
        <w:rPr>
          <w:color w:val="auto"/>
        </w:rPr>
        <w:tab/>
      </w:r>
      <w:r>
        <w:rPr>
          <w:color w:val="auto"/>
        </w:rPr>
        <w:fldChar w:fldCharType="begin"/>
      </w:r>
      <w:r>
        <w:rPr>
          <w:color w:val="auto"/>
        </w:rPr>
        <w:instrText xml:space="preserve"> PAGEREF _Toc7656 \h </w:instrText>
      </w:r>
      <w:r>
        <w:rPr>
          <w:color w:val="auto"/>
        </w:rPr>
        <w:fldChar w:fldCharType="separate"/>
      </w:r>
      <w:r>
        <w:rPr>
          <w:color w:val="auto"/>
        </w:rPr>
        <w:t>41</w:t>
      </w:r>
      <w:r>
        <w:rPr>
          <w:color w:val="auto"/>
        </w:rPr>
        <w:fldChar w:fldCharType="end"/>
      </w:r>
      <w:r>
        <w:rPr>
          <w:bCs/>
          <w:color w:val="auto"/>
          <w:szCs w:val="21"/>
        </w:rPr>
        <w:fldChar w:fldCharType="end"/>
      </w:r>
    </w:p>
    <w:p w14:paraId="46A928A3">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_Toc21694 </w:instrText>
      </w:r>
      <w:r>
        <w:rPr>
          <w:bCs/>
          <w:color w:val="auto"/>
          <w:szCs w:val="21"/>
        </w:rPr>
        <w:fldChar w:fldCharType="separate"/>
      </w:r>
      <w:r>
        <w:rPr>
          <w:rFonts w:hint="eastAsia" w:ascii="方正楷体_GBK" w:hAnsi="方正楷体_GBK" w:eastAsia="方正楷体_GBK" w:cs="方正楷体_GBK"/>
          <w:bCs/>
          <w:color w:val="auto"/>
          <w:szCs w:val="24"/>
        </w:rPr>
        <w:t>（</w:t>
      </w:r>
      <w:r>
        <w:rPr>
          <w:rFonts w:hint="eastAsia" w:ascii="方正楷体_GBK" w:hAnsi="方正楷体_GBK" w:eastAsia="方正楷体_GBK" w:cs="方正楷体_GBK"/>
          <w:bCs/>
          <w:color w:val="auto"/>
          <w:szCs w:val="24"/>
          <w:lang w:eastAsia="zh-CN"/>
        </w:rPr>
        <w:t>一</w:t>
      </w:r>
      <w:r>
        <w:rPr>
          <w:rFonts w:hint="eastAsia" w:ascii="方正楷体_GBK" w:hAnsi="方正楷体_GBK" w:eastAsia="方正楷体_GBK" w:cs="方正楷体_GBK"/>
          <w:bCs/>
          <w:color w:val="auto"/>
          <w:szCs w:val="24"/>
        </w:rPr>
        <w:t>）综合评估法</w:t>
      </w:r>
      <w:r>
        <w:rPr>
          <w:color w:val="auto"/>
        </w:rPr>
        <w:tab/>
      </w:r>
      <w:r>
        <w:rPr>
          <w:color w:val="auto"/>
        </w:rPr>
        <w:fldChar w:fldCharType="begin"/>
      </w:r>
      <w:r>
        <w:rPr>
          <w:color w:val="auto"/>
        </w:rPr>
        <w:instrText xml:space="preserve"> PAGEREF _Toc21694 \h </w:instrText>
      </w:r>
      <w:r>
        <w:rPr>
          <w:color w:val="auto"/>
        </w:rPr>
        <w:fldChar w:fldCharType="separate"/>
      </w:r>
      <w:r>
        <w:rPr>
          <w:color w:val="auto"/>
        </w:rPr>
        <w:t>41</w:t>
      </w:r>
      <w:r>
        <w:rPr>
          <w:color w:val="auto"/>
        </w:rPr>
        <w:fldChar w:fldCharType="end"/>
      </w:r>
      <w:r>
        <w:rPr>
          <w:bCs/>
          <w:color w:val="auto"/>
          <w:szCs w:val="21"/>
        </w:rPr>
        <w:fldChar w:fldCharType="end"/>
      </w:r>
    </w:p>
    <w:p w14:paraId="41019B8B">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_Toc28559 </w:instrText>
      </w:r>
      <w:r>
        <w:rPr>
          <w:bCs/>
          <w:color w:val="auto"/>
          <w:szCs w:val="21"/>
        </w:rPr>
        <w:fldChar w:fldCharType="separate"/>
      </w:r>
      <w:r>
        <w:rPr>
          <w:rFonts w:hint="eastAsia" w:ascii="方正黑体_GBK" w:hAnsi="方正黑体_GBK" w:eastAsia="方正黑体_GBK" w:cs="方正黑体_GBK"/>
          <w:bCs/>
          <w:color w:val="auto"/>
          <w:szCs w:val="24"/>
        </w:rPr>
        <w:t>五、评标报告</w:t>
      </w:r>
      <w:r>
        <w:rPr>
          <w:color w:val="auto"/>
        </w:rPr>
        <w:tab/>
      </w:r>
      <w:r>
        <w:rPr>
          <w:color w:val="auto"/>
        </w:rPr>
        <w:fldChar w:fldCharType="begin"/>
      </w:r>
      <w:r>
        <w:rPr>
          <w:color w:val="auto"/>
        </w:rPr>
        <w:instrText xml:space="preserve"> PAGEREF _Toc28559 \h </w:instrText>
      </w:r>
      <w:r>
        <w:rPr>
          <w:color w:val="auto"/>
        </w:rPr>
        <w:fldChar w:fldCharType="separate"/>
      </w:r>
      <w:r>
        <w:rPr>
          <w:color w:val="auto"/>
        </w:rPr>
        <w:t>46</w:t>
      </w:r>
      <w:r>
        <w:rPr>
          <w:color w:val="auto"/>
        </w:rPr>
        <w:fldChar w:fldCharType="end"/>
      </w:r>
      <w:r>
        <w:rPr>
          <w:bCs/>
          <w:color w:val="auto"/>
          <w:szCs w:val="21"/>
        </w:rPr>
        <w:fldChar w:fldCharType="end"/>
      </w:r>
    </w:p>
    <w:p w14:paraId="4539EC95">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_Toc25294 </w:instrText>
      </w:r>
      <w:r>
        <w:rPr>
          <w:bCs/>
          <w:color w:val="auto"/>
          <w:szCs w:val="21"/>
        </w:rPr>
        <w:fldChar w:fldCharType="separate"/>
      </w:r>
      <w:r>
        <w:rPr>
          <w:rFonts w:hint="eastAsia" w:ascii="宋体" w:hAnsi="宋体" w:eastAsia="宋体" w:cs="宋体"/>
          <w:bCs/>
          <w:color w:val="auto"/>
          <w:szCs w:val="28"/>
        </w:rPr>
        <w:t>资格后审必要合格条件标准</w:t>
      </w:r>
      <w:r>
        <w:rPr>
          <w:color w:val="auto"/>
        </w:rPr>
        <w:tab/>
      </w:r>
      <w:r>
        <w:rPr>
          <w:color w:val="auto"/>
        </w:rPr>
        <w:fldChar w:fldCharType="begin"/>
      </w:r>
      <w:r>
        <w:rPr>
          <w:color w:val="auto"/>
        </w:rPr>
        <w:instrText xml:space="preserve"> PAGEREF _Toc25294 \h </w:instrText>
      </w:r>
      <w:r>
        <w:rPr>
          <w:color w:val="auto"/>
        </w:rPr>
        <w:fldChar w:fldCharType="separate"/>
      </w:r>
      <w:r>
        <w:rPr>
          <w:color w:val="auto"/>
        </w:rPr>
        <w:t>47</w:t>
      </w:r>
      <w:r>
        <w:rPr>
          <w:color w:val="auto"/>
        </w:rPr>
        <w:fldChar w:fldCharType="end"/>
      </w:r>
      <w:r>
        <w:rPr>
          <w:bCs/>
          <w:color w:val="auto"/>
          <w:szCs w:val="21"/>
        </w:rPr>
        <w:fldChar w:fldCharType="end"/>
      </w:r>
    </w:p>
    <w:p w14:paraId="147E0186">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_Toc30955 </w:instrText>
      </w:r>
      <w:r>
        <w:rPr>
          <w:bCs/>
          <w:color w:val="auto"/>
          <w:szCs w:val="21"/>
        </w:rPr>
        <w:fldChar w:fldCharType="separate"/>
      </w:r>
      <w:r>
        <w:rPr>
          <w:rFonts w:hint="eastAsia" w:ascii="宋体" w:hAnsi="宋体" w:eastAsia="宋体" w:cs="宋体"/>
          <w:color w:val="auto"/>
          <w:szCs w:val="24"/>
        </w:rPr>
        <w:t>附：评标专家承诺书</w:t>
      </w:r>
      <w:r>
        <w:rPr>
          <w:color w:val="auto"/>
        </w:rPr>
        <w:tab/>
      </w:r>
      <w:r>
        <w:rPr>
          <w:color w:val="auto"/>
        </w:rPr>
        <w:fldChar w:fldCharType="begin"/>
      </w:r>
      <w:r>
        <w:rPr>
          <w:color w:val="auto"/>
        </w:rPr>
        <w:instrText xml:space="preserve"> PAGEREF _Toc30955 \h </w:instrText>
      </w:r>
      <w:r>
        <w:rPr>
          <w:color w:val="auto"/>
        </w:rPr>
        <w:fldChar w:fldCharType="separate"/>
      </w:r>
      <w:r>
        <w:rPr>
          <w:color w:val="auto"/>
        </w:rPr>
        <w:t>48</w:t>
      </w:r>
      <w:r>
        <w:rPr>
          <w:color w:val="auto"/>
        </w:rPr>
        <w:fldChar w:fldCharType="end"/>
      </w:r>
      <w:r>
        <w:rPr>
          <w:bCs/>
          <w:color w:val="auto"/>
          <w:szCs w:val="21"/>
        </w:rPr>
        <w:fldChar w:fldCharType="end"/>
      </w:r>
    </w:p>
    <w:p w14:paraId="6B4947F7">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_Toc30263 </w:instrText>
      </w:r>
      <w:r>
        <w:rPr>
          <w:bCs w:val="0"/>
          <w:color w:val="auto"/>
          <w:szCs w:val="21"/>
        </w:rPr>
        <w:fldChar w:fldCharType="separate"/>
      </w:r>
      <w:r>
        <w:rPr>
          <w:color w:val="auto"/>
        </w:rPr>
        <w:t>第四章 合同条款及格式</w:t>
      </w:r>
      <w:r>
        <w:rPr>
          <w:color w:val="auto"/>
        </w:rPr>
        <w:tab/>
      </w:r>
      <w:r>
        <w:rPr>
          <w:color w:val="auto"/>
        </w:rPr>
        <w:fldChar w:fldCharType="begin"/>
      </w:r>
      <w:r>
        <w:rPr>
          <w:color w:val="auto"/>
        </w:rPr>
        <w:instrText xml:space="preserve"> PAGEREF _Toc30263 \h </w:instrText>
      </w:r>
      <w:r>
        <w:rPr>
          <w:color w:val="auto"/>
        </w:rPr>
        <w:fldChar w:fldCharType="separate"/>
      </w:r>
      <w:r>
        <w:rPr>
          <w:color w:val="auto"/>
        </w:rPr>
        <w:t>49</w:t>
      </w:r>
      <w:r>
        <w:rPr>
          <w:color w:val="auto"/>
        </w:rPr>
        <w:fldChar w:fldCharType="end"/>
      </w:r>
      <w:r>
        <w:rPr>
          <w:bCs w:val="0"/>
          <w:color w:val="auto"/>
          <w:szCs w:val="21"/>
        </w:rPr>
        <w:fldChar w:fldCharType="end"/>
      </w:r>
    </w:p>
    <w:p w14:paraId="36EE2276">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_Toc20596 </w:instrText>
      </w:r>
      <w:r>
        <w:rPr>
          <w:bCs w:val="0"/>
          <w:color w:val="auto"/>
          <w:szCs w:val="21"/>
        </w:rPr>
        <w:fldChar w:fldCharType="separate"/>
      </w:r>
      <w:r>
        <w:rPr>
          <w:color w:val="auto"/>
        </w:rPr>
        <w:t>第五章 发包人要求</w:t>
      </w:r>
      <w:r>
        <w:rPr>
          <w:color w:val="auto"/>
        </w:rPr>
        <w:tab/>
      </w:r>
      <w:r>
        <w:rPr>
          <w:color w:val="auto"/>
        </w:rPr>
        <w:fldChar w:fldCharType="begin"/>
      </w:r>
      <w:r>
        <w:rPr>
          <w:color w:val="auto"/>
        </w:rPr>
        <w:instrText xml:space="preserve"> PAGEREF _Toc20596 \h </w:instrText>
      </w:r>
      <w:r>
        <w:rPr>
          <w:color w:val="auto"/>
        </w:rPr>
        <w:fldChar w:fldCharType="separate"/>
      </w:r>
      <w:r>
        <w:rPr>
          <w:color w:val="auto"/>
        </w:rPr>
        <w:t>145</w:t>
      </w:r>
      <w:r>
        <w:rPr>
          <w:color w:val="auto"/>
        </w:rPr>
        <w:fldChar w:fldCharType="end"/>
      </w:r>
      <w:r>
        <w:rPr>
          <w:bCs w:val="0"/>
          <w:color w:val="auto"/>
          <w:szCs w:val="21"/>
        </w:rPr>
        <w:fldChar w:fldCharType="end"/>
      </w:r>
    </w:p>
    <w:p w14:paraId="5B675C6F">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_Toc2679 </w:instrText>
      </w:r>
      <w:r>
        <w:rPr>
          <w:bCs w:val="0"/>
          <w:color w:val="auto"/>
          <w:szCs w:val="21"/>
        </w:rPr>
        <w:fldChar w:fldCharType="separate"/>
      </w:r>
      <w:r>
        <w:rPr>
          <w:color w:val="auto"/>
        </w:rPr>
        <w:t>第六章 发包人提供的资料</w:t>
      </w:r>
      <w:r>
        <w:rPr>
          <w:color w:val="auto"/>
        </w:rPr>
        <w:tab/>
      </w:r>
      <w:r>
        <w:rPr>
          <w:color w:val="auto"/>
        </w:rPr>
        <w:fldChar w:fldCharType="begin"/>
      </w:r>
      <w:r>
        <w:rPr>
          <w:color w:val="auto"/>
        </w:rPr>
        <w:instrText xml:space="preserve"> PAGEREF _Toc2679 \h </w:instrText>
      </w:r>
      <w:r>
        <w:rPr>
          <w:color w:val="auto"/>
        </w:rPr>
        <w:fldChar w:fldCharType="separate"/>
      </w:r>
      <w:r>
        <w:rPr>
          <w:color w:val="auto"/>
        </w:rPr>
        <w:t>154</w:t>
      </w:r>
      <w:r>
        <w:rPr>
          <w:color w:val="auto"/>
        </w:rPr>
        <w:fldChar w:fldCharType="end"/>
      </w:r>
      <w:r>
        <w:rPr>
          <w:bCs w:val="0"/>
          <w:color w:val="auto"/>
          <w:szCs w:val="21"/>
        </w:rPr>
        <w:fldChar w:fldCharType="end"/>
      </w:r>
    </w:p>
    <w:p w14:paraId="37E5E951">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_Toc9645 </w:instrText>
      </w:r>
      <w:r>
        <w:rPr>
          <w:bCs w:val="0"/>
          <w:color w:val="auto"/>
          <w:szCs w:val="21"/>
        </w:rPr>
        <w:fldChar w:fldCharType="separate"/>
      </w:r>
      <w:r>
        <w:rPr>
          <w:bCs/>
          <w:color w:val="auto"/>
          <w:szCs w:val="44"/>
        </w:rPr>
        <w:t>第七章 投标文件格式</w:t>
      </w:r>
      <w:r>
        <w:rPr>
          <w:color w:val="auto"/>
        </w:rPr>
        <w:tab/>
      </w:r>
      <w:r>
        <w:rPr>
          <w:color w:val="auto"/>
        </w:rPr>
        <w:fldChar w:fldCharType="begin"/>
      </w:r>
      <w:r>
        <w:rPr>
          <w:color w:val="auto"/>
        </w:rPr>
        <w:instrText xml:space="preserve"> PAGEREF _Toc9645 \h </w:instrText>
      </w:r>
      <w:r>
        <w:rPr>
          <w:color w:val="auto"/>
        </w:rPr>
        <w:fldChar w:fldCharType="separate"/>
      </w:r>
      <w:r>
        <w:rPr>
          <w:color w:val="auto"/>
        </w:rPr>
        <w:t>155</w:t>
      </w:r>
      <w:r>
        <w:rPr>
          <w:color w:val="auto"/>
        </w:rPr>
        <w:fldChar w:fldCharType="end"/>
      </w:r>
      <w:r>
        <w:rPr>
          <w:bCs w:val="0"/>
          <w:color w:val="auto"/>
          <w:szCs w:val="21"/>
        </w:rPr>
        <w:fldChar w:fldCharType="end"/>
      </w:r>
    </w:p>
    <w:p w14:paraId="7007797F">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_Toc30542 </w:instrText>
      </w:r>
      <w:r>
        <w:rPr>
          <w:bCs/>
          <w:color w:val="auto"/>
          <w:szCs w:val="21"/>
        </w:rPr>
        <w:fldChar w:fldCharType="separate"/>
      </w:r>
      <w:r>
        <w:rPr>
          <w:rFonts w:ascii="Times New Roman" w:hAnsi="Times New Roman"/>
          <w:bCs w:val="0"/>
          <w:i w:val="0"/>
          <w:iCs w:val="0"/>
          <w:color w:val="auto"/>
          <w:szCs w:val="28"/>
        </w:rPr>
        <w:t>目    录</w:t>
      </w:r>
      <w:r>
        <w:rPr>
          <w:color w:val="auto"/>
        </w:rPr>
        <w:tab/>
      </w:r>
      <w:r>
        <w:rPr>
          <w:color w:val="auto"/>
        </w:rPr>
        <w:fldChar w:fldCharType="begin"/>
      </w:r>
      <w:r>
        <w:rPr>
          <w:color w:val="auto"/>
        </w:rPr>
        <w:instrText xml:space="preserve"> PAGEREF _Toc30542 \h </w:instrText>
      </w:r>
      <w:r>
        <w:rPr>
          <w:color w:val="auto"/>
        </w:rPr>
        <w:fldChar w:fldCharType="separate"/>
      </w:r>
      <w:r>
        <w:rPr>
          <w:color w:val="auto"/>
        </w:rPr>
        <w:t>157</w:t>
      </w:r>
      <w:r>
        <w:rPr>
          <w:color w:val="auto"/>
        </w:rPr>
        <w:fldChar w:fldCharType="end"/>
      </w:r>
      <w:r>
        <w:rPr>
          <w:bCs/>
          <w:color w:val="auto"/>
          <w:szCs w:val="21"/>
        </w:rPr>
        <w:fldChar w:fldCharType="end"/>
      </w:r>
    </w:p>
    <w:p w14:paraId="46759675">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_Toc8399 </w:instrText>
      </w:r>
      <w:r>
        <w:rPr>
          <w:bCs/>
          <w:color w:val="auto"/>
          <w:szCs w:val="21"/>
        </w:rPr>
        <w:fldChar w:fldCharType="separate"/>
      </w:r>
      <w:r>
        <w:rPr>
          <w:rFonts w:hint="eastAsia" w:ascii="宋体" w:hAnsi="宋体" w:eastAsia="宋体" w:cs="宋体"/>
          <w:bCs w:val="0"/>
          <w:i w:val="0"/>
          <w:iCs w:val="0"/>
          <w:color w:val="auto"/>
          <w:szCs w:val="28"/>
        </w:rPr>
        <w:t>一、投标函及投标函附录</w:t>
      </w:r>
      <w:r>
        <w:rPr>
          <w:color w:val="auto"/>
        </w:rPr>
        <w:tab/>
      </w:r>
      <w:r>
        <w:rPr>
          <w:color w:val="auto"/>
        </w:rPr>
        <w:fldChar w:fldCharType="begin"/>
      </w:r>
      <w:r>
        <w:rPr>
          <w:color w:val="auto"/>
        </w:rPr>
        <w:instrText xml:space="preserve"> PAGEREF _Toc8399 \h </w:instrText>
      </w:r>
      <w:r>
        <w:rPr>
          <w:color w:val="auto"/>
        </w:rPr>
        <w:fldChar w:fldCharType="separate"/>
      </w:r>
      <w:r>
        <w:rPr>
          <w:color w:val="auto"/>
        </w:rPr>
        <w:t>158</w:t>
      </w:r>
      <w:r>
        <w:rPr>
          <w:color w:val="auto"/>
        </w:rPr>
        <w:fldChar w:fldCharType="end"/>
      </w:r>
      <w:r>
        <w:rPr>
          <w:bCs/>
          <w:color w:val="auto"/>
          <w:szCs w:val="21"/>
        </w:rPr>
        <w:fldChar w:fldCharType="end"/>
      </w:r>
    </w:p>
    <w:p w14:paraId="39CB2BC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_Toc28818 </w:instrText>
      </w:r>
      <w:r>
        <w:rPr>
          <w:bCs/>
          <w:color w:val="auto"/>
          <w:szCs w:val="21"/>
        </w:rPr>
        <w:fldChar w:fldCharType="separate"/>
      </w:r>
      <w:r>
        <w:rPr>
          <w:rFonts w:ascii="Times New Roman" w:hAnsi="Times New Roman"/>
          <w:i w:val="0"/>
          <w:iCs w:val="0"/>
          <w:color w:val="auto"/>
          <w:szCs w:val="24"/>
        </w:rPr>
        <w:t>（一）投标函</w:t>
      </w:r>
      <w:r>
        <w:rPr>
          <w:color w:val="auto"/>
        </w:rPr>
        <w:tab/>
      </w:r>
      <w:r>
        <w:rPr>
          <w:color w:val="auto"/>
        </w:rPr>
        <w:fldChar w:fldCharType="begin"/>
      </w:r>
      <w:r>
        <w:rPr>
          <w:color w:val="auto"/>
        </w:rPr>
        <w:instrText xml:space="preserve"> PAGEREF _Toc28818 \h </w:instrText>
      </w:r>
      <w:r>
        <w:rPr>
          <w:color w:val="auto"/>
        </w:rPr>
        <w:fldChar w:fldCharType="separate"/>
      </w:r>
      <w:r>
        <w:rPr>
          <w:color w:val="auto"/>
        </w:rPr>
        <w:t>158</w:t>
      </w:r>
      <w:r>
        <w:rPr>
          <w:color w:val="auto"/>
        </w:rPr>
        <w:fldChar w:fldCharType="end"/>
      </w:r>
      <w:r>
        <w:rPr>
          <w:bCs/>
          <w:color w:val="auto"/>
          <w:szCs w:val="21"/>
        </w:rPr>
        <w:fldChar w:fldCharType="end"/>
      </w:r>
    </w:p>
    <w:p w14:paraId="6C52FB22">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_Toc26149 </w:instrText>
      </w:r>
      <w:r>
        <w:rPr>
          <w:bCs/>
          <w:color w:val="auto"/>
          <w:szCs w:val="21"/>
        </w:rPr>
        <w:fldChar w:fldCharType="separate"/>
      </w:r>
      <w:r>
        <w:rPr>
          <w:i w:val="0"/>
          <w:iCs w:val="0"/>
          <w:color w:val="auto"/>
        </w:rPr>
        <w:t>（二）投标函附录</w:t>
      </w:r>
      <w:r>
        <w:rPr>
          <w:color w:val="auto"/>
        </w:rPr>
        <w:tab/>
      </w:r>
      <w:r>
        <w:rPr>
          <w:color w:val="auto"/>
        </w:rPr>
        <w:fldChar w:fldCharType="begin"/>
      </w:r>
      <w:r>
        <w:rPr>
          <w:color w:val="auto"/>
        </w:rPr>
        <w:instrText xml:space="preserve"> PAGEREF _Toc26149 \h </w:instrText>
      </w:r>
      <w:r>
        <w:rPr>
          <w:color w:val="auto"/>
        </w:rPr>
        <w:fldChar w:fldCharType="separate"/>
      </w:r>
      <w:r>
        <w:rPr>
          <w:color w:val="auto"/>
        </w:rPr>
        <w:t>159</w:t>
      </w:r>
      <w:r>
        <w:rPr>
          <w:color w:val="auto"/>
        </w:rPr>
        <w:fldChar w:fldCharType="end"/>
      </w:r>
      <w:r>
        <w:rPr>
          <w:bCs/>
          <w:color w:val="auto"/>
          <w:szCs w:val="21"/>
        </w:rPr>
        <w:fldChar w:fldCharType="end"/>
      </w:r>
    </w:p>
    <w:p w14:paraId="1AD86319">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_Toc14793 </w:instrText>
      </w:r>
      <w:r>
        <w:rPr>
          <w:bCs/>
          <w:color w:val="auto"/>
          <w:szCs w:val="21"/>
        </w:rPr>
        <w:fldChar w:fldCharType="separate"/>
      </w:r>
      <w:r>
        <w:rPr>
          <w:rFonts w:hint="eastAsia" w:ascii="宋体" w:hAnsi="宋体" w:eastAsia="宋体" w:cs="宋体"/>
          <w:bCs/>
          <w:i w:val="0"/>
          <w:iCs w:val="0"/>
          <w:color w:val="auto"/>
          <w:spacing w:val="8"/>
          <w:szCs w:val="28"/>
        </w:rPr>
        <w:t>投标承诺书</w:t>
      </w:r>
      <w:r>
        <w:rPr>
          <w:color w:val="auto"/>
        </w:rPr>
        <w:tab/>
      </w:r>
      <w:r>
        <w:rPr>
          <w:color w:val="auto"/>
        </w:rPr>
        <w:fldChar w:fldCharType="begin"/>
      </w:r>
      <w:r>
        <w:rPr>
          <w:color w:val="auto"/>
        </w:rPr>
        <w:instrText xml:space="preserve"> PAGEREF _Toc14793 \h </w:instrText>
      </w:r>
      <w:r>
        <w:rPr>
          <w:color w:val="auto"/>
        </w:rPr>
        <w:fldChar w:fldCharType="separate"/>
      </w:r>
      <w:r>
        <w:rPr>
          <w:color w:val="auto"/>
        </w:rPr>
        <w:t>160</w:t>
      </w:r>
      <w:r>
        <w:rPr>
          <w:color w:val="auto"/>
        </w:rPr>
        <w:fldChar w:fldCharType="end"/>
      </w:r>
      <w:r>
        <w:rPr>
          <w:bCs/>
          <w:color w:val="auto"/>
          <w:szCs w:val="21"/>
        </w:rPr>
        <w:fldChar w:fldCharType="end"/>
      </w:r>
    </w:p>
    <w:p w14:paraId="67520488">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_Toc14583 </w:instrText>
      </w:r>
      <w:r>
        <w:rPr>
          <w:bCs/>
          <w:color w:val="auto"/>
          <w:szCs w:val="21"/>
        </w:rPr>
        <w:fldChar w:fldCharType="separate"/>
      </w:r>
      <w:r>
        <w:rPr>
          <w:rFonts w:hint="eastAsia" w:ascii="宋体" w:hAnsi="宋体" w:eastAsia="宋体" w:cs="宋体"/>
          <w:bCs w:val="0"/>
          <w:i w:val="0"/>
          <w:iCs w:val="0"/>
          <w:color w:val="auto"/>
          <w:szCs w:val="28"/>
        </w:rPr>
        <w:t>二、法定代表人身份证明</w:t>
      </w:r>
      <w:r>
        <w:rPr>
          <w:color w:val="auto"/>
        </w:rPr>
        <w:tab/>
      </w:r>
      <w:r>
        <w:rPr>
          <w:color w:val="auto"/>
        </w:rPr>
        <w:fldChar w:fldCharType="begin"/>
      </w:r>
      <w:r>
        <w:rPr>
          <w:color w:val="auto"/>
        </w:rPr>
        <w:instrText xml:space="preserve"> PAGEREF _Toc14583 \h </w:instrText>
      </w:r>
      <w:r>
        <w:rPr>
          <w:color w:val="auto"/>
        </w:rPr>
        <w:fldChar w:fldCharType="separate"/>
      </w:r>
      <w:r>
        <w:rPr>
          <w:color w:val="auto"/>
        </w:rPr>
        <w:t>162</w:t>
      </w:r>
      <w:r>
        <w:rPr>
          <w:color w:val="auto"/>
        </w:rPr>
        <w:fldChar w:fldCharType="end"/>
      </w:r>
      <w:r>
        <w:rPr>
          <w:bCs/>
          <w:color w:val="auto"/>
          <w:szCs w:val="21"/>
        </w:rPr>
        <w:fldChar w:fldCharType="end"/>
      </w:r>
    </w:p>
    <w:p w14:paraId="7ECE924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_Toc18475 </w:instrText>
      </w:r>
      <w:r>
        <w:rPr>
          <w:bCs/>
          <w:color w:val="auto"/>
          <w:szCs w:val="21"/>
        </w:rPr>
        <w:fldChar w:fldCharType="separate"/>
      </w:r>
      <w:r>
        <w:rPr>
          <w:rFonts w:hint="eastAsia" w:ascii="宋体" w:hAnsi="宋体" w:eastAsia="宋体" w:cs="宋体"/>
          <w:bCs w:val="0"/>
          <w:i w:val="0"/>
          <w:iCs w:val="0"/>
          <w:color w:val="auto"/>
          <w:szCs w:val="28"/>
        </w:rPr>
        <w:t>授权委托书</w:t>
      </w:r>
      <w:r>
        <w:rPr>
          <w:color w:val="auto"/>
        </w:rPr>
        <w:tab/>
      </w:r>
      <w:r>
        <w:rPr>
          <w:color w:val="auto"/>
        </w:rPr>
        <w:fldChar w:fldCharType="begin"/>
      </w:r>
      <w:r>
        <w:rPr>
          <w:color w:val="auto"/>
        </w:rPr>
        <w:instrText xml:space="preserve"> PAGEREF _Toc18475 \h </w:instrText>
      </w:r>
      <w:r>
        <w:rPr>
          <w:color w:val="auto"/>
        </w:rPr>
        <w:fldChar w:fldCharType="separate"/>
      </w:r>
      <w:r>
        <w:rPr>
          <w:color w:val="auto"/>
        </w:rPr>
        <w:t>163</w:t>
      </w:r>
      <w:r>
        <w:rPr>
          <w:color w:val="auto"/>
        </w:rPr>
        <w:fldChar w:fldCharType="end"/>
      </w:r>
      <w:r>
        <w:rPr>
          <w:bCs/>
          <w:color w:val="auto"/>
          <w:szCs w:val="21"/>
        </w:rPr>
        <w:fldChar w:fldCharType="end"/>
      </w:r>
    </w:p>
    <w:p w14:paraId="2D2955F1">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_Toc3882 </w:instrText>
      </w:r>
      <w:r>
        <w:rPr>
          <w:bCs/>
          <w:color w:val="auto"/>
          <w:szCs w:val="21"/>
        </w:rPr>
        <w:fldChar w:fldCharType="separate"/>
      </w:r>
      <w:r>
        <w:rPr>
          <w:rFonts w:hint="eastAsia" w:ascii="宋体" w:hAnsi="宋体" w:eastAsia="宋体" w:cs="宋体"/>
          <w:bCs/>
          <w:i w:val="0"/>
          <w:iCs w:val="0"/>
          <w:color w:val="auto"/>
          <w:szCs w:val="28"/>
          <w:lang w:eastAsia="zh-CN"/>
        </w:rPr>
        <w:t>三、</w:t>
      </w:r>
      <w:r>
        <w:rPr>
          <w:rFonts w:hint="eastAsia" w:ascii="宋体" w:hAnsi="宋体" w:eastAsia="宋体" w:cs="宋体"/>
          <w:bCs/>
          <w:i w:val="0"/>
          <w:iCs w:val="0"/>
          <w:color w:val="auto"/>
          <w:szCs w:val="28"/>
        </w:rPr>
        <w:t>联合体协议书</w:t>
      </w:r>
      <w:r>
        <w:rPr>
          <w:color w:val="auto"/>
        </w:rPr>
        <w:tab/>
      </w:r>
      <w:r>
        <w:rPr>
          <w:color w:val="auto"/>
        </w:rPr>
        <w:fldChar w:fldCharType="begin"/>
      </w:r>
      <w:r>
        <w:rPr>
          <w:color w:val="auto"/>
        </w:rPr>
        <w:instrText xml:space="preserve"> PAGEREF _Toc3882 \h </w:instrText>
      </w:r>
      <w:r>
        <w:rPr>
          <w:color w:val="auto"/>
        </w:rPr>
        <w:fldChar w:fldCharType="separate"/>
      </w:r>
      <w:r>
        <w:rPr>
          <w:color w:val="auto"/>
        </w:rPr>
        <w:t>164</w:t>
      </w:r>
      <w:r>
        <w:rPr>
          <w:color w:val="auto"/>
        </w:rPr>
        <w:fldChar w:fldCharType="end"/>
      </w:r>
      <w:r>
        <w:rPr>
          <w:bCs/>
          <w:color w:val="auto"/>
          <w:szCs w:val="21"/>
        </w:rPr>
        <w:fldChar w:fldCharType="end"/>
      </w:r>
    </w:p>
    <w:p w14:paraId="29111A34">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_Toc13757 </w:instrText>
      </w:r>
      <w:r>
        <w:rPr>
          <w:bCs/>
          <w:color w:val="auto"/>
          <w:szCs w:val="21"/>
        </w:rPr>
        <w:fldChar w:fldCharType="separate"/>
      </w:r>
      <w:r>
        <w:rPr>
          <w:rFonts w:hint="eastAsia" w:ascii="宋体" w:hAnsi="宋体" w:eastAsia="宋体" w:cs="宋体"/>
          <w:bCs w:val="0"/>
          <w:i w:val="0"/>
          <w:iCs w:val="0"/>
          <w:color w:val="auto"/>
          <w:szCs w:val="28"/>
          <w:lang w:eastAsia="zh-CN"/>
        </w:rPr>
        <w:t>四</w:t>
      </w:r>
      <w:r>
        <w:rPr>
          <w:rFonts w:hint="eastAsia" w:ascii="宋体" w:hAnsi="宋体" w:eastAsia="宋体" w:cs="宋体"/>
          <w:bCs w:val="0"/>
          <w:i w:val="0"/>
          <w:iCs w:val="0"/>
          <w:color w:val="auto"/>
          <w:szCs w:val="28"/>
        </w:rPr>
        <w:t>、投标保证金</w:t>
      </w:r>
      <w:r>
        <w:rPr>
          <w:color w:val="auto"/>
        </w:rPr>
        <w:tab/>
      </w:r>
      <w:r>
        <w:rPr>
          <w:color w:val="auto"/>
        </w:rPr>
        <w:fldChar w:fldCharType="begin"/>
      </w:r>
      <w:r>
        <w:rPr>
          <w:color w:val="auto"/>
        </w:rPr>
        <w:instrText xml:space="preserve"> PAGEREF _Toc13757 \h </w:instrText>
      </w:r>
      <w:r>
        <w:rPr>
          <w:color w:val="auto"/>
        </w:rPr>
        <w:fldChar w:fldCharType="separate"/>
      </w:r>
      <w:r>
        <w:rPr>
          <w:color w:val="auto"/>
        </w:rPr>
        <w:t>165</w:t>
      </w:r>
      <w:r>
        <w:rPr>
          <w:color w:val="auto"/>
        </w:rPr>
        <w:fldChar w:fldCharType="end"/>
      </w:r>
      <w:r>
        <w:rPr>
          <w:bCs/>
          <w:color w:val="auto"/>
          <w:szCs w:val="21"/>
        </w:rPr>
        <w:fldChar w:fldCharType="end"/>
      </w:r>
    </w:p>
    <w:p w14:paraId="56064257">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_Toc3265 </w:instrText>
      </w:r>
      <w:r>
        <w:rPr>
          <w:bCs/>
          <w:color w:val="auto"/>
          <w:szCs w:val="21"/>
        </w:rPr>
        <w:fldChar w:fldCharType="separate"/>
      </w:r>
      <w:r>
        <w:rPr>
          <w:rFonts w:hint="eastAsia" w:ascii="宋体" w:hAnsi="宋体" w:eastAsia="宋体" w:cs="宋体"/>
          <w:bCs w:val="0"/>
          <w:i w:val="0"/>
          <w:iCs w:val="0"/>
          <w:color w:val="auto"/>
          <w:szCs w:val="28"/>
          <w:lang w:eastAsia="zh-CN"/>
        </w:rPr>
        <w:t>五</w:t>
      </w:r>
      <w:r>
        <w:rPr>
          <w:rFonts w:hint="eastAsia" w:ascii="宋体" w:hAnsi="宋体" w:eastAsia="宋体" w:cs="宋体"/>
          <w:bCs w:val="0"/>
          <w:i w:val="0"/>
          <w:iCs w:val="0"/>
          <w:color w:val="auto"/>
          <w:szCs w:val="28"/>
        </w:rPr>
        <w:t>、价格清单</w:t>
      </w:r>
      <w:r>
        <w:rPr>
          <w:color w:val="auto"/>
        </w:rPr>
        <w:tab/>
      </w:r>
      <w:r>
        <w:rPr>
          <w:color w:val="auto"/>
        </w:rPr>
        <w:fldChar w:fldCharType="begin"/>
      </w:r>
      <w:r>
        <w:rPr>
          <w:color w:val="auto"/>
        </w:rPr>
        <w:instrText xml:space="preserve"> PAGEREF _Toc3265 \h </w:instrText>
      </w:r>
      <w:r>
        <w:rPr>
          <w:color w:val="auto"/>
        </w:rPr>
        <w:fldChar w:fldCharType="separate"/>
      </w:r>
      <w:r>
        <w:rPr>
          <w:color w:val="auto"/>
        </w:rPr>
        <w:t>166</w:t>
      </w:r>
      <w:r>
        <w:rPr>
          <w:color w:val="auto"/>
        </w:rPr>
        <w:fldChar w:fldCharType="end"/>
      </w:r>
      <w:r>
        <w:rPr>
          <w:bCs/>
          <w:color w:val="auto"/>
          <w:szCs w:val="21"/>
        </w:rPr>
        <w:fldChar w:fldCharType="end"/>
      </w:r>
    </w:p>
    <w:p w14:paraId="5270CCC7">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_Toc12075 </w:instrText>
      </w:r>
      <w:r>
        <w:rPr>
          <w:bCs/>
          <w:color w:val="auto"/>
          <w:szCs w:val="21"/>
        </w:rPr>
        <w:fldChar w:fldCharType="separate"/>
      </w:r>
      <w:r>
        <w:rPr>
          <w:rFonts w:ascii="Times New Roman" w:hAnsi="Times New Roman"/>
          <w:i w:val="0"/>
          <w:iCs w:val="0"/>
          <w:color w:val="auto"/>
          <w:szCs w:val="24"/>
        </w:rPr>
        <w:t>（一）价格清单说明</w:t>
      </w:r>
      <w:r>
        <w:rPr>
          <w:color w:val="auto"/>
        </w:rPr>
        <w:tab/>
      </w:r>
      <w:r>
        <w:rPr>
          <w:color w:val="auto"/>
        </w:rPr>
        <w:fldChar w:fldCharType="begin"/>
      </w:r>
      <w:r>
        <w:rPr>
          <w:color w:val="auto"/>
        </w:rPr>
        <w:instrText xml:space="preserve"> PAGEREF _Toc12075 \h </w:instrText>
      </w:r>
      <w:r>
        <w:rPr>
          <w:color w:val="auto"/>
        </w:rPr>
        <w:fldChar w:fldCharType="separate"/>
      </w:r>
      <w:r>
        <w:rPr>
          <w:color w:val="auto"/>
        </w:rPr>
        <w:t>166</w:t>
      </w:r>
      <w:r>
        <w:rPr>
          <w:color w:val="auto"/>
        </w:rPr>
        <w:fldChar w:fldCharType="end"/>
      </w:r>
      <w:r>
        <w:rPr>
          <w:bCs/>
          <w:color w:val="auto"/>
          <w:szCs w:val="21"/>
        </w:rPr>
        <w:fldChar w:fldCharType="end"/>
      </w:r>
    </w:p>
    <w:p w14:paraId="467E8300">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_Toc31358 </w:instrText>
      </w:r>
      <w:r>
        <w:rPr>
          <w:bCs/>
          <w:color w:val="auto"/>
          <w:szCs w:val="21"/>
        </w:rPr>
        <w:fldChar w:fldCharType="separate"/>
      </w:r>
      <w:r>
        <w:rPr>
          <w:rFonts w:ascii="Times New Roman" w:hAnsi="Times New Roman"/>
          <w:i w:val="0"/>
          <w:iCs w:val="0"/>
          <w:color w:val="auto"/>
          <w:szCs w:val="24"/>
        </w:rPr>
        <w:t>（二）价格清单</w:t>
      </w:r>
      <w:r>
        <w:rPr>
          <w:color w:val="auto"/>
        </w:rPr>
        <w:tab/>
      </w:r>
      <w:r>
        <w:rPr>
          <w:color w:val="auto"/>
        </w:rPr>
        <w:fldChar w:fldCharType="begin"/>
      </w:r>
      <w:r>
        <w:rPr>
          <w:color w:val="auto"/>
        </w:rPr>
        <w:instrText xml:space="preserve"> PAGEREF _Toc31358 \h </w:instrText>
      </w:r>
      <w:r>
        <w:rPr>
          <w:color w:val="auto"/>
        </w:rPr>
        <w:fldChar w:fldCharType="separate"/>
      </w:r>
      <w:r>
        <w:rPr>
          <w:color w:val="auto"/>
        </w:rPr>
        <w:t>167</w:t>
      </w:r>
      <w:r>
        <w:rPr>
          <w:color w:val="auto"/>
        </w:rPr>
        <w:fldChar w:fldCharType="end"/>
      </w:r>
      <w:r>
        <w:rPr>
          <w:bCs/>
          <w:color w:val="auto"/>
          <w:szCs w:val="21"/>
        </w:rPr>
        <w:fldChar w:fldCharType="end"/>
      </w:r>
    </w:p>
    <w:p w14:paraId="02028466">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_Toc17925 </w:instrText>
      </w:r>
      <w:r>
        <w:rPr>
          <w:bCs/>
          <w:color w:val="auto"/>
          <w:szCs w:val="21"/>
        </w:rPr>
        <w:fldChar w:fldCharType="separate"/>
      </w:r>
      <w:r>
        <w:rPr>
          <w:rFonts w:hint="eastAsia" w:ascii="宋体" w:hAnsi="宋体" w:eastAsia="宋体" w:cs="宋体"/>
          <w:bCs/>
          <w:i w:val="0"/>
          <w:iCs w:val="0"/>
          <w:color w:val="auto"/>
          <w:szCs w:val="28"/>
          <w:lang w:eastAsia="zh-CN"/>
        </w:rPr>
        <w:t>六</w:t>
      </w:r>
      <w:r>
        <w:rPr>
          <w:rFonts w:hint="eastAsia" w:ascii="宋体" w:hAnsi="宋体" w:eastAsia="宋体" w:cs="宋体"/>
          <w:bCs/>
          <w:i w:val="0"/>
          <w:iCs w:val="0"/>
          <w:color w:val="auto"/>
          <w:szCs w:val="28"/>
        </w:rPr>
        <w:t>、资格审查资料</w:t>
      </w:r>
      <w:r>
        <w:rPr>
          <w:color w:val="auto"/>
        </w:rPr>
        <w:tab/>
      </w:r>
      <w:r>
        <w:rPr>
          <w:color w:val="auto"/>
        </w:rPr>
        <w:fldChar w:fldCharType="begin"/>
      </w:r>
      <w:r>
        <w:rPr>
          <w:color w:val="auto"/>
        </w:rPr>
        <w:instrText xml:space="preserve"> PAGEREF _Toc17925 \h </w:instrText>
      </w:r>
      <w:r>
        <w:rPr>
          <w:color w:val="auto"/>
        </w:rPr>
        <w:fldChar w:fldCharType="separate"/>
      </w:r>
      <w:r>
        <w:rPr>
          <w:color w:val="auto"/>
        </w:rPr>
        <w:t>174</w:t>
      </w:r>
      <w:r>
        <w:rPr>
          <w:color w:val="auto"/>
        </w:rPr>
        <w:fldChar w:fldCharType="end"/>
      </w:r>
      <w:r>
        <w:rPr>
          <w:bCs/>
          <w:color w:val="auto"/>
          <w:szCs w:val="21"/>
        </w:rPr>
        <w:fldChar w:fldCharType="end"/>
      </w:r>
    </w:p>
    <w:p w14:paraId="181A01E2">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_Toc19291 </w:instrText>
      </w:r>
      <w:r>
        <w:rPr>
          <w:bCs/>
          <w:color w:val="auto"/>
          <w:szCs w:val="21"/>
        </w:rPr>
        <w:fldChar w:fldCharType="separate"/>
      </w:r>
      <w:r>
        <w:rPr>
          <w:rFonts w:ascii="Times New Roman" w:hAnsi="Times New Roman"/>
          <w:i w:val="0"/>
          <w:iCs w:val="0"/>
          <w:color w:val="auto"/>
          <w:szCs w:val="24"/>
        </w:rPr>
        <w:t>（一）投标人基本情况表</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174</w:t>
      </w:r>
      <w:r>
        <w:rPr>
          <w:color w:val="auto"/>
        </w:rPr>
        <w:fldChar w:fldCharType="end"/>
      </w:r>
      <w:r>
        <w:rPr>
          <w:bCs/>
          <w:color w:val="auto"/>
          <w:szCs w:val="21"/>
        </w:rPr>
        <w:fldChar w:fldCharType="end"/>
      </w:r>
    </w:p>
    <w:p w14:paraId="3ECD00F8">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_Toc29254 </w:instrText>
      </w:r>
      <w:r>
        <w:rPr>
          <w:bCs/>
          <w:color w:val="auto"/>
          <w:szCs w:val="21"/>
        </w:rPr>
        <w:fldChar w:fldCharType="separate"/>
      </w:r>
      <w:r>
        <w:rPr>
          <w:rFonts w:ascii="Times New Roman" w:hAnsi="Times New Roman"/>
          <w:i w:val="0"/>
          <w:iCs w:val="0"/>
          <w:color w:val="auto"/>
          <w:szCs w:val="24"/>
        </w:rPr>
        <w:t>（二）近年财务状况表</w:t>
      </w:r>
      <w:r>
        <w:rPr>
          <w:color w:val="auto"/>
        </w:rPr>
        <w:tab/>
      </w:r>
      <w:r>
        <w:rPr>
          <w:color w:val="auto"/>
        </w:rPr>
        <w:fldChar w:fldCharType="begin"/>
      </w:r>
      <w:r>
        <w:rPr>
          <w:color w:val="auto"/>
        </w:rPr>
        <w:instrText xml:space="preserve"> PAGEREF _Toc29254 \h </w:instrText>
      </w:r>
      <w:r>
        <w:rPr>
          <w:color w:val="auto"/>
        </w:rPr>
        <w:fldChar w:fldCharType="separate"/>
      </w:r>
      <w:r>
        <w:rPr>
          <w:color w:val="auto"/>
        </w:rPr>
        <w:t>175</w:t>
      </w:r>
      <w:r>
        <w:rPr>
          <w:color w:val="auto"/>
        </w:rPr>
        <w:fldChar w:fldCharType="end"/>
      </w:r>
      <w:r>
        <w:rPr>
          <w:bCs/>
          <w:color w:val="auto"/>
          <w:szCs w:val="21"/>
        </w:rPr>
        <w:fldChar w:fldCharType="end"/>
      </w:r>
    </w:p>
    <w:p w14:paraId="3473BE90">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_Toc19634 </w:instrText>
      </w:r>
      <w:r>
        <w:rPr>
          <w:bCs/>
          <w:color w:val="auto"/>
          <w:szCs w:val="21"/>
        </w:rPr>
        <w:fldChar w:fldCharType="separate"/>
      </w:r>
      <w:r>
        <w:rPr>
          <w:i w:val="0"/>
          <w:iCs w:val="0"/>
          <w:color w:val="auto"/>
        </w:rPr>
        <w:t>（三）近年完成的类似项目情况表</w:t>
      </w:r>
      <w:r>
        <w:rPr>
          <w:rFonts w:hint="eastAsia"/>
          <w:i w:val="0"/>
          <w:iCs w:val="0"/>
          <w:color w:val="auto"/>
        </w:rPr>
        <w:t>（工程总承包项目）</w:t>
      </w:r>
      <w:r>
        <w:rPr>
          <w:color w:val="auto"/>
        </w:rPr>
        <w:tab/>
      </w:r>
      <w:r>
        <w:rPr>
          <w:color w:val="auto"/>
        </w:rPr>
        <w:fldChar w:fldCharType="begin"/>
      </w:r>
      <w:r>
        <w:rPr>
          <w:color w:val="auto"/>
        </w:rPr>
        <w:instrText xml:space="preserve"> PAGEREF _Toc19634 \h </w:instrText>
      </w:r>
      <w:r>
        <w:rPr>
          <w:color w:val="auto"/>
        </w:rPr>
        <w:fldChar w:fldCharType="separate"/>
      </w:r>
      <w:r>
        <w:rPr>
          <w:color w:val="auto"/>
        </w:rPr>
        <w:t>176</w:t>
      </w:r>
      <w:r>
        <w:rPr>
          <w:color w:val="auto"/>
        </w:rPr>
        <w:fldChar w:fldCharType="end"/>
      </w:r>
      <w:r>
        <w:rPr>
          <w:bCs/>
          <w:color w:val="auto"/>
          <w:szCs w:val="21"/>
        </w:rPr>
        <w:fldChar w:fldCharType="end"/>
      </w:r>
    </w:p>
    <w:p w14:paraId="1BFBD19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_Toc13339 </w:instrText>
      </w:r>
      <w:r>
        <w:rPr>
          <w:bCs/>
          <w:color w:val="auto"/>
          <w:szCs w:val="21"/>
        </w:rPr>
        <w:fldChar w:fldCharType="separate"/>
      </w:r>
      <w:r>
        <w:rPr>
          <w:i w:val="0"/>
          <w:iCs w:val="0"/>
          <w:color w:val="auto"/>
        </w:rPr>
        <w:t>（四）正在实施的和新承接的项目情况表</w:t>
      </w:r>
      <w:r>
        <w:rPr>
          <w:color w:val="auto"/>
        </w:rPr>
        <w:tab/>
      </w:r>
      <w:r>
        <w:rPr>
          <w:color w:val="auto"/>
        </w:rPr>
        <w:fldChar w:fldCharType="begin"/>
      </w:r>
      <w:r>
        <w:rPr>
          <w:color w:val="auto"/>
        </w:rPr>
        <w:instrText xml:space="preserve"> PAGEREF _Toc13339 \h </w:instrText>
      </w:r>
      <w:r>
        <w:rPr>
          <w:color w:val="auto"/>
        </w:rPr>
        <w:fldChar w:fldCharType="separate"/>
      </w:r>
      <w:r>
        <w:rPr>
          <w:color w:val="auto"/>
        </w:rPr>
        <w:t>177</w:t>
      </w:r>
      <w:r>
        <w:rPr>
          <w:color w:val="auto"/>
        </w:rPr>
        <w:fldChar w:fldCharType="end"/>
      </w:r>
      <w:r>
        <w:rPr>
          <w:bCs/>
          <w:color w:val="auto"/>
          <w:szCs w:val="21"/>
        </w:rPr>
        <w:fldChar w:fldCharType="end"/>
      </w:r>
    </w:p>
    <w:p w14:paraId="7A8A0E58">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_Toc11589 </w:instrText>
      </w:r>
      <w:r>
        <w:rPr>
          <w:bCs/>
          <w:color w:val="auto"/>
          <w:szCs w:val="21"/>
        </w:rPr>
        <w:fldChar w:fldCharType="separate"/>
      </w:r>
      <w:r>
        <w:rPr>
          <w:i/>
          <w:iCs/>
          <w:color w:val="auto"/>
        </w:rPr>
        <w:t>（五）近年发生的重大诉讼及仲裁情况</w:t>
      </w:r>
      <w:r>
        <w:rPr>
          <w:color w:val="auto"/>
        </w:rPr>
        <w:tab/>
      </w:r>
      <w:r>
        <w:rPr>
          <w:color w:val="auto"/>
        </w:rPr>
        <w:fldChar w:fldCharType="begin"/>
      </w:r>
      <w:r>
        <w:rPr>
          <w:color w:val="auto"/>
        </w:rPr>
        <w:instrText xml:space="preserve"> PAGEREF _Toc11589 \h </w:instrText>
      </w:r>
      <w:r>
        <w:rPr>
          <w:color w:val="auto"/>
        </w:rPr>
        <w:fldChar w:fldCharType="separate"/>
      </w:r>
      <w:r>
        <w:rPr>
          <w:color w:val="auto"/>
        </w:rPr>
        <w:t>178</w:t>
      </w:r>
      <w:r>
        <w:rPr>
          <w:color w:val="auto"/>
        </w:rPr>
        <w:fldChar w:fldCharType="end"/>
      </w:r>
      <w:r>
        <w:rPr>
          <w:bCs/>
          <w:color w:val="auto"/>
          <w:szCs w:val="21"/>
        </w:rPr>
        <w:fldChar w:fldCharType="end"/>
      </w:r>
    </w:p>
    <w:p w14:paraId="4F96100E">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_Toc14663 </w:instrText>
      </w:r>
      <w:r>
        <w:rPr>
          <w:bCs/>
          <w:color w:val="auto"/>
          <w:szCs w:val="21"/>
        </w:rPr>
        <w:fldChar w:fldCharType="separate"/>
      </w:r>
      <w:r>
        <w:rPr>
          <w:i w:val="0"/>
          <w:iCs w:val="0"/>
          <w:color w:val="auto"/>
        </w:rPr>
        <w:t>（</w:t>
      </w:r>
      <w:r>
        <w:rPr>
          <w:rFonts w:hint="eastAsia"/>
          <w:i w:val="0"/>
          <w:iCs w:val="0"/>
          <w:color w:val="auto"/>
        </w:rPr>
        <w:t>六</w:t>
      </w:r>
      <w:r>
        <w:rPr>
          <w:i w:val="0"/>
          <w:iCs w:val="0"/>
          <w:color w:val="auto"/>
        </w:rPr>
        <w:t>）项目管理</w:t>
      </w:r>
      <w:r>
        <w:rPr>
          <w:rFonts w:hint="eastAsia"/>
          <w:i w:val="0"/>
          <w:iCs w:val="0"/>
          <w:color w:val="auto"/>
        </w:rPr>
        <w:t>班子配备情况表</w:t>
      </w:r>
      <w:r>
        <w:rPr>
          <w:color w:val="auto"/>
        </w:rPr>
        <w:tab/>
      </w:r>
      <w:r>
        <w:rPr>
          <w:color w:val="auto"/>
        </w:rPr>
        <w:fldChar w:fldCharType="begin"/>
      </w:r>
      <w:r>
        <w:rPr>
          <w:color w:val="auto"/>
        </w:rPr>
        <w:instrText xml:space="preserve"> PAGEREF _Toc14663 \h </w:instrText>
      </w:r>
      <w:r>
        <w:rPr>
          <w:color w:val="auto"/>
        </w:rPr>
        <w:fldChar w:fldCharType="separate"/>
      </w:r>
      <w:r>
        <w:rPr>
          <w:color w:val="auto"/>
        </w:rPr>
        <w:t>179</w:t>
      </w:r>
      <w:r>
        <w:rPr>
          <w:color w:val="auto"/>
        </w:rPr>
        <w:fldChar w:fldCharType="end"/>
      </w:r>
      <w:r>
        <w:rPr>
          <w:bCs/>
          <w:color w:val="auto"/>
          <w:szCs w:val="21"/>
        </w:rPr>
        <w:fldChar w:fldCharType="end"/>
      </w:r>
    </w:p>
    <w:p w14:paraId="4EF95009">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_Toc23987 </w:instrText>
      </w:r>
      <w:r>
        <w:rPr>
          <w:bCs/>
          <w:color w:val="auto"/>
          <w:szCs w:val="21"/>
        </w:rPr>
        <w:fldChar w:fldCharType="separate"/>
      </w:r>
      <w:r>
        <w:rPr>
          <w:i w:val="0"/>
          <w:iCs w:val="0"/>
          <w:color w:val="auto"/>
        </w:rPr>
        <w:t>（</w:t>
      </w:r>
      <w:r>
        <w:rPr>
          <w:rFonts w:hint="eastAsia"/>
          <w:i w:val="0"/>
          <w:iCs w:val="0"/>
          <w:color w:val="auto"/>
        </w:rPr>
        <w:t>七</w:t>
      </w:r>
      <w:r>
        <w:rPr>
          <w:i w:val="0"/>
          <w:iCs w:val="0"/>
          <w:color w:val="auto"/>
        </w:rPr>
        <w:t>）</w:t>
      </w:r>
      <w:r>
        <w:rPr>
          <w:rFonts w:hint="eastAsia"/>
          <w:i w:val="0"/>
          <w:iCs w:val="0"/>
          <w:color w:val="auto"/>
        </w:rPr>
        <w:t>项目经理、施工负责人、设计负责人、项目技术负责人简历表</w:t>
      </w:r>
      <w:r>
        <w:rPr>
          <w:color w:val="auto"/>
        </w:rPr>
        <w:tab/>
      </w:r>
      <w:r>
        <w:rPr>
          <w:color w:val="auto"/>
        </w:rPr>
        <w:fldChar w:fldCharType="begin"/>
      </w:r>
      <w:r>
        <w:rPr>
          <w:color w:val="auto"/>
        </w:rPr>
        <w:instrText xml:space="preserve"> PAGEREF _Toc23987 \h </w:instrText>
      </w:r>
      <w:r>
        <w:rPr>
          <w:color w:val="auto"/>
        </w:rPr>
        <w:fldChar w:fldCharType="separate"/>
      </w:r>
      <w:r>
        <w:rPr>
          <w:color w:val="auto"/>
        </w:rPr>
        <w:t>180</w:t>
      </w:r>
      <w:r>
        <w:rPr>
          <w:color w:val="auto"/>
        </w:rPr>
        <w:fldChar w:fldCharType="end"/>
      </w:r>
      <w:r>
        <w:rPr>
          <w:bCs/>
          <w:color w:val="auto"/>
          <w:szCs w:val="21"/>
        </w:rPr>
        <w:fldChar w:fldCharType="end"/>
      </w:r>
    </w:p>
    <w:p w14:paraId="2FFAD456">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_Toc19015 </w:instrText>
      </w:r>
      <w:r>
        <w:rPr>
          <w:bCs/>
          <w:color w:val="auto"/>
          <w:szCs w:val="21"/>
        </w:rPr>
        <w:fldChar w:fldCharType="separate"/>
      </w:r>
      <w:r>
        <w:rPr>
          <w:rFonts w:hint="eastAsia"/>
          <w:i w:val="0"/>
          <w:iCs w:val="0"/>
          <w:color w:val="auto"/>
          <w:lang w:eastAsia="zh-CN"/>
        </w:rPr>
        <w:t>（八） 项目管理机构其他人员汇总表</w:t>
      </w:r>
      <w:r>
        <w:rPr>
          <w:color w:val="auto"/>
        </w:rPr>
        <w:tab/>
      </w:r>
      <w:r>
        <w:rPr>
          <w:color w:val="auto"/>
        </w:rPr>
        <w:fldChar w:fldCharType="begin"/>
      </w:r>
      <w:r>
        <w:rPr>
          <w:color w:val="auto"/>
        </w:rPr>
        <w:instrText xml:space="preserve"> PAGEREF _Toc19015 \h </w:instrText>
      </w:r>
      <w:r>
        <w:rPr>
          <w:color w:val="auto"/>
        </w:rPr>
        <w:fldChar w:fldCharType="separate"/>
      </w:r>
      <w:r>
        <w:rPr>
          <w:color w:val="auto"/>
        </w:rPr>
        <w:t>181</w:t>
      </w:r>
      <w:r>
        <w:rPr>
          <w:color w:val="auto"/>
        </w:rPr>
        <w:fldChar w:fldCharType="end"/>
      </w:r>
      <w:r>
        <w:rPr>
          <w:bCs/>
          <w:color w:val="auto"/>
          <w:szCs w:val="21"/>
        </w:rPr>
        <w:fldChar w:fldCharType="end"/>
      </w:r>
    </w:p>
    <w:p w14:paraId="700A4D1B">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_Toc7541 </w:instrText>
      </w:r>
      <w:r>
        <w:rPr>
          <w:bCs/>
          <w:color w:val="auto"/>
          <w:szCs w:val="21"/>
        </w:rPr>
        <w:fldChar w:fldCharType="separate"/>
      </w:r>
      <w:r>
        <w:rPr>
          <w:rFonts w:hint="eastAsia" w:ascii="宋体" w:hAnsi="宋体" w:eastAsia="宋体" w:cs="宋体"/>
          <w:bCs w:val="0"/>
          <w:i w:val="0"/>
          <w:iCs w:val="0"/>
          <w:color w:val="auto"/>
          <w:szCs w:val="28"/>
          <w:lang w:eastAsia="zh-CN"/>
        </w:rPr>
        <w:t>七</w:t>
      </w:r>
      <w:r>
        <w:rPr>
          <w:rFonts w:hint="eastAsia" w:ascii="宋体" w:hAnsi="宋体" w:eastAsia="宋体" w:cs="宋体"/>
          <w:bCs w:val="0"/>
          <w:i w:val="0"/>
          <w:iCs w:val="0"/>
          <w:color w:val="auto"/>
          <w:szCs w:val="28"/>
        </w:rPr>
        <w:t>、其他资料</w:t>
      </w:r>
      <w:r>
        <w:rPr>
          <w:color w:val="auto"/>
        </w:rPr>
        <w:tab/>
      </w:r>
      <w:r>
        <w:rPr>
          <w:color w:val="auto"/>
        </w:rPr>
        <w:fldChar w:fldCharType="begin"/>
      </w:r>
      <w:r>
        <w:rPr>
          <w:color w:val="auto"/>
        </w:rPr>
        <w:instrText xml:space="preserve"> PAGEREF _Toc7541 \h </w:instrText>
      </w:r>
      <w:r>
        <w:rPr>
          <w:color w:val="auto"/>
        </w:rPr>
        <w:fldChar w:fldCharType="separate"/>
      </w:r>
      <w:r>
        <w:rPr>
          <w:color w:val="auto"/>
        </w:rPr>
        <w:t>182</w:t>
      </w:r>
      <w:r>
        <w:rPr>
          <w:color w:val="auto"/>
        </w:rPr>
        <w:fldChar w:fldCharType="end"/>
      </w:r>
      <w:r>
        <w:rPr>
          <w:bCs/>
          <w:color w:val="auto"/>
          <w:szCs w:val="21"/>
        </w:rPr>
        <w:fldChar w:fldCharType="end"/>
      </w:r>
    </w:p>
    <w:p w14:paraId="5DB35776">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_Toc9689 </w:instrText>
      </w:r>
      <w:r>
        <w:rPr>
          <w:bCs w:val="0"/>
          <w:color w:val="auto"/>
          <w:szCs w:val="21"/>
        </w:rPr>
        <w:fldChar w:fldCharType="separate"/>
      </w:r>
      <w:r>
        <w:rPr>
          <w:rFonts w:hint="eastAsia" w:ascii="方正小标宋简体" w:hAnsi="方正小标宋简体" w:eastAsia="方正小标宋简体" w:cs="方正小标宋简体"/>
          <w:i w:val="0"/>
          <w:iCs w:val="0"/>
          <w:color w:val="auto"/>
          <w:szCs w:val="44"/>
          <w:lang w:val="en-US" w:eastAsia="zh-CN"/>
        </w:rPr>
        <w:t>技术标（暗标）</w:t>
      </w:r>
      <w:r>
        <w:rPr>
          <w:color w:val="auto"/>
        </w:rPr>
        <w:tab/>
      </w:r>
      <w:r>
        <w:rPr>
          <w:color w:val="auto"/>
        </w:rPr>
        <w:fldChar w:fldCharType="begin"/>
      </w:r>
      <w:r>
        <w:rPr>
          <w:color w:val="auto"/>
        </w:rPr>
        <w:instrText xml:space="preserve"> PAGEREF _Toc9689 \h </w:instrText>
      </w:r>
      <w:r>
        <w:rPr>
          <w:color w:val="auto"/>
        </w:rPr>
        <w:fldChar w:fldCharType="separate"/>
      </w:r>
      <w:r>
        <w:rPr>
          <w:color w:val="auto"/>
        </w:rPr>
        <w:t>187</w:t>
      </w:r>
      <w:r>
        <w:rPr>
          <w:color w:val="auto"/>
        </w:rPr>
        <w:fldChar w:fldCharType="end"/>
      </w:r>
      <w:r>
        <w:rPr>
          <w:bCs w:val="0"/>
          <w:color w:val="auto"/>
          <w:szCs w:val="21"/>
        </w:rPr>
        <w:fldChar w:fldCharType="end"/>
      </w:r>
    </w:p>
    <w:p w14:paraId="6FEB02E9">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_Toc24787 </w:instrText>
      </w:r>
      <w:r>
        <w:rPr>
          <w:bCs/>
          <w:color w:val="auto"/>
          <w:szCs w:val="21"/>
        </w:rPr>
        <w:fldChar w:fldCharType="separate"/>
      </w:r>
      <w:r>
        <w:rPr>
          <w:rFonts w:hint="eastAsia" w:ascii="宋体" w:hAnsi="宋体" w:eastAsia="宋体" w:cs="宋体"/>
          <w:bCs/>
          <w:i w:val="0"/>
          <w:iCs w:val="0"/>
          <w:color w:val="auto"/>
          <w:spacing w:val="5"/>
          <w:szCs w:val="28"/>
          <w:lang w:eastAsia="zh-CN"/>
        </w:rPr>
        <w:t>一、</w:t>
      </w:r>
      <w:r>
        <w:rPr>
          <w:rFonts w:hint="eastAsia" w:ascii="宋体" w:hAnsi="宋体" w:eastAsia="宋体" w:cs="宋体"/>
          <w:bCs/>
          <w:i w:val="0"/>
          <w:iCs w:val="0"/>
          <w:color w:val="auto"/>
          <w:spacing w:val="5"/>
          <w:szCs w:val="28"/>
        </w:rPr>
        <w:t>总体项目管理方案</w:t>
      </w:r>
      <w:r>
        <w:rPr>
          <w:color w:val="auto"/>
        </w:rPr>
        <w:tab/>
      </w:r>
      <w:r>
        <w:rPr>
          <w:color w:val="auto"/>
        </w:rPr>
        <w:fldChar w:fldCharType="begin"/>
      </w:r>
      <w:r>
        <w:rPr>
          <w:color w:val="auto"/>
        </w:rPr>
        <w:instrText xml:space="preserve"> PAGEREF _Toc24787 \h </w:instrText>
      </w:r>
      <w:r>
        <w:rPr>
          <w:color w:val="auto"/>
        </w:rPr>
        <w:fldChar w:fldCharType="separate"/>
      </w:r>
      <w:r>
        <w:rPr>
          <w:color w:val="auto"/>
        </w:rPr>
        <w:t>188</w:t>
      </w:r>
      <w:r>
        <w:rPr>
          <w:color w:val="auto"/>
        </w:rPr>
        <w:fldChar w:fldCharType="end"/>
      </w:r>
      <w:r>
        <w:rPr>
          <w:bCs/>
          <w:color w:val="auto"/>
          <w:szCs w:val="21"/>
        </w:rPr>
        <w:fldChar w:fldCharType="end"/>
      </w:r>
    </w:p>
    <w:p w14:paraId="6C8E9891">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_Toc26018 </w:instrText>
      </w:r>
      <w:r>
        <w:rPr>
          <w:bCs/>
          <w:color w:val="auto"/>
          <w:szCs w:val="21"/>
        </w:rPr>
        <w:fldChar w:fldCharType="separate"/>
      </w:r>
      <w:r>
        <w:rPr>
          <w:rFonts w:hint="eastAsia" w:ascii="宋体" w:hAnsi="宋体" w:eastAsia="宋体" w:cs="宋体"/>
          <w:bCs/>
          <w:i w:val="0"/>
          <w:iCs w:val="0"/>
          <w:color w:val="auto"/>
          <w:spacing w:val="4"/>
          <w:szCs w:val="28"/>
        </w:rPr>
        <w:t>二、设计方案</w:t>
      </w:r>
      <w:r>
        <w:rPr>
          <w:color w:val="auto"/>
        </w:rPr>
        <w:tab/>
      </w:r>
      <w:r>
        <w:rPr>
          <w:color w:val="auto"/>
        </w:rPr>
        <w:fldChar w:fldCharType="begin"/>
      </w:r>
      <w:r>
        <w:rPr>
          <w:color w:val="auto"/>
        </w:rPr>
        <w:instrText xml:space="preserve"> PAGEREF _Toc26018 \h </w:instrText>
      </w:r>
      <w:r>
        <w:rPr>
          <w:color w:val="auto"/>
        </w:rPr>
        <w:fldChar w:fldCharType="separate"/>
      </w:r>
      <w:r>
        <w:rPr>
          <w:color w:val="auto"/>
        </w:rPr>
        <w:t>189</w:t>
      </w:r>
      <w:r>
        <w:rPr>
          <w:color w:val="auto"/>
        </w:rPr>
        <w:fldChar w:fldCharType="end"/>
      </w:r>
      <w:r>
        <w:rPr>
          <w:bCs/>
          <w:color w:val="auto"/>
          <w:szCs w:val="21"/>
        </w:rPr>
        <w:fldChar w:fldCharType="end"/>
      </w:r>
    </w:p>
    <w:p w14:paraId="492EE3C2">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_Toc24435 </w:instrText>
      </w:r>
      <w:r>
        <w:rPr>
          <w:bCs/>
          <w:color w:val="auto"/>
          <w:szCs w:val="21"/>
        </w:rPr>
        <w:fldChar w:fldCharType="separate"/>
      </w:r>
      <w:r>
        <w:rPr>
          <w:rFonts w:hint="eastAsia" w:ascii="宋体" w:hAnsi="宋体" w:eastAsia="宋体" w:cs="宋体"/>
          <w:bCs/>
          <w:i w:val="0"/>
          <w:iCs w:val="0"/>
          <w:color w:val="auto"/>
          <w:spacing w:val="5"/>
          <w:szCs w:val="28"/>
        </w:rPr>
        <w:t>三、采购方案</w:t>
      </w:r>
      <w:r>
        <w:rPr>
          <w:color w:val="auto"/>
        </w:rPr>
        <w:tab/>
      </w:r>
      <w:r>
        <w:rPr>
          <w:color w:val="auto"/>
        </w:rPr>
        <w:fldChar w:fldCharType="begin"/>
      </w:r>
      <w:r>
        <w:rPr>
          <w:color w:val="auto"/>
        </w:rPr>
        <w:instrText xml:space="preserve"> PAGEREF _Toc24435 \h </w:instrText>
      </w:r>
      <w:r>
        <w:rPr>
          <w:color w:val="auto"/>
        </w:rPr>
        <w:fldChar w:fldCharType="separate"/>
      </w:r>
      <w:r>
        <w:rPr>
          <w:color w:val="auto"/>
        </w:rPr>
        <w:t>190</w:t>
      </w:r>
      <w:r>
        <w:rPr>
          <w:color w:val="auto"/>
        </w:rPr>
        <w:fldChar w:fldCharType="end"/>
      </w:r>
      <w:r>
        <w:rPr>
          <w:bCs/>
          <w:color w:val="auto"/>
          <w:szCs w:val="21"/>
        </w:rPr>
        <w:fldChar w:fldCharType="end"/>
      </w:r>
    </w:p>
    <w:p w14:paraId="4D35E83F">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_Toc7416 </w:instrText>
      </w:r>
      <w:r>
        <w:rPr>
          <w:bCs/>
          <w:color w:val="auto"/>
          <w:szCs w:val="21"/>
        </w:rPr>
        <w:fldChar w:fldCharType="separate"/>
      </w:r>
      <w:r>
        <w:rPr>
          <w:rFonts w:hint="eastAsia" w:ascii="宋体" w:hAnsi="宋体" w:eastAsia="宋体" w:cs="宋体"/>
          <w:bCs/>
          <w:i w:val="0"/>
          <w:iCs w:val="0"/>
          <w:color w:val="auto"/>
          <w:spacing w:val="-1"/>
          <w:szCs w:val="28"/>
        </w:rPr>
        <w:t>四、施工方案</w:t>
      </w:r>
      <w:r>
        <w:rPr>
          <w:color w:val="auto"/>
        </w:rPr>
        <w:tab/>
      </w:r>
      <w:r>
        <w:rPr>
          <w:color w:val="auto"/>
        </w:rPr>
        <w:fldChar w:fldCharType="begin"/>
      </w:r>
      <w:r>
        <w:rPr>
          <w:color w:val="auto"/>
        </w:rPr>
        <w:instrText xml:space="preserve"> PAGEREF _Toc7416 \h </w:instrText>
      </w:r>
      <w:r>
        <w:rPr>
          <w:color w:val="auto"/>
        </w:rPr>
        <w:fldChar w:fldCharType="separate"/>
      </w:r>
      <w:r>
        <w:rPr>
          <w:color w:val="auto"/>
        </w:rPr>
        <w:t>191</w:t>
      </w:r>
      <w:r>
        <w:rPr>
          <w:color w:val="auto"/>
        </w:rPr>
        <w:fldChar w:fldCharType="end"/>
      </w:r>
      <w:r>
        <w:rPr>
          <w:bCs/>
          <w:color w:val="auto"/>
          <w:szCs w:val="21"/>
        </w:rPr>
        <w:fldChar w:fldCharType="end"/>
      </w:r>
    </w:p>
    <w:p w14:paraId="0435370A">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_Toc22639 </w:instrText>
      </w:r>
      <w:r>
        <w:rPr>
          <w:bCs/>
          <w:color w:val="auto"/>
          <w:szCs w:val="21"/>
        </w:rPr>
        <w:fldChar w:fldCharType="separate"/>
      </w:r>
      <w:r>
        <w:rPr>
          <w:rFonts w:hint="eastAsia" w:ascii="宋体" w:hAnsi="宋体" w:eastAsia="宋体" w:cs="宋体"/>
          <w:bCs/>
          <w:i w:val="0"/>
          <w:iCs w:val="0"/>
          <w:color w:val="auto"/>
          <w:spacing w:val="5"/>
          <w:szCs w:val="28"/>
        </w:rPr>
        <w:t>五、拟分包项目的管理方案</w:t>
      </w:r>
      <w:r>
        <w:rPr>
          <w:color w:val="auto"/>
        </w:rPr>
        <w:tab/>
      </w:r>
      <w:r>
        <w:rPr>
          <w:color w:val="auto"/>
        </w:rPr>
        <w:fldChar w:fldCharType="begin"/>
      </w:r>
      <w:r>
        <w:rPr>
          <w:color w:val="auto"/>
        </w:rPr>
        <w:instrText xml:space="preserve"> PAGEREF _Toc22639 \h </w:instrText>
      </w:r>
      <w:r>
        <w:rPr>
          <w:color w:val="auto"/>
        </w:rPr>
        <w:fldChar w:fldCharType="separate"/>
      </w:r>
      <w:r>
        <w:rPr>
          <w:color w:val="auto"/>
        </w:rPr>
        <w:t>196</w:t>
      </w:r>
      <w:r>
        <w:rPr>
          <w:color w:val="auto"/>
        </w:rPr>
        <w:fldChar w:fldCharType="end"/>
      </w:r>
      <w:r>
        <w:rPr>
          <w:bCs/>
          <w:color w:val="auto"/>
          <w:szCs w:val="21"/>
        </w:rPr>
        <w:fldChar w:fldCharType="end"/>
      </w:r>
    </w:p>
    <w:p w14:paraId="77D3F3B1">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_Toc11047 </w:instrText>
      </w:r>
      <w:r>
        <w:rPr>
          <w:bCs/>
          <w:color w:val="auto"/>
          <w:szCs w:val="21"/>
        </w:rPr>
        <w:fldChar w:fldCharType="separate"/>
      </w:r>
      <w:r>
        <w:rPr>
          <w:rFonts w:hint="eastAsia" w:ascii="宋体" w:hAnsi="宋体" w:eastAsia="宋体" w:cs="宋体"/>
          <w:bCs/>
          <w:i w:val="0"/>
          <w:iCs w:val="0"/>
          <w:color w:val="auto"/>
          <w:spacing w:val="5"/>
          <w:szCs w:val="28"/>
          <w:lang w:eastAsia="zh-CN"/>
        </w:rPr>
        <w:t>六、BIM工作方案</w:t>
      </w:r>
      <w:r>
        <w:rPr>
          <w:color w:val="auto"/>
        </w:rPr>
        <w:tab/>
      </w:r>
      <w:r>
        <w:rPr>
          <w:color w:val="auto"/>
        </w:rPr>
        <w:fldChar w:fldCharType="begin"/>
      </w:r>
      <w:r>
        <w:rPr>
          <w:color w:val="auto"/>
        </w:rPr>
        <w:instrText xml:space="preserve"> PAGEREF _Toc11047 \h </w:instrText>
      </w:r>
      <w:r>
        <w:rPr>
          <w:color w:val="auto"/>
        </w:rPr>
        <w:fldChar w:fldCharType="separate"/>
      </w:r>
      <w:r>
        <w:rPr>
          <w:color w:val="auto"/>
        </w:rPr>
        <w:t>197</w:t>
      </w:r>
      <w:r>
        <w:rPr>
          <w:color w:val="auto"/>
        </w:rPr>
        <w:fldChar w:fldCharType="end"/>
      </w:r>
      <w:r>
        <w:rPr>
          <w:bCs/>
          <w:color w:val="auto"/>
          <w:szCs w:val="21"/>
        </w:rPr>
        <w:fldChar w:fldCharType="end"/>
      </w:r>
    </w:p>
    <w:p w14:paraId="43874A30">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_Toc16408 </w:instrText>
      </w:r>
      <w:r>
        <w:rPr>
          <w:bCs/>
          <w:color w:val="auto"/>
          <w:szCs w:val="21"/>
        </w:rPr>
        <w:fldChar w:fldCharType="separate"/>
      </w:r>
      <w:r>
        <w:rPr>
          <w:rFonts w:hint="eastAsia" w:ascii="宋体" w:hAnsi="宋体" w:eastAsia="宋体" w:cs="宋体"/>
          <w:bCs/>
          <w:i w:val="0"/>
          <w:iCs w:val="0"/>
          <w:color w:val="auto"/>
          <w:spacing w:val="4"/>
          <w:szCs w:val="28"/>
          <w:lang w:val="en-US" w:eastAsia="zh-CN"/>
        </w:rPr>
        <w:t>七</w:t>
      </w:r>
      <w:r>
        <w:rPr>
          <w:rFonts w:hint="eastAsia" w:ascii="宋体" w:hAnsi="宋体" w:eastAsia="宋体" w:cs="宋体"/>
          <w:bCs/>
          <w:i w:val="0"/>
          <w:iCs w:val="0"/>
          <w:color w:val="auto"/>
          <w:spacing w:val="4"/>
          <w:szCs w:val="28"/>
          <w:lang w:eastAsia="zh-CN"/>
        </w:rPr>
        <w:t>、</w:t>
      </w:r>
      <w:r>
        <w:rPr>
          <w:rFonts w:hint="eastAsia" w:ascii="宋体" w:hAnsi="宋体" w:eastAsia="宋体" w:cs="宋体"/>
          <w:bCs/>
          <w:i w:val="0"/>
          <w:iCs w:val="0"/>
          <w:color w:val="auto"/>
          <w:spacing w:val="4"/>
          <w:szCs w:val="28"/>
        </w:rPr>
        <w:t>其他</w:t>
      </w:r>
      <w:r>
        <w:rPr>
          <w:rFonts w:hint="eastAsia" w:ascii="宋体" w:hAnsi="宋体" w:eastAsia="宋体" w:cs="宋体"/>
          <w:bCs/>
          <w:i w:val="0"/>
          <w:iCs w:val="0"/>
          <w:color w:val="auto"/>
          <w:spacing w:val="4"/>
          <w:szCs w:val="28"/>
          <w:lang w:eastAsia="zh-CN"/>
        </w:rPr>
        <w:t>资料</w:t>
      </w:r>
      <w:r>
        <w:rPr>
          <w:color w:val="auto"/>
        </w:rPr>
        <w:tab/>
      </w:r>
      <w:r>
        <w:rPr>
          <w:color w:val="auto"/>
        </w:rPr>
        <w:fldChar w:fldCharType="begin"/>
      </w:r>
      <w:r>
        <w:rPr>
          <w:color w:val="auto"/>
        </w:rPr>
        <w:instrText xml:space="preserve"> PAGEREF _Toc16408 \h </w:instrText>
      </w:r>
      <w:r>
        <w:rPr>
          <w:color w:val="auto"/>
        </w:rPr>
        <w:fldChar w:fldCharType="separate"/>
      </w:r>
      <w:r>
        <w:rPr>
          <w:color w:val="auto"/>
        </w:rPr>
        <w:t>198</w:t>
      </w:r>
      <w:r>
        <w:rPr>
          <w:color w:val="auto"/>
        </w:rPr>
        <w:fldChar w:fldCharType="end"/>
      </w:r>
      <w:r>
        <w:rPr>
          <w:bCs/>
          <w:color w:val="auto"/>
          <w:szCs w:val="21"/>
        </w:rPr>
        <w:fldChar w:fldCharType="end"/>
      </w:r>
    </w:p>
    <w:p w14:paraId="2E59DEC3">
      <w:pPr>
        <w:pStyle w:val="17"/>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right="0" w:rightChars="0" w:firstLine="400" w:firstLineChars="200"/>
        <w:jc w:val="left"/>
        <w:textAlignment w:val="auto"/>
        <w:outlineLvl w:val="9"/>
        <w:rPr>
          <w:bCs/>
          <w:color w:val="auto"/>
          <w:szCs w:val="21"/>
        </w:rPr>
      </w:pPr>
      <w:r>
        <w:rPr>
          <w:bCs/>
          <w:color w:val="auto"/>
          <w:szCs w:val="21"/>
        </w:rPr>
        <w:fldChar w:fldCharType="end"/>
      </w:r>
    </w:p>
    <w:bookmarkEnd w:id="7"/>
    <w:bookmarkEnd w:id="8"/>
    <w:p w14:paraId="18D83499">
      <w:pPr>
        <w:pStyle w:val="63"/>
        <w:tabs>
          <w:tab w:val="right" w:leader="dot" w:pos="9638"/>
        </w:tabs>
        <w:jc w:val="center"/>
        <w:rPr>
          <w:rStyle w:val="47"/>
          <w:color w:val="auto"/>
        </w:rPr>
        <w:sectPr>
          <w:footerReference r:id="rId6" w:type="default"/>
          <w:pgSz w:w="11905" w:h="16838"/>
          <w:pgMar w:top="1417" w:right="1134" w:bottom="1417" w:left="1134" w:header="850" w:footer="992" w:gutter="0"/>
          <w:pgBorders>
            <w:top w:val="none" w:sz="0" w:space="0"/>
            <w:left w:val="none" w:sz="0" w:space="0"/>
            <w:bottom w:val="none" w:sz="0" w:space="0"/>
            <w:right w:val="none" w:sz="0" w:space="0"/>
          </w:pgBorders>
          <w:pgNumType w:fmt="decimal" w:start="1"/>
          <w:cols w:space="720" w:num="1"/>
          <w:rtlGutter w:val="0"/>
          <w:docGrid w:type="lines" w:linePitch="318" w:charSpace="0"/>
        </w:sectPr>
      </w:pPr>
      <w:bookmarkStart w:id="12" w:name="_Toc247513933"/>
      <w:bookmarkStart w:id="13" w:name="_Toc21439"/>
      <w:bookmarkStart w:id="14" w:name="_Toc247527534"/>
      <w:bookmarkStart w:id="15" w:name="_Toc399"/>
      <w:bookmarkStart w:id="16" w:name="_Toc28057"/>
    </w:p>
    <w:p w14:paraId="3769102E">
      <w:pPr>
        <w:pStyle w:val="63"/>
        <w:tabs>
          <w:tab w:val="right" w:leader="dot" w:pos="9638"/>
        </w:tabs>
        <w:jc w:val="center"/>
        <w:outlineLvl w:val="0"/>
        <w:rPr>
          <w:rStyle w:val="47"/>
          <w:color w:val="auto"/>
        </w:rPr>
      </w:pPr>
      <w:bookmarkStart w:id="17" w:name="_Toc19916"/>
      <w:r>
        <w:rPr>
          <w:rStyle w:val="47"/>
          <w:color w:val="auto"/>
        </w:rPr>
        <w:t>第一章 招标公告</w:t>
      </w:r>
      <w:bookmarkEnd w:id="9"/>
      <w:bookmarkEnd w:id="10"/>
      <w:bookmarkEnd w:id="11"/>
      <w:bookmarkEnd w:id="12"/>
      <w:bookmarkEnd w:id="13"/>
      <w:bookmarkEnd w:id="14"/>
      <w:bookmarkEnd w:id="15"/>
      <w:bookmarkEnd w:id="17"/>
    </w:p>
    <w:bookmarkEnd w:id="16"/>
    <w:p w14:paraId="1FD4A735">
      <w:pPr>
        <w:pageBreakBefore w:val="0"/>
        <w:kinsoku/>
        <w:wordWrap w:val="0"/>
        <w:overflowPunct/>
        <w:bidi w:val="0"/>
        <w:spacing w:line="440" w:lineRule="exact"/>
        <w:jc w:val="center"/>
        <w:rPr>
          <w:rFonts w:eastAsia="黑体"/>
          <w:color w:val="auto"/>
          <w:sz w:val="28"/>
          <w:szCs w:val="28"/>
        </w:rPr>
      </w:pPr>
      <w:bookmarkStart w:id="18" w:name="_Toc24262"/>
      <w:r>
        <w:rPr>
          <w:rFonts w:hint="eastAsia" w:eastAsia="黑体"/>
          <w:color w:val="auto"/>
          <w:sz w:val="28"/>
          <w:szCs w:val="28"/>
          <w:u w:val="single"/>
        </w:rPr>
        <w:t>河北女子职业技术学院辛集校区建设工程</w:t>
      </w:r>
      <w:r>
        <w:rPr>
          <w:rFonts w:eastAsia="黑体"/>
          <w:color w:val="auto"/>
          <w:sz w:val="28"/>
          <w:szCs w:val="28"/>
        </w:rPr>
        <w:t>工程总承包招标公告</w:t>
      </w:r>
      <w:bookmarkEnd w:id="18"/>
    </w:p>
    <w:p w14:paraId="3D400CE5">
      <w:pPr>
        <w:pageBreakBefore w:val="0"/>
        <w:kinsoku/>
        <w:wordWrap w:val="0"/>
        <w:overflowPunct/>
        <w:bidi w:val="0"/>
        <w:spacing w:line="440" w:lineRule="exact"/>
        <w:jc w:val="center"/>
        <w:rPr>
          <w:rFonts w:eastAsia="黑体"/>
          <w:color w:val="auto"/>
          <w:sz w:val="29"/>
          <w:szCs w:val="29"/>
        </w:rPr>
      </w:pPr>
    </w:p>
    <w:p w14:paraId="6511BC35">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rPr>
      </w:pPr>
      <w:bookmarkStart w:id="19" w:name="_Toc10967"/>
      <w:bookmarkStart w:id="20" w:name="_Toc152045518"/>
      <w:bookmarkStart w:id="21" w:name="_Toc152042294"/>
      <w:bookmarkStart w:id="22" w:name="_Toc247527542"/>
      <w:bookmarkStart w:id="23" w:name="_Toc247513941"/>
      <w:bookmarkStart w:id="24" w:name="_Toc144974486"/>
      <w:r>
        <w:rPr>
          <w:rFonts w:hint="eastAsia" w:ascii="方正黑体_GBK" w:hAnsi="方正黑体_GBK" w:eastAsia="方正黑体_GBK" w:cs="方正黑体_GBK"/>
          <w:color w:val="auto"/>
          <w:kern w:val="0"/>
          <w:sz w:val="24"/>
          <w:szCs w:val="24"/>
        </w:rPr>
        <w:t>1.招标条件</w:t>
      </w:r>
      <w:bookmarkEnd w:id="19"/>
    </w:p>
    <w:p w14:paraId="09C40A2B">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default" w:eastAsia="宋体" w:cs="Times New Roman"/>
          <w:color w:val="auto"/>
          <w:kern w:val="0"/>
          <w:sz w:val="24"/>
          <w:szCs w:val="24"/>
          <w:u w:val="single"/>
          <w:lang w:val="en-US" w:eastAsia="zh-CN"/>
        </w:rPr>
      </w:pPr>
      <w:r>
        <w:rPr>
          <w:rFonts w:hint="eastAsia" w:cs="Times New Roman"/>
          <w:color w:val="auto"/>
          <w:kern w:val="0"/>
          <w:sz w:val="24"/>
          <w:szCs w:val="24"/>
          <w:u w:val="single"/>
        </w:rPr>
        <w:t>河北女子职业技术学院辛集校区建设工程</w:t>
      </w:r>
      <w:r>
        <w:rPr>
          <w:rFonts w:hint="eastAsia" w:cs="Times New Roman"/>
          <w:color w:val="auto"/>
          <w:kern w:val="0"/>
          <w:sz w:val="24"/>
          <w:szCs w:val="24"/>
        </w:rPr>
        <w:t>已由</w:t>
      </w:r>
      <w:r>
        <w:rPr>
          <w:rFonts w:hint="eastAsia" w:cs="Times New Roman"/>
          <w:color w:val="auto"/>
          <w:kern w:val="0"/>
          <w:sz w:val="24"/>
          <w:szCs w:val="24"/>
          <w:u w:val="single"/>
        </w:rPr>
        <w:t>河北省发展和改革委员会</w:t>
      </w:r>
      <w:r>
        <w:rPr>
          <w:rFonts w:hint="eastAsia" w:cs="Times New Roman"/>
          <w:color w:val="auto"/>
          <w:kern w:val="0"/>
          <w:sz w:val="24"/>
          <w:szCs w:val="24"/>
          <w:highlight w:val="none"/>
        </w:rPr>
        <w:t>以</w:t>
      </w:r>
      <w:r>
        <w:rPr>
          <w:rFonts w:hint="eastAsia" w:cs="Times New Roman"/>
          <w:i/>
          <w:iCs/>
          <w:color w:val="auto"/>
          <w:kern w:val="0"/>
          <w:sz w:val="24"/>
          <w:szCs w:val="24"/>
          <w:highlight w:val="none"/>
          <w:u w:val="single"/>
        </w:rPr>
        <w:t xml:space="preserve">  </w:t>
      </w:r>
      <w:r>
        <w:rPr>
          <w:rFonts w:hint="eastAsia" w:cs="Times New Roman"/>
          <w:i/>
          <w:iCs/>
          <w:color w:val="auto"/>
          <w:kern w:val="0"/>
          <w:sz w:val="24"/>
          <w:szCs w:val="24"/>
          <w:highlight w:val="none"/>
          <w:u w:val="single"/>
          <w:lang w:val="en-US" w:eastAsia="zh-CN"/>
        </w:rPr>
        <w:t xml:space="preserve">        </w:t>
      </w:r>
      <w:r>
        <w:rPr>
          <w:rFonts w:hint="eastAsia" w:cs="Times New Roman"/>
          <w:color w:val="auto"/>
          <w:kern w:val="0"/>
          <w:sz w:val="24"/>
          <w:szCs w:val="24"/>
          <w:highlight w:val="none"/>
        </w:rPr>
        <w:t>批准</w:t>
      </w:r>
      <w:r>
        <w:rPr>
          <w:rFonts w:hint="eastAsia" w:cs="Times New Roman"/>
          <w:color w:val="auto"/>
          <w:kern w:val="0"/>
          <w:sz w:val="24"/>
          <w:szCs w:val="24"/>
        </w:rPr>
        <w:t>建设，建设资金来自</w:t>
      </w:r>
      <w:r>
        <w:rPr>
          <w:rFonts w:hint="eastAsia" w:cs="Times New Roman"/>
          <w:color w:val="auto"/>
          <w:kern w:val="0"/>
          <w:sz w:val="24"/>
          <w:szCs w:val="24"/>
          <w:u w:val="single"/>
          <w:lang w:val="en-US" w:eastAsia="zh-CN"/>
        </w:rPr>
        <w:t>通过</w:t>
      </w:r>
      <w:r>
        <w:rPr>
          <w:rFonts w:hint="eastAsia" w:cs="Times New Roman"/>
          <w:color w:val="auto"/>
          <w:kern w:val="0"/>
          <w:sz w:val="24"/>
          <w:szCs w:val="24"/>
          <w:u w:val="single"/>
        </w:rPr>
        <w:t>地方政府专项债券、统筹生均拨款、学宿费收入等筹措解决</w:t>
      </w:r>
      <w:r>
        <w:rPr>
          <w:rFonts w:hint="eastAsia" w:cs="Times New Roman"/>
          <w:color w:val="auto"/>
          <w:kern w:val="0"/>
          <w:sz w:val="24"/>
          <w:szCs w:val="24"/>
        </w:rPr>
        <w:t>，</w:t>
      </w:r>
      <w:r>
        <w:rPr>
          <w:rFonts w:hint="eastAsia" w:cs="Times New Roman"/>
          <w:color w:val="auto"/>
          <w:kern w:val="0"/>
          <w:sz w:val="24"/>
          <w:szCs w:val="24"/>
          <w:highlight w:val="none"/>
          <w:lang w:eastAsia="zh-CN"/>
        </w:rPr>
        <w:t>国有资金占比</w:t>
      </w:r>
      <w:r>
        <w:rPr>
          <w:rFonts w:hint="eastAsia" w:cs="Times New Roman"/>
          <w:color w:val="auto"/>
          <w:kern w:val="0"/>
          <w:sz w:val="24"/>
          <w:szCs w:val="24"/>
          <w:highlight w:val="none"/>
          <w:u w:val="single"/>
          <w:lang w:val="en-US" w:eastAsia="zh-CN"/>
        </w:rPr>
        <w:t>0%</w:t>
      </w:r>
      <w:r>
        <w:rPr>
          <w:rFonts w:hint="eastAsia" w:cs="Times New Roman"/>
          <w:color w:val="auto"/>
          <w:kern w:val="0"/>
          <w:sz w:val="24"/>
          <w:szCs w:val="24"/>
          <w:highlight w:val="none"/>
          <w:u w:val="none"/>
          <w:lang w:val="en-US" w:eastAsia="zh-CN"/>
        </w:rPr>
        <w:t>，</w:t>
      </w:r>
      <w:r>
        <w:rPr>
          <w:rFonts w:hint="eastAsia" w:cs="Times New Roman"/>
          <w:color w:val="auto"/>
          <w:kern w:val="0"/>
          <w:sz w:val="24"/>
          <w:szCs w:val="24"/>
          <w:highlight w:val="none"/>
        </w:rPr>
        <w:t>财政资金占比</w:t>
      </w:r>
      <w:r>
        <w:rPr>
          <w:rFonts w:hint="eastAsia" w:cs="Times New Roman"/>
          <w:color w:val="auto"/>
          <w:kern w:val="0"/>
          <w:sz w:val="24"/>
          <w:szCs w:val="24"/>
          <w:highlight w:val="none"/>
          <w:u w:val="single"/>
          <w:lang w:val="en-US" w:eastAsia="zh-CN"/>
        </w:rPr>
        <w:t>100%</w:t>
      </w:r>
      <w:r>
        <w:rPr>
          <w:rFonts w:hint="eastAsia" w:cs="Times New Roman"/>
          <w:color w:val="auto"/>
          <w:kern w:val="0"/>
          <w:sz w:val="24"/>
          <w:szCs w:val="24"/>
          <w:highlight w:val="none"/>
          <w:u w:val="none"/>
          <w:lang w:val="en-US" w:eastAsia="zh-CN"/>
        </w:rPr>
        <w:t>。</w:t>
      </w:r>
    </w:p>
    <w:p w14:paraId="35F2A8DD">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cs="Times New Roman"/>
          <w:color w:val="auto"/>
          <w:kern w:val="0"/>
          <w:sz w:val="24"/>
          <w:szCs w:val="24"/>
        </w:rPr>
      </w:pPr>
      <w:r>
        <w:rPr>
          <w:rFonts w:hint="eastAsia" w:cs="Times New Roman"/>
          <w:color w:val="auto"/>
          <w:kern w:val="0"/>
          <w:sz w:val="24"/>
          <w:szCs w:val="24"/>
        </w:rPr>
        <w:t>项目</w:t>
      </w:r>
      <w:r>
        <w:rPr>
          <w:rFonts w:hint="eastAsia" w:cs="Times New Roman"/>
          <w:color w:val="auto"/>
          <w:kern w:val="0"/>
          <w:sz w:val="24"/>
          <w:szCs w:val="24"/>
          <w:lang w:eastAsia="zh-CN"/>
        </w:rPr>
        <w:t>建设单位</w:t>
      </w:r>
      <w:r>
        <w:rPr>
          <w:rFonts w:hint="eastAsia" w:cs="Times New Roman"/>
          <w:color w:val="auto"/>
          <w:kern w:val="0"/>
          <w:sz w:val="24"/>
          <w:szCs w:val="24"/>
        </w:rPr>
        <w:t>为</w:t>
      </w:r>
      <w:r>
        <w:rPr>
          <w:rFonts w:hint="eastAsia" w:cs="Times New Roman"/>
          <w:color w:val="auto"/>
          <w:kern w:val="0"/>
          <w:sz w:val="24"/>
          <w:szCs w:val="24"/>
          <w:u w:val="single"/>
        </w:rPr>
        <w:t>河北女子职业技术学院</w:t>
      </w:r>
      <w:r>
        <w:rPr>
          <w:rFonts w:hint="eastAsia" w:cs="Times New Roman"/>
          <w:color w:val="auto"/>
          <w:kern w:val="0"/>
          <w:sz w:val="24"/>
          <w:szCs w:val="24"/>
        </w:rPr>
        <w:t>，招标人为</w:t>
      </w:r>
      <w:r>
        <w:rPr>
          <w:rFonts w:hint="eastAsia" w:cs="Times New Roman"/>
          <w:color w:val="auto"/>
          <w:kern w:val="0"/>
          <w:sz w:val="24"/>
          <w:szCs w:val="24"/>
          <w:u w:val="single"/>
        </w:rPr>
        <w:t>河北女子职业技术学院</w:t>
      </w:r>
      <w:r>
        <w:rPr>
          <w:rFonts w:hint="eastAsia" w:cs="Times New Roman"/>
          <w:color w:val="auto"/>
          <w:kern w:val="0"/>
          <w:sz w:val="24"/>
          <w:szCs w:val="24"/>
        </w:rPr>
        <w:t>，委托代理机构为</w:t>
      </w:r>
      <w:bookmarkStart w:id="3362" w:name="_GoBack"/>
      <w:bookmarkEnd w:id="3362"/>
      <w:r>
        <w:rPr>
          <w:rFonts w:hint="eastAsia" w:cs="Times New Roman"/>
          <w:color w:val="auto"/>
          <w:kern w:val="0"/>
          <w:sz w:val="24"/>
          <w:szCs w:val="24"/>
          <w:lang w:eastAsia="zh-CN"/>
        </w:rPr>
        <w:t>。</w:t>
      </w:r>
      <w:r>
        <w:rPr>
          <w:rFonts w:hint="eastAsia" w:cs="Times New Roman"/>
          <w:color w:val="auto"/>
          <w:kern w:val="0"/>
          <w:sz w:val="24"/>
          <w:szCs w:val="24"/>
        </w:rPr>
        <w:t>项目已具备招标条件，现对该项目的</w:t>
      </w:r>
      <w:r>
        <w:rPr>
          <w:rFonts w:hint="eastAsia" w:cs="Times New Roman"/>
          <w:color w:val="auto"/>
          <w:kern w:val="0"/>
          <w:sz w:val="24"/>
          <w:szCs w:val="24"/>
          <w:u w:val="single"/>
        </w:rPr>
        <w:t>河北女子职业技术学院辛集校区建设工程</w:t>
      </w:r>
      <w:r>
        <w:rPr>
          <w:rFonts w:hint="eastAsia" w:cs="Times New Roman"/>
          <w:color w:val="auto"/>
          <w:kern w:val="0"/>
          <w:sz w:val="24"/>
          <w:szCs w:val="24"/>
        </w:rPr>
        <w:t>工程总承包进行公开招标。</w:t>
      </w:r>
    </w:p>
    <w:p w14:paraId="543E8B30">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rPr>
      </w:pPr>
      <w:bookmarkStart w:id="25" w:name="_Toc12117"/>
      <w:r>
        <w:rPr>
          <w:rFonts w:hint="eastAsia" w:ascii="方正黑体_GBK" w:hAnsi="方正黑体_GBK" w:eastAsia="方正黑体_GBK" w:cs="方正黑体_GBK"/>
          <w:color w:val="auto"/>
          <w:kern w:val="0"/>
          <w:sz w:val="24"/>
          <w:szCs w:val="24"/>
        </w:rPr>
        <w:t>2.</w:t>
      </w:r>
      <w:r>
        <w:rPr>
          <w:rFonts w:hint="eastAsia" w:ascii="方正黑体_GBK" w:hAnsi="方正黑体_GBK" w:eastAsia="方正黑体_GBK" w:cs="方正黑体_GBK"/>
          <w:color w:val="auto"/>
          <w:kern w:val="0"/>
          <w:sz w:val="24"/>
          <w:szCs w:val="24"/>
          <w:highlight w:val="none"/>
          <w:lang w:eastAsia="zh-CN"/>
        </w:rPr>
        <w:t>项目</w:t>
      </w:r>
      <w:r>
        <w:rPr>
          <w:rFonts w:hint="eastAsia" w:ascii="方正黑体_GBK" w:hAnsi="方正黑体_GBK" w:eastAsia="方正黑体_GBK" w:cs="方正黑体_GBK"/>
          <w:color w:val="auto"/>
          <w:kern w:val="0"/>
          <w:sz w:val="24"/>
          <w:szCs w:val="24"/>
        </w:rPr>
        <w:t>概况与招标范围</w:t>
      </w:r>
      <w:bookmarkEnd w:id="25"/>
    </w:p>
    <w:p w14:paraId="19520E8E">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single"/>
          <w:lang w:eastAsia="zh-CN"/>
        </w:rPr>
      </w:pPr>
      <w:r>
        <w:rPr>
          <w:rFonts w:hint="eastAsia" w:cs="Times New Roman"/>
          <w:i w:val="0"/>
          <w:iCs w:val="0"/>
          <w:color w:val="auto"/>
          <w:kern w:val="0"/>
          <w:sz w:val="24"/>
          <w:szCs w:val="24"/>
          <w:u w:val="none"/>
        </w:rPr>
        <w:t>2.1</w:t>
      </w:r>
      <w:r>
        <w:rPr>
          <w:rFonts w:hint="eastAsia" w:cs="Times New Roman"/>
          <w:i w:val="0"/>
          <w:iCs w:val="0"/>
          <w:color w:val="auto"/>
          <w:kern w:val="0"/>
          <w:sz w:val="24"/>
          <w:szCs w:val="24"/>
          <w:highlight w:val="none"/>
          <w:u w:val="none"/>
          <w:lang w:eastAsia="zh-CN"/>
        </w:rPr>
        <w:t>项目</w:t>
      </w:r>
      <w:r>
        <w:rPr>
          <w:rFonts w:hint="eastAsia" w:cs="Times New Roman"/>
          <w:i w:val="0"/>
          <w:iCs w:val="0"/>
          <w:color w:val="auto"/>
          <w:kern w:val="0"/>
          <w:sz w:val="24"/>
          <w:szCs w:val="24"/>
          <w:u w:val="none"/>
        </w:rPr>
        <w:t>概况：本</w:t>
      </w:r>
      <w:r>
        <w:rPr>
          <w:rFonts w:hint="eastAsia" w:cs="Times New Roman"/>
          <w:i w:val="0"/>
          <w:iCs w:val="0"/>
          <w:color w:val="auto"/>
          <w:kern w:val="0"/>
          <w:sz w:val="24"/>
          <w:szCs w:val="24"/>
          <w:highlight w:val="none"/>
          <w:u w:val="none"/>
          <w:lang w:eastAsia="zh-CN"/>
        </w:rPr>
        <w:t>项目</w:t>
      </w:r>
      <w:r>
        <w:rPr>
          <w:rFonts w:hint="eastAsia" w:cs="Times New Roman"/>
          <w:i w:val="0"/>
          <w:iCs w:val="0"/>
          <w:color w:val="auto"/>
          <w:kern w:val="0"/>
          <w:sz w:val="24"/>
          <w:szCs w:val="24"/>
          <w:highlight w:val="none"/>
          <w:u w:val="none"/>
          <w:lang w:val="en" w:eastAsia="zh-CN"/>
        </w:rPr>
        <w:t>总</w:t>
      </w:r>
      <w:r>
        <w:rPr>
          <w:rFonts w:hint="eastAsia" w:cs="Times New Roman"/>
          <w:i w:val="0"/>
          <w:iCs w:val="0"/>
          <w:color w:val="auto"/>
          <w:kern w:val="0"/>
          <w:sz w:val="24"/>
          <w:szCs w:val="24"/>
          <w:highlight w:val="none"/>
          <w:u w:val="none"/>
        </w:rPr>
        <w:t>投资</w:t>
      </w:r>
      <w:r>
        <w:rPr>
          <w:rFonts w:hint="eastAsia" w:cs="Times New Roman"/>
          <w:i w:val="0"/>
          <w:iCs w:val="0"/>
          <w:color w:val="auto"/>
          <w:kern w:val="0"/>
          <w:sz w:val="24"/>
          <w:szCs w:val="24"/>
          <w:highlight w:val="none"/>
          <w:u w:val="single"/>
        </w:rPr>
        <w:t>129922.71</w:t>
      </w:r>
      <w:r>
        <w:rPr>
          <w:rFonts w:hint="eastAsia" w:cs="Times New Roman"/>
          <w:i w:val="0"/>
          <w:iCs w:val="0"/>
          <w:color w:val="auto"/>
          <w:kern w:val="0"/>
          <w:sz w:val="24"/>
          <w:szCs w:val="24"/>
          <w:highlight w:val="none"/>
          <w:u w:val="none"/>
        </w:rPr>
        <w:t>万元</w:t>
      </w:r>
      <w:r>
        <w:rPr>
          <w:rFonts w:hint="eastAsia" w:cs="Times New Roman"/>
          <w:i w:val="0"/>
          <w:iCs w:val="0"/>
          <w:color w:val="auto"/>
          <w:kern w:val="0"/>
          <w:sz w:val="24"/>
          <w:szCs w:val="24"/>
          <w:u w:val="none"/>
        </w:rPr>
        <w:t>，其中建安工程</w:t>
      </w:r>
      <w:r>
        <w:rPr>
          <w:rFonts w:hint="eastAsia" w:cs="Times New Roman"/>
          <w:i w:val="0"/>
          <w:iCs w:val="0"/>
          <w:color w:val="auto"/>
          <w:kern w:val="0"/>
          <w:sz w:val="24"/>
          <w:szCs w:val="24"/>
          <w:highlight w:val="none"/>
          <w:u w:val="none"/>
          <w:lang w:eastAsia="zh-CN"/>
        </w:rPr>
        <w:t>估算价</w:t>
      </w:r>
      <w:r>
        <w:rPr>
          <w:rFonts w:hint="eastAsia" w:cs="Times New Roman"/>
          <w:i w:val="0"/>
          <w:iCs w:val="0"/>
          <w:color w:val="auto"/>
          <w:kern w:val="0"/>
          <w:sz w:val="24"/>
          <w:szCs w:val="24"/>
          <w:highlight w:val="none"/>
          <w:u w:val="single"/>
          <w:lang w:eastAsia="zh-CN"/>
        </w:rPr>
        <w:t>109332.54</w:t>
      </w:r>
      <w:r>
        <w:rPr>
          <w:rFonts w:hint="eastAsia" w:cs="Times New Roman"/>
          <w:i w:val="0"/>
          <w:iCs w:val="0"/>
          <w:color w:val="auto"/>
          <w:kern w:val="0"/>
          <w:sz w:val="24"/>
          <w:szCs w:val="24"/>
          <w:highlight w:val="none"/>
          <w:u w:val="none"/>
        </w:rPr>
        <w:t>万元</w:t>
      </w:r>
      <w:r>
        <w:rPr>
          <w:rFonts w:hint="eastAsia" w:cs="Times New Roman"/>
          <w:i w:val="0"/>
          <w:iCs w:val="0"/>
          <w:color w:val="auto"/>
          <w:kern w:val="0"/>
          <w:sz w:val="24"/>
          <w:szCs w:val="24"/>
          <w:u w:val="none"/>
        </w:rPr>
        <w:t>，建设规模：</w:t>
      </w:r>
      <w:r>
        <w:rPr>
          <w:rFonts w:hint="eastAsia" w:cs="Times New Roman"/>
          <w:i w:val="0"/>
          <w:iCs w:val="0"/>
          <w:color w:val="auto"/>
          <w:kern w:val="0"/>
          <w:sz w:val="24"/>
          <w:szCs w:val="24"/>
          <w:u w:val="single"/>
        </w:rPr>
        <w:t>总建筑面积273884.4平方米，其中地上260036.25平方米，地下13848.15平方米。主要建设公共教学楼</w:t>
      </w:r>
      <w:r>
        <w:rPr>
          <w:rFonts w:hint="eastAsia" w:cs="Times New Roman"/>
          <w:i w:val="0"/>
          <w:iCs w:val="0"/>
          <w:color w:val="auto"/>
          <w:kern w:val="0"/>
          <w:sz w:val="24"/>
          <w:szCs w:val="24"/>
          <w:u w:val="single"/>
          <w:lang w:val="en-US" w:eastAsia="zh-CN"/>
        </w:rPr>
        <w:t>2栋</w:t>
      </w:r>
      <w:r>
        <w:rPr>
          <w:rFonts w:hint="eastAsia" w:cs="Times New Roman"/>
          <w:i w:val="0"/>
          <w:iCs w:val="0"/>
          <w:color w:val="auto"/>
          <w:kern w:val="0"/>
          <w:sz w:val="24"/>
          <w:szCs w:val="24"/>
          <w:u w:val="single"/>
        </w:rPr>
        <w:t>，建筑面积</w:t>
      </w:r>
      <w:r>
        <w:rPr>
          <w:rFonts w:hint="eastAsia" w:cs="Times New Roman"/>
          <w:i w:val="0"/>
          <w:iCs w:val="0"/>
          <w:color w:val="auto"/>
          <w:kern w:val="0"/>
          <w:sz w:val="24"/>
          <w:szCs w:val="24"/>
          <w:u w:val="single"/>
          <w:lang w:val="en-US" w:eastAsia="zh-CN"/>
        </w:rPr>
        <w:t>19919.72</w:t>
      </w:r>
      <w:r>
        <w:rPr>
          <w:rFonts w:hint="eastAsia" w:cs="Times New Roman"/>
          <w:i w:val="0"/>
          <w:iCs w:val="0"/>
          <w:color w:val="auto"/>
          <w:kern w:val="0"/>
          <w:sz w:val="24"/>
          <w:szCs w:val="24"/>
          <w:u w:val="single"/>
        </w:rPr>
        <w:t>平方米；教学实训楼</w:t>
      </w:r>
      <w:r>
        <w:rPr>
          <w:rFonts w:hint="eastAsia" w:cs="Times New Roman"/>
          <w:i w:val="0"/>
          <w:iCs w:val="0"/>
          <w:color w:val="auto"/>
          <w:kern w:val="0"/>
          <w:sz w:val="24"/>
          <w:szCs w:val="24"/>
          <w:u w:val="single"/>
          <w:lang w:val="en-US" w:eastAsia="zh-CN"/>
        </w:rPr>
        <w:t>5栋</w:t>
      </w:r>
      <w:r>
        <w:rPr>
          <w:rFonts w:hint="eastAsia" w:cs="Times New Roman"/>
          <w:i w:val="0"/>
          <w:iCs w:val="0"/>
          <w:color w:val="auto"/>
          <w:kern w:val="0"/>
          <w:sz w:val="24"/>
          <w:szCs w:val="24"/>
          <w:u w:val="single"/>
        </w:rPr>
        <w:t>，建筑面积</w:t>
      </w:r>
      <w:r>
        <w:rPr>
          <w:rFonts w:hint="eastAsia" w:cs="Times New Roman"/>
          <w:i w:val="0"/>
          <w:iCs w:val="0"/>
          <w:color w:val="auto"/>
          <w:kern w:val="0"/>
          <w:sz w:val="24"/>
          <w:szCs w:val="24"/>
          <w:u w:val="single"/>
          <w:lang w:val="en-US" w:eastAsia="zh-CN"/>
        </w:rPr>
        <w:t>65024.41</w:t>
      </w:r>
      <w:r>
        <w:rPr>
          <w:rFonts w:hint="eastAsia" w:cs="Times New Roman"/>
          <w:i w:val="0"/>
          <w:iCs w:val="0"/>
          <w:color w:val="auto"/>
          <w:kern w:val="0"/>
          <w:sz w:val="24"/>
          <w:szCs w:val="24"/>
          <w:u w:val="single"/>
        </w:rPr>
        <w:t>平方米(含人防3936.53平方米)；1#连廊，建筑面积688.24平方米；实训车间，建筑面积3480.72平方米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图书综合楼</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，建筑面积24905.23平方米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学生活动中心</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，建筑面积1922.24平方米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风雨操场，建筑面积13163.85平方米(含人防4047.12平方米)；体育看台</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，建筑面积2841.01平方米；校级教研楼</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，建筑面积7180.81平方米；学术报告厅</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，建筑面积4969.91平方米。学生公寓</w:t>
      </w:r>
      <w:r>
        <w:rPr>
          <w:rFonts w:hint="eastAsia" w:cs="Times New Roman"/>
          <w:i w:val="0"/>
          <w:iCs w:val="0"/>
          <w:color w:val="auto"/>
          <w:kern w:val="0"/>
          <w:sz w:val="24"/>
          <w:szCs w:val="24"/>
          <w:u w:val="single"/>
          <w:lang w:val="en-US" w:eastAsia="zh-CN"/>
        </w:rPr>
        <w:t>14栋</w:t>
      </w:r>
      <w:r>
        <w:rPr>
          <w:rFonts w:hint="eastAsia" w:cs="Times New Roman"/>
          <w:i w:val="0"/>
          <w:iCs w:val="0"/>
          <w:color w:val="auto"/>
          <w:kern w:val="0"/>
          <w:sz w:val="24"/>
          <w:szCs w:val="24"/>
          <w:u w:val="single"/>
        </w:rPr>
        <w:t>，建筑面积</w:t>
      </w:r>
      <w:r>
        <w:rPr>
          <w:rFonts w:hint="eastAsia" w:cs="Times New Roman"/>
          <w:i w:val="0"/>
          <w:iCs w:val="0"/>
          <w:color w:val="auto"/>
          <w:kern w:val="0"/>
          <w:sz w:val="24"/>
          <w:szCs w:val="24"/>
          <w:u w:val="single"/>
          <w:lang w:val="en-US" w:eastAsia="zh-CN"/>
        </w:rPr>
        <w:t>98995.92</w:t>
      </w:r>
      <w:r>
        <w:rPr>
          <w:rFonts w:hint="eastAsia" w:cs="Times New Roman"/>
          <w:i w:val="0"/>
          <w:iCs w:val="0"/>
          <w:color w:val="auto"/>
          <w:kern w:val="0"/>
          <w:sz w:val="24"/>
          <w:szCs w:val="24"/>
          <w:u w:val="single"/>
        </w:rPr>
        <w:t>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单身教师公寓</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，建筑面积5499.44平方米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学生食堂</w:t>
      </w:r>
      <w:r>
        <w:rPr>
          <w:rFonts w:hint="eastAsia" w:cs="Times New Roman"/>
          <w:i w:val="0"/>
          <w:iCs w:val="0"/>
          <w:color w:val="auto"/>
          <w:kern w:val="0"/>
          <w:sz w:val="24"/>
          <w:szCs w:val="24"/>
          <w:u w:val="single"/>
          <w:lang w:val="en-US" w:eastAsia="zh-CN"/>
        </w:rPr>
        <w:t>4栋</w:t>
      </w:r>
      <w:r>
        <w:rPr>
          <w:rFonts w:hint="eastAsia" w:cs="Times New Roman"/>
          <w:i w:val="0"/>
          <w:iCs w:val="0"/>
          <w:color w:val="auto"/>
          <w:kern w:val="0"/>
          <w:sz w:val="24"/>
          <w:szCs w:val="24"/>
          <w:u w:val="single"/>
        </w:rPr>
        <w:t>，建筑面积</w:t>
      </w:r>
      <w:r>
        <w:rPr>
          <w:rFonts w:hint="eastAsia" w:cs="Times New Roman"/>
          <w:i w:val="0"/>
          <w:iCs w:val="0"/>
          <w:color w:val="auto"/>
          <w:kern w:val="0"/>
          <w:sz w:val="24"/>
          <w:szCs w:val="24"/>
          <w:u w:val="single"/>
          <w:lang w:val="en-US" w:eastAsia="zh-CN"/>
        </w:rPr>
        <w:t>21182.23</w:t>
      </w:r>
      <w:r>
        <w:rPr>
          <w:rFonts w:hint="eastAsia" w:cs="Times New Roman"/>
          <w:i w:val="0"/>
          <w:iCs w:val="0"/>
          <w:color w:val="auto"/>
          <w:kern w:val="0"/>
          <w:sz w:val="24"/>
          <w:szCs w:val="24"/>
          <w:u w:val="single"/>
        </w:rPr>
        <w:t>平方米(含人防5215.52平方米)；后勤服务楼</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，建筑面积1945.54平方米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附属用房</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建筑面积1940.29平方米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东校门，建筑面积49.56平方米；南校门，建筑面积175.28平方米。配套实施道路、室外铺装、运动场地、绿化、围墙以及给排水、电气、供暖、燃气、消防地下管网等室外工程。</w:t>
      </w:r>
    </w:p>
    <w:p w14:paraId="1918DEBA">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single"/>
          <w:lang w:val="en-US" w:eastAsia="zh-CN"/>
        </w:rPr>
      </w:pPr>
      <w:r>
        <w:rPr>
          <w:rFonts w:hint="eastAsia" w:cs="Times New Roman"/>
          <w:i w:val="0"/>
          <w:iCs w:val="0"/>
          <w:color w:val="auto"/>
          <w:kern w:val="0"/>
          <w:sz w:val="24"/>
          <w:szCs w:val="24"/>
          <w:highlight w:val="none"/>
          <w:u w:val="single"/>
        </w:rPr>
        <w:t>标段划分：</w:t>
      </w:r>
      <w:r>
        <w:rPr>
          <w:rFonts w:hint="eastAsia" w:cs="Times New Roman"/>
          <w:i w:val="0"/>
          <w:iCs w:val="0"/>
          <w:color w:val="auto"/>
          <w:kern w:val="0"/>
          <w:sz w:val="24"/>
          <w:szCs w:val="24"/>
          <w:highlight w:val="none"/>
          <w:u w:val="single"/>
          <w:lang w:val="en-US" w:eastAsia="zh-CN"/>
        </w:rPr>
        <w:t>四</w:t>
      </w:r>
      <w:r>
        <w:rPr>
          <w:rFonts w:hint="eastAsia" w:cs="Times New Roman"/>
          <w:i w:val="0"/>
          <w:iCs w:val="0"/>
          <w:color w:val="auto"/>
          <w:kern w:val="0"/>
          <w:sz w:val="24"/>
          <w:szCs w:val="24"/>
          <w:highlight w:val="none"/>
          <w:u w:val="single"/>
        </w:rPr>
        <w:t>个标段。</w:t>
      </w:r>
      <w:r>
        <w:rPr>
          <w:rFonts w:hint="eastAsia" w:cs="Times New Roman"/>
          <w:i w:val="0"/>
          <w:iCs w:val="0"/>
          <w:color w:val="auto"/>
          <w:kern w:val="0"/>
          <w:sz w:val="24"/>
          <w:szCs w:val="24"/>
          <w:highlight w:val="none"/>
          <w:u w:val="single"/>
          <w:lang w:val="en-US" w:eastAsia="zh-CN"/>
        </w:rPr>
        <w:t>其中一标段：1#-8#学生公寓、单身教师公寓、1#学生食堂、2#学生食堂（含食堂地下车库基础）、3#学生食堂、后勤服务楼、附属用房等工程，具体详见初步设计；二标段：图书综合楼、风雨操场、学术报告厅、学生活动中心、9#-14#学生公寓、4#学生食堂等工程，具体详见初步设计；三标段：1#-2#公共教学楼、1#-5#教学实训楼、实训车间、1#连廊、校级教研楼等工程，具体详见初步设计；四标段：体育看台、校门、运动场、道路工程、铺装工程、绿化工程、给排水工程、采暖工程、燃气工程、强电工程、弱电工程、围墙、大门、土方平衡等附属工程，具体详见初步设计。</w:t>
      </w:r>
    </w:p>
    <w:p w14:paraId="535FBA9F">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eastAsia="宋体" w:cs="Times New Roman"/>
          <w:i w:val="0"/>
          <w:iCs w:val="0"/>
          <w:color w:val="auto"/>
          <w:kern w:val="0"/>
          <w:sz w:val="24"/>
          <w:szCs w:val="24"/>
          <w:highlight w:val="none"/>
          <w:u w:val="single"/>
          <w:lang w:eastAsia="zh-CN"/>
        </w:rPr>
      </w:pPr>
      <w:r>
        <w:rPr>
          <w:rFonts w:hint="eastAsia" w:eastAsia="宋体" w:cs="Times New Roman"/>
          <w:i w:val="0"/>
          <w:iCs w:val="0"/>
          <w:color w:val="auto"/>
          <w:kern w:val="0"/>
          <w:sz w:val="24"/>
          <w:szCs w:val="24"/>
          <w:highlight w:val="none"/>
          <w:u w:val="single"/>
          <w:lang w:eastAsia="zh-CN"/>
        </w:rPr>
        <w:t>本项目采用兼投不兼中的方式选择中标人。投标人可以同时参与多个标段的投标，但在评标阶段，评标委员会将按照各标段最高投标限价由高到低的顺序</w:t>
      </w:r>
      <w:r>
        <w:rPr>
          <w:rFonts w:hint="eastAsia" w:cs="Times New Roman"/>
          <w:i w:val="0"/>
          <w:iCs w:val="0"/>
          <w:color w:val="auto"/>
          <w:kern w:val="0"/>
          <w:sz w:val="24"/>
          <w:szCs w:val="24"/>
          <w:highlight w:val="none"/>
          <w:u w:val="single"/>
          <w:lang w:eastAsia="zh-CN"/>
        </w:rPr>
        <w:t>（</w:t>
      </w:r>
      <w:r>
        <w:rPr>
          <w:rFonts w:hint="eastAsia" w:cs="Times New Roman"/>
          <w:i w:val="0"/>
          <w:iCs w:val="0"/>
          <w:color w:val="auto"/>
          <w:kern w:val="0"/>
          <w:sz w:val="24"/>
          <w:szCs w:val="24"/>
          <w:highlight w:val="none"/>
          <w:u w:val="single"/>
          <w:lang w:val="en-US" w:eastAsia="zh-CN"/>
        </w:rPr>
        <w:t>二标段、三标段、一标段、四标段</w:t>
      </w:r>
      <w:r>
        <w:rPr>
          <w:rFonts w:hint="eastAsia" w:cs="Times New Roman"/>
          <w:i w:val="0"/>
          <w:iCs w:val="0"/>
          <w:color w:val="auto"/>
          <w:kern w:val="0"/>
          <w:sz w:val="24"/>
          <w:szCs w:val="24"/>
          <w:highlight w:val="none"/>
          <w:u w:val="single"/>
          <w:lang w:eastAsia="zh-CN"/>
        </w:rPr>
        <w:t>）</w:t>
      </w:r>
      <w:r>
        <w:rPr>
          <w:rFonts w:hint="eastAsia" w:eastAsia="宋体" w:cs="Times New Roman"/>
          <w:i w:val="0"/>
          <w:iCs w:val="0"/>
          <w:color w:val="auto"/>
          <w:kern w:val="0"/>
          <w:sz w:val="24"/>
          <w:szCs w:val="24"/>
          <w:highlight w:val="none"/>
          <w:u w:val="single"/>
          <w:lang w:eastAsia="zh-CN"/>
        </w:rPr>
        <w:t>逐个进行评审，评标委员会按照得分由高到低的顺序推荐中标候选人，并标明排序；若投标人在前一标段被推荐为第一中标候选人，则在后续标段中仅正常进行商务、技术、报价的得分计算及排名，但不再被推荐为中标候选人，中标候选人按名次顺序递补推荐。如前一标段投标人被推荐为第一中标候选人，则该投标人须承诺同意后续标段评标不再被推荐为中标候选人。各标段被推荐为第一中标候选人的单位，因自身原因导致没有被确定为中标人时，由其自行承担相关后果。</w:t>
      </w:r>
    </w:p>
    <w:p w14:paraId="2D31B648">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default" w:eastAsia="宋体" w:cs="Times New Roman"/>
          <w:i w:val="0"/>
          <w:iCs w:val="0"/>
          <w:color w:val="auto"/>
          <w:kern w:val="0"/>
          <w:sz w:val="24"/>
          <w:szCs w:val="24"/>
          <w:u w:val="none"/>
          <w:lang w:val="en-US" w:eastAsia="zh-CN"/>
        </w:rPr>
      </w:pPr>
      <w:r>
        <w:rPr>
          <w:rFonts w:hint="eastAsia" w:cs="Times New Roman"/>
          <w:i w:val="0"/>
          <w:iCs w:val="0"/>
          <w:color w:val="auto"/>
          <w:kern w:val="0"/>
          <w:sz w:val="24"/>
          <w:szCs w:val="24"/>
          <w:u w:val="none"/>
        </w:rPr>
        <w:t>建设地点：</w:t>
      </w:r>
      <w:r>
        <w:rPr>
          <w:rFonts w:hint="eastAsia" w:cs="Times New Roman"/>
          <w:i w:val="0"/>
          <w:iCs w:val="0"/>
          <w:color w:val="auto"/>
          <w:kern w:val="0"/>
          <w:sz w:val="24"/>
          <w:szCs w:val="24"/>
          <w:u w:val="single"/>
        </w:rPr>
        <w:t>河北省辛集市河北女子职业技术学院辛集校区院内规划位置，富强大街以北，教育路南延段西侧，南环路以南，安新线以东</w:t>
      </w:r>
      <w:r>
        <w:rPr>
          <w:rFonts w:hint="eastAsia" w:cs="Times New Roman"/>
          <w:i w:val="0"/>
          <w:iCs w:val="0"/>
          <w:color w:val="auto"/>
          <w:kern w:val="0"/>
          <w:sz w:val="24"/>
          <w:szCs w:val="24"/>
          <w:u w:val="none"/>
        </w:rPr>
        <w:t>。</w:t>
      </w:r>
    </w:p>
    <w:p w14:paraId="0CF0B6B3">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2.2本次招标范围</w:t>
      </w:r>
      <w:r>
        <w:rPr>
          <w:rFonts w:hint="eastAsia" w:cs="Times New Roman"/>
          <w:i w:val="0"/>
          <w:iCs w:val="0"/>
          <w:color w:val="auto"/>
          <w:kern w:val="0"/>
          <w:sz w:val="24"/>
          <w:szCs w:val="24"/>
          <w:u w:val="none"/>
          <w:lang w:eastAsia="zh-CN"/>
        </w:rPr>
        <w:t>和内容</w:t>
      </w:r>
      <w:r>
        <w:rPr>
          <w:rFonts w:hint="eastAsia" w:cs="Times New Roman"/>
          <w:i w:val="0"/>
          <w:iCs w:val="0"/>
          <w:color w:val="auto"/>
          <w:kern w:val="0"/>
          <w:sz w:val="24"/>
          <w:szCs w:val="24"/>
          <w:u w:val="none"/>
        </w:rPr>
        <w:t>：</w:t>
      </w:r>
      <w:r>
        <w:rPr>
          <w:rFonts w:hint="eastAsia" w:cs="Times New Roman"/>
          <w:i w:val="0"/>
          <w:iCs w:val="0"/>
          <w:color w:val="auto"/>
          <w:kern w:val="0"/>
          <w:sz w:val="24"/>
          <w:szCs w:val="24"/>
          <w:u w:val="single"/>
        </w:rPr>
        <w:t>完成本标段设计阶段工作（包括但不限于项目设计优化、施工图设计、BIM建模等全部设计工作，施工图应满足相关规范要求并完成施工图审查等相关工作）；完成本标段施工阶段工作（包括但不限于初步设计及施工图范围内的全部施工内容，负责建筑材料及设备的采购、安装、调试，办理开工前及施工过程中所有相关建设手续），完成各项专业验收和竣工验收（包括但不限于规划验收、人防验收、消防验收、档案验收、竣工验收等）；验收合格后整体移交；工程保修期内的缺陷修复等各项保修工作。（涵盖初步设计批复的全部内容及实现功能需要的全部设计内容、以及根据招标人的需要在初步设计范围内增加的建设内容）</w:t>
      </w:r>
      <w:r>
        <w:rPr>
          <w:rFonts w:hint="eastAsia" w:cs="Times New Roman"/>
          <w:i w:val="0"/>
          <w:iCs w:val="0"/>
          <w:color w:val="auto"/>
          <w:kern w:val="0"/>
          <w:sz w:val="24"/>
          <w:szCs w:val="24"/>
          <w:u w:val="none"/>
        </w:rPr>
        <w:t>。</w:t>
      </w:r>
    </w:p>
    <w:p w14:paraId="344519FD">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本次招标</w:t>
      </w:r>
      <w:r>
        <w:rPr>
          <w:rFonts w:hint="eastAsia" w:cs="Times New Roman"/>
          <w:i w:val="0"/>
          <w:iCs w:val="0"/>
          <w:color w:val="auto"/>
          <w:kern w:val="0"/>
          <w:sz w:val="24"/>
          <w:szCs w:val="24"/>
          <w:highlight w:val="none"/>
          <w:u w:val="none"/>
          <w:lang w:eastAsia="zh-CN"/>
        </w:rPr>
        <w:t>最高投标限价：</w:t>
      </w:r>
      <w:r>
        <w:rPr>
          <w:rFonts w:hint="eastAsia" w:cs="Times New Roman"/>
          <w:i w:val="0"/>
          <w:iCs w:val="0"/>
          <w:color w:val="auto"/>
          <w:kern w:val="0"/>
          <w:sz w:val="24"/>
          <w:szCs w:val="24"/>
          <w:highlight w:val="none"/>
          <w:u w:val="single"/>
          <w:lang w:val="en-US" w:eastAsia="zh-CN"/>
        </w:rPr>
        <w:t>一标段：28852.17</w:t>
      </w:r>
      <w:r>
        <w:rPr>
          <w:rFonts w:hint="eastAsia" w:cs="Times New Roman"/>
          <w:i w:val="0"/>
          <w:iCs w:val="0"/>
          <w:color w:val="auto"/>
          <w:kern w:val="0"/>
          <w:sz w:val="24"/>
          <w:szCs w:val="24"/>
          <w:highlight w:val="none"/>
          <w:u w:val="single"/>
        </w:rPr>
        <w:t>万元</w:t>
      </w:r>
      <w:r>
        <w:rPr>
          <w:rFonts w:hint="eastAsia" w:cs="Times New Roman"/>
          <w:i w:val="0"/>
          <w:iCs w:val="0"/>
          <w:color w:val="auto"/>
          <w:kern w:val="0"/>
          <w:sz w:val="24"/>
          <w:szCs w:val="24"/>
          <w:highlight w:val="none"/>
          <w:u w:val="single"/>
          <w:lang w:eastAsia="zh-CN"/>
        </w:rPr>
        <w:t>，</w:t>
      </w:r>
      <w:r>
        <w:rPr>
          <w:rFonts w:hint="eastAsia" w:cs="Times New Roman"/>
          <w:i w:val="0"/>
          <w:iCs w:val="0"/>
          <w:color w:val="auto"/>
          <w:kern w:val="0"/>
          <w:sz w:val="24"/>
          <w:szCs w:val="24"/>
          <w:highlight w:val="none"/>
          <w:u w:val="single"/>
          <w:lang w:val="en-US" w:eastAsia="zh-CN"/>
        </w:rPr>
        <w:t>二标段：33155.20</w:t>
      </w:r>
      <w:r>
        <w:rPr>
          <w:rFonts w:hint="eastAsia" w:cs="Times New Roman"/>
          <w:i w:val="0"/>
          <w:iCs w:val="0"/>
          <w:color w:val="auto"/>
          <w:kern w:val="0"/>
          <w:sz w:val="24"/>
          <w:szCs w:val="24"/>
          <w:highlight w:val="none"/>
          <w:u w:val="single"/>
        </w:rPr>
        <w:t>万元</w:t>
      </w:r>
      <w:r>
        <w:rPr>
          <w:rFonts w:hint="eastAsia" w:cs="Times New Roman"/>
          <w:i w:val="0"/>
          <w:iCs w:val="0"/>
          <w:color w:val="auto"/>
          <w:kern w:val="0"/>
          <w:sz w:val="24"/>
          <w:szCs w:val="24"/>
          <w:highlight w:val="none"/>
          <w:u w:val="single"/>
          <w:lang w:eastAsia="zh-CN"/>
        </w:rPr>
        <w:t>，</w:t>
      </w:r>
      <w:r>
        <w:rPr>
          <w:rFonts w:hint="eastAsia" w:cs="Times New Roman"/>
          <w:i w:val="0"/>
          <w:iCs w:val="0"/>
          <w:color w:val="auto"/>
          <w:kern w:val="0"/>
          <w:sz w:val="24"/>
          <w:szCs w:val="24"/>
          <w:highlight w:val="none"/>
          <w:u w:val="single"/>
          <w:lang w:val="en-US" w:eastAsia="zh-CN"/>
        </w:rPr>
        <w:t>三标段：30475.14</w:t>
      </w:r>
      <w:r>
        <w:rPr>
          <w:rFonts w:hint="eastAsia" w:cs="Times New Roman"/>
          <w:i w:val="0"/>
          <w:iCs w:val="0"/>
          <w:color w:val="auto"/>
          <w:kern w:val="0"/>
          <w:sz w:val="24"/>
          <w:szCs w:val="24"/>
          <w:highlight w:val="none"/>
          <w:u w:val="single"/>
        </w:rPr>
        <w:t>万元</w:t>
      </w:r>
      <w:r>
        <w:rPr>
          <w:rFonts w:hint="eastAsia" w:cs="Times New Roman"/>
          <w:i w:val="0"/>
          <w:iCs w:val="0"/>
          <w:color w:val="auto"/>
          <w:kern w:val="0"/>
          <w:sz w:val="24"/>
          <w:szCs w:val="24"/>
          <w:highlight w:val="none"/>
          <w:u w:val="single"/>
          <w:lang w:eastAsia="zh-CN"/>
        </w:rPr>
        <w:t>，</w:t>
      </w:r>
      <w:r>
        <w:rPr>
          <w:rFonts w:hint="eastAsia" w:cs="Times New Roman"/>
          <w:i w:val="0"/>
          <w:iCs w:val="0"/>
          <w:color w:val="auto"/>
          <w:kern w:val="0"/>
          <w:sz w:val="24"/>
          <w:szCs w:val="24"/>
          <w:highlight w:val="none"/>
          <w:u w:val="single"/>
          <w:lang w:val="en-US" w:eastAsia="zh-CN"/>
        </w:rPr>
        <w:t>四标段：18281.60</w:t>
      </w:r>
      <w:r>
        <w:rPr>
          <w:rFonts w:hint="eastAsia" w:cs="Times New Roman"/>
          <w:i w:val="0"/>
          <w:iCs w:val="0"/>
          <w:color w:val="auto"/>
          <w:kern w:val="0"/>
          <w:sz w:val="24"/>
          <w:szCs w:val="24"/>
          <w:highlight w:val="none"/>
          <w:u w:val="single"/>
        </w:rPr>
        <w:t>万元</w:t>
      </w:r>
      <w:r>
        <w:rPr>
          <w:rFonts w:hint="eastAsia" w:cs="Times New Roman"/>
          <w:i w:val="0"/>
          <w:iCs w:val="0"/>
          <w:color w:val="auto"/>
          <w:kern w:val="0"/>
          <w:sz w:val="24"/>
          <w:szCs w:val="24"/>
          <w:highlight w:val="none"/>
          <w:u w:val="none"/>
        </w:rPr>
        <w:t>。</w:t>
      </w:r>
    </w:p>
    <w:p w14:paraId="56014257">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2.3计划工期：</w:t>
      </w:r>
      <w:r>
        <w:rPr>
          <w:rFonts w:hint="eastAsia" w:cs="Times New Roman"/>
          <w:i w:val="0"/>
          <w:iCs w:val="0"/>
          <w:color w:val="auto"/>
          <w:kern w:val="0"/>
          <w:sz w:val="24"/>
          <w:szCs w:val="24"/>
          <w:u w:val="single"/>
          <w:lang w:val="en-US" w:eastAsia="zh-CN"/>
        </w:rPr>
        <w:t>577</w:t>
      </w:r>
      <w:r>
        <w:rPr>
          <w:rFonts w:hint="eastAsia" w:cs="Times New Roman"/>
          <w:i w:val="0"/>
          <w:iCs w:val="0"/>
          <w:color w:val="auto"/>
          <w:kern w:val="0"/>
          <w:sz w:val="24"/>
          <w:szCs w:val="24"/>
          <w:u w:val="none"/>
          <w:lang w:eastAsia="zh-CN"/>
        </w:rPr>
        <w:t>日历天（</w:t>
      </w:r>
      <w:r>
        <w:rPr>
          <w:rFonts w:hint="eastAsia" w:cs="Times New Roman"/>
          <w:i w:val="0"/>
          <w:iCs w:val="0"/>
          <w:color w:val="auto"/>
          <w:kern w:val="0"/>
          <w:sz w:val="24"/>
          <w:szCs w:val="24"/>
          <w:u w:val="none"/>
          <w:lang w:val="en-US" w:eastAsia="zh-CN"/>
        </w:rPr>
        <w:t>一、二、三标段</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single"/>
          <w:lang w:val="en-US" w:eastAsia="zh-CN"/>
        </w:rPr>
        <w:t>943</w:t>
      </w:r>
      <w:r>
        <w:rPr>
          <w:rFonts w:hint="eastAsia" w:cs="Times New Roman"/>
          <w:i w:val="0"/>
          <w:iCs w:val="0"/>
          <w:color w:val="auto"/>
          <w:kern w:val="0"/>
          <w:sz w:val="24"/>
          <w:szCs w:val="24"/>
          <w:u w:val="none"/>
          <w:lang w:eastAsia="zh-CN"/>
        </w:rPr>
        <w:t>日历天（</w:t>
      </w:r>
      <w:r>
        <w:rPr>
          <w:rFonts w:hint="eastAsia" w:cs="Times New Roman"/>
          <w:i w:val="0"/>
          <w:iCs w:val="0"/>
          <w:color w:val="auto"/>
          <w:kern w:val="0"/>
          <w:sz w:val="24"/>
          <w:szCs w:val="24"/>
          <w:u w:val="none"/>
          <w:lang w:val="en-US" w:eastAsia="zh-CN"/>
        </w:rPr>
        <w:t>四标段</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w:t>
      </w:r>
    </w:p>
    <w:p w14:paraId="077D3B3D">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lang w:val="en-US" w:eastAsia="zh-CN"/>
        </w:rPr>
      </w:pPr>
      <w:r>
        <w:rPr>
          <w:rFonts w:hint="eastAsia" w:cs="Times New Roman"/>
          <w:i w:val="0"/>
          <w:iCs w:val="0"/>
          <w:color w:val="auto"/>
          <w:kern w:val="0"/>
          <w:sz w:val="24"/>
          <w:szCs w:val="24"/>
          <w:u w:val="none"/>
          <w:lang w:val="en-US" w:eastAsia="zh-CN"/>
        </w:rPr>
        <w:t>2.4质量标准：</w:t>
      </w:r>
    </w:p>
    <w:p w14:paraId="4088EADA">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single"/>
          <w:lang w:val="en-US" w:eastAsia="zh-CN"/>
        </w:rPr>
      </w:pPr>
      <w:r>
        <w:rPr>
          <w:rFonts w:hint="eastAsia" w:cs="Times New Roman"/>
          <w:i w:val="0"/>
          <w:iCs w:val="0"/>
          <w:color w:val="auto"/>
          <w:kern w:val="0"/>
          <w:sz w:val="24"/>
          <w:szCs w:val="24"/>
          <w:u w:val="single"/>
          <w:lang w:val="en-US" w:eastAsia="zh-CN"/>
        </w:rPr>
        <w:t>①设计质量标准：满足现行设计规范的要求，并通过相关部门的综合审查、验收。</w:t>
      </w:r>
    </w:p>
    <w:p w14:paraId="3EF98A60">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default" w:eastAsia="宋体" w:cs="Times New Roman"/>
          <w:i w:val="0"/>
          <w:iCs w:val="0"/>
          <w:color w:val="auto"/>
          <w:kern w:val="0"/>
          <w:sz w:val="24"/>
          <w:szCs w:val="24"/>
          <w:u w:val="single"/>
          <w:lang w:val="en-US" w:eastAsia="zh-CN"/>
        </w:rPr>
      </w:pPr>
      <w:r>
        <w:rPr>
          <w:rFonts w:hint="eastAsia" w:cs="Times New Roman"/>
          <w:i w:val="0"/>
          <w:iCs w:val="0"/>
          <w:color w:val="auto"/>
          <w:kern w:val="0"/>
          <w:sz w:val="24"/>
          <w:szCs w:val="24"/>
          <w:u w:val="single"/>
          <w:lang w:val="en-US" w:eastAsia="zh-CN"/>
        </w:rPr>
        <w:t>②施工质量标准：合格。</w:t>
      </w:r>
    </w:p>
    <w:p w14:paraId="77ACBC80">
      <w:pPr>
        <w:keepNext w:val="0"/>
        <w:keepLines w:val="0"/>
        <w:pageBreakBefore w:val="0"/>
        <w:widowControl w:val="0"/>
        <w:numPr>
          <w:ilvl w:val="0"/>
          <w:numId w:val="7"/>
        </w:numPr>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rPr>
      </w:pPr>
      <w:bookmarkStart w:id="26" w:name="_Toc812"/>
      <w:r>
        <w:rPr>
          <w:rFonts w:hint="eastAsia" w:ascii="方正黑体_GBK" w:hAnsi="方正黑体_GBK" w:eastAsia="方正黑体_GBK" w:cs="方正黑体_GBK"/>
          <w:color w:val="auto"/>
          <w:kern w:val="0"/>
          <w:sz w:val="24"/>
          <w:szCs w:val="24"/>
        </w:rPr>
        <w:t>投标人资格要求</w:t>
      </w:r>
      <w:bookmarkEnd w:id="26"/>
    </w:p>
    <w:p w14:paraId="68C9DEAB">
      <w:pPr>
        <w:keepNext w:val="0"/>
        <w:keepLines w:val="0"/>
        <w:pageBreakBefore w:val="0"/>
        <w:widowControl w:val="0"/>
        <w:kinsoku/>
        <w:wordWrap w:val="0"/>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i w:val="0"/>
          <w:iCs w:val="0"/>
          <w:color w:val="auto"/>
          <w:kern w:val="0"/>
          <w:sz w:val="24"/>
          <w:szCs w:val="24"/>
          <w:u w:val="none"/>
          <w:lang w:val="en-US" w:eastAsia="zh-CN"/>
        </w:rPr>
      </w:pPr>
      <w:r>
        <w:rPr>
          <w:rFonts w:hint="eastAsia" w:ascii="宋体" w:hAnsi="宋体" w:cs="宋体"/>
          <w:b/>
          <w:bCs/>
          <w:i w:val="0"/>
          <w:iCs w:val="0"/>
          <w:color w:val="auto"/>
          <w:kern w:val="0"/>
          <w:sz w:val="24"/>
          <w:szCs w:val="24"/>
          <w:u w:val="none"/>
          <w:lang w:val="en-US" w:eastAsia="zh-CN"/>
        </w:rPr>
        <w:t>（一）投标人</w:t>
      </w:r>
    </w:p>
    <w:p w14:paraId="4406C6DD">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default" w:ascii="宋体" w:hAnsi="宋体" w:eastAsia="宋体" w:cs="宋体"/>
          <w:i w:val="0"/>
          <w:iCs w:val="0"/>
          <w:color w:val="auto"/>
          <w:kern w:val="0"/>
          <w:sz w:val="24"/>
          <w:szCs w:val="24"/>
          <w:u w:val="none"/>
          <w:lang w:val="en-US" w:eastAsia="zh-CN"/>
        </w:rPr>
      </w:pPr>
      <w:r>
        <w:rPr>
          <w:rFonts w:hint="eastAsia" w:cs="Times New Roman"/>
          <w:i w:val="0"/>
          <w:iCs w:val="0"/>
          <w:color w:val="auto"/>
          <w:kern w:val="0"/>
          <w:sz w:val="24"/>
          <w:szCs w:val="24"/>
          <w:u w:val="none"/>
          <w:lang w:val="en-US" w:eastAsia="zh-CN"/>
        </w:rPr>
        <w:t>3.1</w:t>
      </w:r>
      <w:r>
        <w:rPr>
          <w:rFonts w:hint="eastAsia" w:ascii="宋体" w:hAnsi="宋体" w:eastAsia="宋体" w:cs="宋体"/>
          <w:i w:val="0"/>
          <w:iCs w:val="0"/>
          <w:color w:val="auto"/>
          <w:kern w:val="0"/>
          <w:sz w:val="24"/>
          <w:szCs w:val="24"/>
          <w:u w:val="none"/>
          <w:lang w:val="en-US" w:eastAsia="zh-CN"/>
        </w:rPr>
        <w:t>具有独立企业法人资格</w:t>
      </w:r>
      <w:r>
        <w:rPr>
          <w:rFonts w:hint="eastAsia" w:ascii="宋体" w:hAnsi="宋体" w:cs="宋体"/>
          <w:i w:val="0"/>
          <w:iCs w:val="0"/>
          <w:color w:val="auto"/>
          <w:kern w:val="0"/>
          <w:sz w:val="24"/>
          <w:szCs w:val="24"/>
          <w:u w:val="none"/>
          <w:lang w:val="en-US" w:eastAsia="zh-CN"/>
        </w:rPr>
        <w:t>、有效营业执照。</w:t>
      </w:r>
    </w:p>
    <w:p w14:paraId="57B65129">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single"/>
          <w:lang w:val="en-US" w:eastAsia="zh-CN"/>
        </w:rPr>
      </w:pP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2</w:t>
      </w:r>
      <w:r>
        <w:rPr>
          <w:rFonts w:hint="eastAsia" w:cs="Times New Roman"/>
          <w:i w:val="0"/>
          <w:iCs w:val="0"/>
          <w:color w:val="auto"/>
          <w:kern w:val="0"/>
          <w:sz w:val="24"/>
          <w:szCs w:val="24"/>
          <w:highlight w:val="none"/>
          <w:u w:val="single"/>
          <w:lang w:val="en-US" w:eastAsia="zh-CN"/>
        </w:rPr>
        <w:t>一标段具备：</w:t>
      </w:r>
      <w:r>
        <w:rPr>
          <w:rFonts w:hint="eastAsia" w:cs="Times New Roman"/>
          <w:i w:val="0"/>
          <w:iCs w:val="0"/>
          <w:color w:val="auto"/>
          <w:kern w:val="0"/>
          <w:sz w:val="24"/>
          <w:szCs w:val="24"/>
          <w:highlight w:val="none"/>
          <w:u w:val="single"/>
        </w:rPr>
        <w:t>建设行政主管部门核发的工程设计综合甲级资质或建筑行业（建筑工程）</w:t>
      </w:r>
      <w:r>
        <w:rPr>
          <w:rFonts w:hint="eastAsia" w:cs="Times New Roman"/>
          <w:i w:val="0"/>
          <w:iCs w:val="0"/>
          <w:color w:val="auto"/>
          <w:kern w:val="0"/>
          <w:sz w:val="24"/>
          <w:szCs w:val="24"/>
          <w:highlight w:val="none"/>
          <w:u w:val="single"/>
          <w:lang w:val="en-US" w:eastAsia="zh-CN"/>
        </w:rPr>
        <w:t>乙</w:t>
      </w:r>
      <w:r>
        <w:rPr>
          <w:rFonts w:hint="eastAsia" w:cs="Times New Roman"/>
          <w:i w:val="0"/>
          <w:iCs w:val="0"/>
          <w:color w:val="auto"/>
          <w:kern w:val="0"/>
          <w:sz w:val="24"/>
          <w:szCs w:val="24"/>
          <w:highlight w:val="none"/>
          <w:u w:val="single"/>
        </w:rPr>
        <w:t>级及以上</w:t>
      </w:r>
      <w:r>
        <w:rPr>
          <w:rFonts w:hint="eastAsia" w:cs="Times New Roman"/>
          <w:i w:val="0"/>
          <w:iCs w:val="0"/>
          <w:color w:val="auto"/>
          <w:kern w:val="0"/>
          <w:sz w:val="24"/>
          <w:szCs w:val="24"/>
          <w:highlight w:val="none"/>
          <w:u w:val="single"/>
          <w:lang w:val="en-US" w:eastAsia="zh-CN"/>
        </w:rPr>
        <w:t>设计资质，</w:t>
      </w:r>
      <w:r>
        <w:rPr>
          <w:rFonts w:hint="eastAsia" w:cs="Times New Roman"/>
          <w:i w:val="0"/>
          <w:iCs w:val="0"/>
          <w:color w:val="auto"/>
          <w:kern w:val="0"/>
          <w:sz w:val="24"/>
          <w:szCs w:val="24"/>
          <w:highlight w:val="none"/>
          <w:u w:val="single"/>
        </w:rPr>
        <w:t>建筑工程施工总承包</w:t>
      </w:r>
      <w:r>
        <w:rPr>
          <w:rFonts w:hint="eastAsia" w:cs="Times New Roman"/>
          <w:i w:val="0"/>
          <w:iCs w:val="0"/>
          <w:color w:val="auto"/>
          <w:kern w:val="0"/>
          <w:sz w:val="24"/>
          <w:szCs w:val="24"/>
          <w:highlight w:val="none"/>
          <w:u w:val="single"/>
          <w:lang w:val="en-US" w:eastAsia="zh-CN"/>
        </w:rPr>
        <w:t>二</w:t>
      </w:r>
      <w:r>
        <w:rPr>
          <w:rFonts w:hint="eastAsia" w:cs="Times New Roman"/>
          <w:i w:val="0"/>
          <w:iCs w:val="0"/>
          <w:color w:val="auto"/>
          <w:kern w:val="0"/>
          <w:sz w:val="24"/>
          <w:szCs w:val="24"/>
          <w:highlight w:val="none"/>
          <w:u w:val="single"/>
        </w:rPr>
        <w:t>级及以上</w:t>
      </w:r>
      <w:r>
        <w:rPr>
          <w:rFonts w:hint="eastAsia" w:cs="Times New Roman"/>
          <w:i w:val="0"/>
          <w:iCs w:val="0"/>
          <w:color w:val="auto"/>
          <w:kern w:val="0"/>
          <w:sz w:val="24"/>
          <w:szCs w:val="24"/>
          <w:highlight w:val="none"/>
          <w:u w:val="single"/>
          <w:lang w:val="en-US" w:eastAsia="zh-CN"/>
        </w:rPr>
        <w:t>施工资质。</w:t>
      </w:r>
    </w:p>
    <w:p w14:paraId="3FF7F6FB">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single"/>
          <w:lang w:val="en-US" w:eastAsia="zh-CN"/>
        </w:rPr>
      </w:pPr>
      <w:r>
        <w:rPr>
          <w:rFonts w:hint="eastAsia" w:cs="Times New Roman"/>
          <w:i w:val="0"/>
          <w:iCs w:val="0"/>
          <w:color w:val="auto"/>
          <w:kern w:val="0"/>
          <w:sz w:val="24"/>
          <w:szCs w:val="24"/>
          <w:highlight w:val="none"/>
          <w:u w:val="single"/>
          <w:lang w:val="en-US" w:eastAsia="zh-CN"/>
        </w:rPr>
        <w:t>二标段具备：</w:t>
      </w:r>
      <w:r>
        <w:rPr>
          <w:rFonts w:hint="eastAsia" w:cs="Times New Roman"/>
          <w:i w:val="0"/>
          <w:iCs w:val="0"/>
          <w:color w:val="auto"/>
          <w:kern w:val="0"/>
          <w:sz w:val="24"/>
          <w:szCs w:val="24"/>
          <w:highlight w:val="none"/>
          <w:u w:val="single"/>
        </w:rPr>
        <w:t>建设行政主管部门核发的工程设计综合甲级资质或建筑行业（建筑工程）</w:t>
      </w:r>
      <w:r>
        <w:rPr>
          <w:rFonts w:hint="eastAsia" w:cs="Times New Roman"/>
          <w:i w:val="0"/>
          <w:iCs w:val="0"/>
          <w:color w:val="auto"/>
          <w:kern w:val="0"/>
          <w:sz w:val="24"/>
          <w:szCs w:val="24"/>
          <w:highlight w:val="none"/>
          <w:u w:val="single"/>
          <w:lang w:val="en-US" w:eastAsia="zh-CN"/>
        </w:rPr>
        <w:t>甲</w:t>
      </w:r>
      <w:r>
        <w:rPr>
          <w:rFonts w:hint="eastAsia" w:cs="Times New Roman"/>
          <w:i w:val="0"/>
          <w:iCs w:val="0"/>
          <w:color w:val="auto"/>
          <w:kern w:val="0"/>
          <w:sz w:val="24"/>
          <w:szCs w:val="24"/>
          <w:highlight w:val="none"/>
          <w:u w:val="single"/>
        </w:rPr>
        <w:t>级</w:t>
      </w:r>
      <w:r>
        <w:rPr>
          <w:rFonts w:hint="eastAsia" w:cs="Times New Roman"/>
          <w:i w:val="0"/>
          <w:iCs w:val="0"/>
          <w:color w:val="auto"/>
          <w:kern w:val="0"/>
          <w:sz w:val="24"/>
          <w:szCs w:val="24"/>
          <w:highlight w:val="none"/>
          <w:u w:val="single"/>
          <w:lang w:val="en-US" w:eastAsia="zh-CN"/>
        </w:rPr>
        <w:t>设计资质</w:t>
      </w:r>
      <w:r>
        <w:rPr>
          <w:rFonts w:hint="eastAsia" w:cs="Times New Roman"/>
          <w:i w:val="0"/>
          <w:iCs w:val="0"/>
          <w:color w:val="auto"/>
          <w:kern w:val="0"/>
          <w:sz w:val="24"/>
          <w:szCs w:val="24"/>
          <w:highlight w:val="none"/>
          <w:u w:val="single"/>
          <w:lang w:eastAsia="zh-CN"/>
        </w:rPr>
        <w:t>，</w:t>
      </w:r>
      <w:r>
        <w:rPr>
          <w:rFonts w:hint="eastAsia" w:cs="Times New Roman"/>
          <w:i w:val="0"/>
          <w:iCs w:val="0"/>
          <w:color w:val="auto"/>
          <w:kern w:val="0"/>
          <w:sz w:val="24"/>
          <w:szCs w:val="24"/>
          <w:highlight w:val="none"/>
          <w:u w:val="single"/>
        </w:rPr>
        <w:t>建筑工程施工总承包</w:t>
      </w:r>
      <w:r>
        <w:rPr>
          <w:rFonts w:hint="eastAsia" w:cs="Times New Roman"/>
          <w:i w:val="0"/>
          <w:iCs w:val="0"/>
          <w:color w:val="auto"/>
          <w:kern w:val="0"/>
          <w:sz w:val="24"/>
          <w:szCs w:val="24"/>
          <w:highlight w:val="none"/>
          <w:u w:val="single"/>
          <w:lang w:val="en-US" w:eastAsia="zh-CN"/>
        </w:rPr>
        <w:t>二</w:t>
      </w:r>
      <w:r>
        <w:rPr>
          <w:rFonts w:hint="eastAsia" w:cs="Times New Roman"/>
          <w:i w:val="0"/>
          <w:iCs w:val="0"/>
          <w:color w:val="auto"/>
          <w:kern w:val="0"/>
          <w:sz w:val="24"/>
          <w:szCs w:val="24"/>
          <w:highlight w:val="none"/>
          <w:u w:val="single"/>
        </w:rPr>
        <w:t>级及以上</w:t>
      </w:r>
      <w:r>
        <w:rPr>
          <w:rFonts w:hint="eastAsia" w:cs="Times New Roman"/>
          <w:i w:val="0"/>
          <w:iCs w:val="0"/>
          <w:color w:val="auto"/>
          <w:kern w:val="0"/>
          <w:sz w:val="24"/>
          <w:szCs w:val="24"/>
          <w:highlight w:val="none"/>
          <w:u w:val="single"/>
          <w:lang w:val="en-US" w:eastAsia="zh-CN"/>
        </w:rPr>
        <w:t>施工资质。</w:t>
      </w:r>
    </w:p>
    <w:p w14:paraId="793EE6B8">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single"/>
          <w:lang w:val="en-US" w:eastAsia="zh-CN"/>
        </w:rPr>
      </w:pPr>
      <w:r>
        <w:rPr>
          <w:rFonts w:hint="eastAsia" w:cs="Times New Roman"/>
          <w:i w:val="0"/>
          <w:iCs w:val="0"/>
          <w:color w:val="auto"/>
          <w:kern w:val="0"/>
          <w:sz w:val="24"/>
          <w:szCs w:val="24"/>
          <w:highlight w:val="none"/>
          <w:u w:val="single"/>
          <w:lang w:val="en-US" w:eastAsia="zh-CN"/>
        </w:rPr>
        <w:t>三标段具备：</w:t>
      </w:r>
      <w:r>
        <w:rPr>
          <w:rFonts w:hint="eastAsia" w:cs="Times New Roman"/>
          <w:i w:val="0"/>
          <w:iCs w:val="0"/>
          <w:color w:val="auto"/>
          <w:kern w:val="0"/>
          <w:sz w:val="24"/>
          <w:szCs w:val="24"/>
          <w:highlight w:val="none"/>
          <w:u w:val="single"/>
        </w:rPr>
        <w:t>建设行政主管部门核发的工程设计综合甲级资质或建筑行业（建筑工程）</w:t>
      </w:r>
      <w:r>
        <w:rPr>
          <w:rFonts w:hint="eastAsia" w:cs="Times New Roman"/>
          <w:i w:val="0"/>
          <w:iCs w:val="0"/>
          <w:color w:val="auto"/>
          <w:kern w:val="0"/>
          <w:sz w:val="24"/>
          <w:szCs w:val="24"/>
          <w:highlight w:val="none"/>
          <w:u w:val="single"/>
          <w:lang w:val="en-US" w:eastAsia="zh-CN"/>
        </w:rPr>
        <w:t>乙</w:t>
      </w:r>
      <w:r>
        <w:rPr>
          <w:rFonts w:hint="eastAsia" w:cs="Times New Roman"/>
          <w:i w:val="0"/>
          <w:iCs w:val="0"/>
          <w:color w:val="auto"/>
          <w:kern w:val="0"/>
          <w:sz w:val="24"/>
          <w:szCs w:val="24"/>
          <w:highlight w:val="none"/>
          <w:u w:val="single"/>
        </w:rPr>
        <w:t>级及以上</w:t>
      </w:r>
      <w:r>
        <w:rPr>
          <w:rFonts w:hint="eastAsia" w:cs="Times New Roman"/>
          <w:i w:val="0"/>
          <w:iCs w:val="0"/>
          <w:color w:val="auto"/>
          <w:kern w:val="0"/>
          <w:sz w:val="24"/>
          <w:szCs w:val="24"/>
          <w:highlight w:val="none"/>
          <w:u w:val="single"/>
          <w:lang w:val="en-US" w:eastAsia="zh-CN"/>
        </w:rPr>
        <w:t>设计资质，</w:t>
      </w:r>
      <w:r>
        <w:rPr>
          <w:rFonts w:hint="eastAsia" w:cs="Times New Roman"/>
          <w:i w:val="0"/>
          <w:iCs w:val="0"/>
          <w:color w:val="auto"/>
          <w:kern w:val="0"/>
          <w:sz w:val="24"/>
          <w:szCs w:val="24"/>
          <w:highlight w:val="none"/>
          <w:u w:val="single"/>
        </w:rPr>
        <w:t>建筑工程施工总承包</w:t>
      </w:r>
      <w:r>
        <w:rPr>
          <w:rFonts w:hint="eastAsia" w:cs="Times New Roman"/>
          <w:i w:val="0"/>
          <w:iCs w:val="0"/>
          <w:color w:val="auto"/>
          <w:kern w:val="0"/>
          <w:sz w:val="24"/>
          <w:szCs w:val="24"/>
          <w:highlight w:val="none"/>
          <w:u w:val="single"/>
          <w:lang w:val="en-US" w:eastAsia="zh-CN"/>
        </w:rPr>
        <w:t>二</w:t>
      </w:r>
      <w:r>
        <w:rPr>
          <w:rFonts w:hint="eastAsia" w:cs="Times New Roman"/>
          <w:i w:val="0"/>
          <w:iCs w:val="0"/>
          <w:color w:val="auto"/>
          <w:kern w:val="0"/>
          <w:sz w:val="24"/>
          <w:szCs w:val="24"/>
          <w:highlight w:val="none"/>
          <w:u w:val="single"/>
        </w:rPr>
        <w:t>级及以上</w:t>
      </w:r>
      <w:r>
        <w:rPr>
          <w:rFonts w:hint="eastAsia" w:cs="Times New Roman"/>
          <w:i w:val="0"/>
          <w:iCs w:val="0"/>
          <w:color w:val="auto"/>
          <w:kern w:val="0"/>
          <w:sz w:val="24"/>
          <w:szCs w:val="24"/>
          <w:highlight w:val="none"/>
          <w:u w:val="single"/>
          <w:lang w:val="en-US" w:eastAsia="zh-CN"/>
        </w:rPr>
        <w:t>施工资质。</w:t>
      </w:r>
    </w:p>
    <w:p w14:paraId="1BB35A98">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none"/>
          <w:lang w:eastAsia="zh-CN"/>
        </w:rPr>
      </w:pPr>
      <w:r>
        <w:rPr>
          <w:rFonts w:hint="eastAsia" w:cs="Times New Roman"/>
          <w:i w:val="0"/>
          <w:iCs w:val="0"/>
          <w:color w:val="auto"/>
          <w:kern w:val="0"/>
          <w:sz w:val="24"/>
          <w:szCs w:val="24"/>
          <w:highlight w:val="none"/>
          <w:u w:val="single"/>
          <w:lang w:val="en-US" w:eastAsia="zh-CN"/>
        </w:rPr>
        <w:t>四标段具备：</w:t>
      </w:r>
      <w:r>
        <w:rPr>
          <w:rFonts w:hint="eastAsia" w:cs="Times New Roman"/>
          <w:i w:val="0"/>
          <w:iCs w:val="0"/>
          <w:color w:val="auto"/>
          <w:kern w:val="0"/>
          <w:sz w:val="24"/>
          <w:szCs w:val="24"/>
          <w:highlight w:val="none"/>
          <w:u w:val="single"/>
        </w:rPr>
        <w:t>建设行政主管部门核发的工程设计综合甲级资质或建筑行业（建筑工程）</w:t>
      </w:r>
      <w:r>
        <w:rPr>
          <w:rFonts w:hint="eastAsia" w:cs="Times New Roman"/>
          <w:i w:val="0"/>
          <w:iCs w:val="0"/>
          <w:color w:val="auto"/>
          <w:kern w:val="0"/>
          <w:sz w:val="24"/>
          <w:szCs w:val="24"/>
          <w:highlight w:val="none"/>
          <w:u w:val="single"/>
          <w:lang w:val="en-US" w:eastAsia="zh-CN"/>
        </w:rPr>
        <w:t>甲</w:t>
      </w:r>
      <w:r>
        <w:rPr>
          <w:rFonts w:hint="eastAsia" w:cs="Times New Roman"/>
          <w:i w:val="0"/>
          <w:iCs w:val="0"/>
          <w:color w:val="auto"/>
          <w:kern w:val="0"/>
          <w:sz w:val="24"/>
          <w:szCs w:val="24"/>
          <w:highlight w:val="none"/>
          <w:u w:val="single"/>
        </w:rPr>
        <w:t>级</w:t>
      </w:r>
      <w:r>
        <w:rPr>
          <w:rFonts w:hint="eastAsia" w:cs="Times New Roman"/>
          <w:i w:val="0"/>
          <w:iCs w:val="0"/>
          <w:color w:val="auto"/>
          <w:kern w:val="0"/>
          <w:sz w:val="24"/>
          <w:szCs w:val="24"/>
          <w:highlight w:val="none"/>
          <w:u w:val="single"/>
          <w:lang w:val="en-US" w:eastAsia="zh-CN"/>
        </w:rPr>
        <w:t>设计资质，</w:t>
      </w:r>
      <w:r>
        <w:rPr>
          <w:rFonts w:hint="eastAsia" w:cs="Times New Roman"/>
          <w:i w:val="0"/>
          <w:iCs w:val="0"/>
          <w:color w:val="auto"/>
          <w:kern w:val="0"/>
          <w:sz w:val="24"/>
          <w:szCs w:val="24"/>
          <w:highlight w:val="none"/>
          <w:u w:val="single"/>
        </w:rPr>
        <w:t>建筑工程施工总承包</w:t>
      </w:r>
      <w:r>
        <w:rPr>
          <w:rFonts w:hint="eastAsia" w:cs="Times New Roman"/>
          <w:i w:val="0"/>
          <w:iCs w:val="0"/>
          <w:color w:val="auto"/>
          <w:kern w:val="0"/>
          <w:sz w:val="24"/>
          <w:szCs w:val="24"/>
          <w:highlight w:val="none"/>
          <w:u w:val="single"/>
          <w:lang w:val="en-US" w:eastAsia="zh-CN"/>
        </w:rPr>
        <w:t>一</w:t>
      </w:r>
      <w:r>
        <w:rPr>
          <w:rFonts w:hint="eastAsia" w:cs="Times New Roman"/>
          <w:i w:val="0"/>
          <w:iCs w:val="0"/>
          <w:color w:val="auto"/>
          <w:kern w:val="0"/>
          <w:sz w:val="24"/>
          <w:szCs w:val="24"/>
          <w:highlight w:val="none"/>
          <w:u w:val="single"/>
        </w:rPr>
        <w:t>级及以上</w:t>
      </w:r>
      <w:r>
        <w:rPr>
          <w:rFonts w:hint="eastAsia" w:cs="Times New Roman"/>
          <w:i w:val="0"/>
          <w:iCs w:val="0"/>
          <w:color w:val="auto"/>
          <w:kern w:val="0"/>
          <w:sz w:val="24"/>
          <w:szCs w:val="24"/>
          <w:highlight w:val="none"/>
          <w:u w:val="single"/>
          <w:lang w:eastAsia="zh-CN"/>
        </w:rPr>
        <w:t>施工资质。</w:t>
      </w:r>
    </w:p>
    <w:p w14:paraId="48C5FA4D">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eastAsia="宋体" w:cs="Times New Roman"/>
          <w:i/>
          <w:iCs/>
          <w:color w:val="auto"/>
          <w:kern w:val="0"/>
          <w:sz w:val="24"/>
          <w:szCs w:val="24"/>
          <w:u w:val="none"/>
          <w:bdr w:val="single" w:color="000000" w:sz="4" w:space="0"/>
          <w:lang w:eastAsia="zh-CN"/>
        </w:rPr>
      </w:pPr>
      <w:r>
        <w:rPr>
          <w:rFonts w:hint="eastAsia" w:cs="Times New Roman"/>
          <w:i w:val="0"/>
          <w:iCs w:val="0"/>
          <w:color w:val="auto"/>
          <w:kern w:val="0"/>
          <w:sz w:val="24"/>
          <w:szCs w:val="24"/>
          <w:u w:val="none"/>
        </w:rPr>
        <w:t>（</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不接受“资质预警”或“资质异常”企业投标）</w:t>
      </w:r>
    </w:p>
    <w:p w14:paraId="59CA4F83">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3</w:t>
      </w:r>
      <w:r>
        <w:rPr>
          <w:rFonts w:hint="eastAsia" w:cs="Times New Roman"/>
          <w:i w:val="0"/>
          <w:iCs w:val="0"/>
          <w:color w:val="auto"/>
          <w:kern w:val="0"/>
          <w:sz w:val="24"/>
          <w:szCs w:val="24"/>
          <w:u w:val="none"/>
        </w:rPr>
        <w:t>本次招标</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接受/□不接受）联合体投标。</w:t>
      </w:r>
    </w:p>
    <w:p w14:paraId="6A447ECB">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lang w:val="en-US" w:eastAsia="zh-CN"/>
        </w:rPr>
      </w:pP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联合体投标的，应满足下列要求：</w:t>
      </w:r>
    </w:p>
    <w:p w14:paraId="35D5B67E">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lang w:val="en-US" w:eastAsia="zh-CN"/>
        </w:rPr>
      </w:pP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3</w:t>
      </w:r>
      <w:r>
        <w:rPr>
          <w:rFonts w:hint="eastAsia" w:cs="Times New Roman"/>
          <w:i w:val="0"/>
          <w:iCs w:val="0"/>
          <w:color w:val="auto"/>
          <w:kern w:val="0"/>
          <w:sz w:val="24"/>
          <w:szCs w:val="24"/>
          <w:u w:val="none"/>
        </w:rPr>
        <w:t>.1</w:t>
      </w:r>
      <w:r>
        <w:rPr>
          <w:rFonts w:hint="eastAsia" w:cs="Times New Roman"/>
          <w:i w:val="0"/>
          <w:iCs w:val="0"/>
          <w:color w:val="auto"/>
          <w:kern w:val="0"/>
          <w:sz w:val="24"/>
          <w:szCs w:val="24"/>
          <w:u w:val="none"/>
          <w:lang w:val="en-US" w:eastAsia="zh-CN"/>
        </w:rPr>
        <w:t>联合体各方应签订联合体协议，明确联合体各方承担的工作和责任。本次招标应确定承担</w:t>
      </w:r>
      <w:r>
        <w:rPr>
          <w:rFonts w:hint="eastAsia" w:cs="Times New Roman"/>
          <w:i w:val="0"/>
          <w:iCs w:val="0"/>
          <w:color w:val="auto"/>
          <w:kern w:val="0"/>
          <w:sz w:val="24"/>
          <w:szCs w:val="24"/>
          <w:u w:val="single"/>
          <w:lang w:val="en-US" w:eastAsia="zh-CN"/>
        </w:rPr>
        <w:t>施工</w:t>
      </w:r>
      <w:r>
        <w:rPr>
          <w:rFonts w:hint="eastAsia" w:cs="Times New Roman"/>
          <w:i w:val="0"/>
          <w:iCs w:val="0"/>
          <w:color w:val="auto"/>
          <w:kern w:val="0"/>
          <w:sz w:val="24"/>
          <w:szCs w:val="24"/>
          <w:u w:val="none"/>
          <w:lang w:val="en-US" w:eastAsia="zh-CN"/>
        </w:rPr>
        <w:t>工作的单位为联合体牵头单位参加投标，</w:t>
      </w:r>
      <w:r>
        <w:rPr>
          <w:rFonts w:hint="eastAsia" w:cs="Times New Roman"/>
          <w:i w:val="0"/>
          <w:iCs w:val="0"/>
          <w:color w:val="auto"/>
          <w:kern w:val="0"/>
          <w:sz w:val="24"/>
          <w:szCs w:val="24"/>
          <w:u w:val="none"/>
        </w:rPr>
        <w:t>项目</w:t>
      </w:r>
      <w:r>
        <w:rPr>
          <w:rFonts w:hint="eastAsia" w:cs="Times New Roman"/>
          <w:i w:val="0"/>
          <w:iCs w:val="0"/>
          <w:color w:val="auto"/>
          <w:kern w:val="0"/>
          <w:sz w:val="24"/>
          <w:szCs w:val="24"/>
          <w:u w:val="none"/>
          <w:lang w:eastAsia="zh-CN"/>
        </w:rPr>
        <w:t>经理</w:t>
      </w:r>
      <w:r>
        <w:rPr>
          <w:rFonts w:hint="eastAsia" w:cs="Times New Roman"/>
          <w:i w:val="0"/>
          <w:iCs w:val="0"/>
          <w:color w:val="auto"/>
          <w:kern w:val="0"/>
          <w:sz w:val="24"/>
          <w:szCs w:val="24"/>
          <w:u w:val="none"/>
        </w:rPr>
        <w:t>由牵头单位委派；</w:t>
      </w:r>
    </w:p>
    <w:p w14:paraId="77E6FA16">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lang w:val="en-US" w:eastAsia="zh-CN"/>
        </w:rPr>
      </w:pPr>
      <w:r>
        <w:rPr>
          <w:rFonts w:hint="eastAsia" w:cs="Times New Roman"/>
          <w:i w:val="0"/>
          <w:iCs w:val="0"/>
          <w:color w:val="auto"/>
          <w:kern w:val="0"/>
          <w:sz w:val="24"/>
          <w:szCs w:val="24"/>
          <w:u w:val="none"/>
          <w:lang w:val="en-US" w:eastAsia="zh-CN"/>
        </w:rPr>
        <w:t>联合体各方不得再以自己的名义单独投标，也不得同时参加两个或两个以上的联合体投标，出现上述情况者，其投标和与其相关联合体的投标都将被拒绝；</w:t>
      </w:r>
    </w:p>
    <w:p w14:paraId="57C584D9">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none"/>
        </w:rPr>
      </w:pPr>
      <w:r>
        <w:rPr>
          <w:rFonts w:hint="eastAsia" w:cs="Times New Roman"/>
          <w:i w:val="0"/>
          <w:iCs w:val="0"/>
          <w:color w:val="auto"/>
          <w:kern w:val="0"/>
          <w:sz w:val="24"/>
          <w:szCs w:val="24"/>
          <w:highlight w:val="none"/>
          <w:u w:val="none"/>
        </w:rPr>
        <w:sym w:font="Wingdings 2" w:char="0052"/>
      </w:r>
      <w:r>
        <w:rPr>
          <w:rFonts w:hint="eastAsia" w:cs="Times New Roman"/>
          <w:i w:val="0"/>
          <w:iCs w:val="0"/>
          <w:color w:val="auto"/>
          <w:kern w:val="0"/>
          <w:sz w:val="24"/>
          <w:szCs w:val="24"/>
          <w:highlight w:val="none"/>
          <w:u w:val="none"/>
        </w:rPr>
        <w:t>3.</w:t>
      </w:r>
      <w:r>
        <w:rPr>
          <w:rFonts w:hint="eastAsia" w:cs="Times New Roman"/>
          <w:i w:val="0"/>
          <w:iCs w:val="0"/>
          <w:color w:val="auto"/>
          <w:kern w:val="0"/>
          <w:sz w:val="24"/>
          <w:szCs w:val="24"/>
          <w:highlight w:val="none"/>
          <w:u w:val="none"/>
          <w:lang w:val="en-US" w:eastAsia="zh-CN"/>
        </w:rPr>
        <w:t>3</w:t>
      </w:r>
      <w:r>
        <w:rPr>
          <w:rFonts w:hint="eastAsia" w:cs="Times New Roman"/>
          <w:i w:val="0"/>
          <w:iCs w:val="0"/>
          <w:color w:val="auto"/>
          <w:kern w:val="0"/>
          <w:sz w:val="24"/>
          <w:szCs w:val="24"/>
          <w:highlight w:val="none"/>
          <w:u w:val="none"/>
        </w:rPr>
        <w:t>.2联合体数量不超过</w:t>
      </w:r>
      <w:r>
        <w:rPr>
          <w:rFonts w:hint="eastAsia" w:cs="Times New Roman"/>
          <w:i w:val="0"/>
          <w:iCs w:val="0"/>
          <w:color w:val="auto"/>
          <w:kern w:val="0"/>
          <w:sz w:val="24"/>
          <w:szCs w:val="24"/>
          <w:highlight w:val="none"/>
          <w:u w:val="single"/>
          <w:lang w:val="en-US" w:eastAsia="zh-CN"/>
        </w:rPr>
        <w:t>2</w:t>
      </w:r>
      <w:r>
        <w:rPr>
          <w:rFonts w:hint="eastAsia" w:cs="Times New Roman"/>
          <w:i w:val="0"/>
          <w:iCs w:val="0"/>
          <w:color w:val="auto"/>
          <w:kern w:val="0"/>
          <w:sz w:val="24"/>
          <w:szCs w:val="24"/>
          <w:highlight w:val="none"/>
          <w:u w:val="none"/>
        </w:rPr>
        <w:t>个；</w:t>
      </w:r>
    </w:p>
    <w:p w14:paraId="6EA7135C">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3</w:t>
      </w:r>
      <w:r>
        <w:rPr>
          <w:rFonts w:hint="eastAsia" w:cs="Times New Roman"/>
          <w:i w:val="0"/>
          <w:iCs w:val="0"/>
          <w:color w:val="auto"/>
          <w:kern w:val="0"/>
          <w:sz w:val="24"/>
          <w:szCs w:val="24"/>
          <w:u w:val="none"/>
        </w:rPr>
        <w:t>.3联合体的各专业资质等级，根据联合体协议书约定的专业分工认定，相同专业单位组成的联合体，按照承担相应专业工作的资质等级较低的单位确定；不同专业单位组成的联合体，按照联合体协议分工所承担的专业工作对应各自的专业资质认定；</w:t>
      </w:r>
    </w:p>
    <w:p w14:paraId="5E696CB8">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3</w:t>
      </w:r>
      <w:r>
        <w:rPr>
          <w:rFonts w:hint="eastAsia" w:cs="Times New Roman"/>
          <w:i w:val="0"/>
          <w:iCs w:val="0"/>
          <w:color w:val="auto"/>
          <w:kern w:val="0"/>
          <w:sz w:val="24"/>
          <w:szCs w:val="24"/>
          <w:u w:val="none"/>
        </w:rPr>
        <w:t>.4其他：</w:t>
      </w:r>
      <w:r>
        <w:rPr>
          <w:rFonts w:hint="eastAsia" w:cs="Times New Roman"/>
          <w:i w:val="0"/>
          <w:iCs w:val="0"/>
          <w:color w:val="auto"/>
          <w:kern w:val="0"/>
          <w:sz w:val="24"/>
          <w:szCs w:val="24"/>
          <w:u w:val="single"/>
          <w:lang w:val="en-US" w:eastAsia="zh-CN"/>
        </w:rPr>
        <w:t xml:space="preserve"> </w:t>
      </w:r>
      <w:r>
        <w:rPr>
          <w:rFonts w:hint="eastAsia" w:cs="Times New Roman"/>
          <w:i/>
          <w:iCs/>
          <w:color w:val="auto"/>
          <w:kern w:val="0"/>
          <w:sz w:val="24"/>
          <w:szCs w:val="24"/>
          <w:u w:val="single"/>
          <w:lang w:val="en-US" w:eastAsia="zh-CN"/>
        </w:rPr>
        <w:t xml:space="preserve">/ </w:t>
      </w:r>
      <w:r>
        <w:rPr>
          <w:rFonts w:hint="eastAsia" w:cs="Times New Roman"/>
          <w:i w:val="0"/>
          <w:iCs w:val="0"/>
          <w:color w:val="auto"/>
          <w:kern w:val="0"/>
          <w:sz w:val="24"/>
          <w:szCs w:val="24"/>
          <w:u w:val="none"/>
        </w:rPr>
        <w:t>。</w:t>
      </w:r>
    </w:p>
    <w:p w14:paraId="7DE5F60A">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4</w:t>
      </w:r>
      <w:r>
        <w:rPr>
          <w:rFonts w:hint="eastAsia" w:cs="Times New Roman"/>
          <w:i w:val="0"/>
          <w:iCs w:val="0"/>
          <w:color w:val="auto"/>
          <w:kern w:val="0"/>
          <w:sz w:val="24"/>
          <w:szCs w:val="24"/>
          <w:u w:val="none"/>
        </w:rPr>
        <w:t>具备有效的企业安全生产许可证（联合体投标的，承担施工工作的联合体成员均应提供）；</w:t>
      </w:r>
    </w:p>
    <w:p w14:paraId="0122171A">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single"/>
          <w:lang w:val="en-US" w:eastAsia="zh-CN"/>
        </w:rPr>
      </w:pP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5</w:t>
      </w:r>
      <w:r>
        <w:rPr>
          <w:rFonts w:hint="eastAsia" w:cs="Times New Roman"/>
          <w:i w:val="0"/>
          <w:iCs w:val="0"/>
          <w:color w:val="auto"/>
          <w:kern w:val="0"/>
          <w:sz w:val="24"/>
          <w:szCs w:val="24"/>
          <w:highlight w:val="none"/>
          <w:u w:val="none"/>
          <w:lang w:val="en-US" w:eastAsia="zh-CN"/>
        </w:rPr>
        <w:t>一、二、三标段业绩要求：</w:t>
      </w:r>
      <w:r>
        <w:rPr>
          <w:rFonts w:hint="eastAsia" w:cs="Times New Roman"/>
          <w:i w:val="0"/>
          <w:iCs w:val="0"/>
          <w:color w:val="auto"/>
          <w:kern w:val="0"/>
          <w:sz w:val="24"/>
          <w:szCs w:val="24"/>
          <w:highlight w:val="none"/>
          <w:u w:val="single"/>
        </w:rPr>
        <w:t>自</w:t>
      </w:r>
      <w:r>
        <w:rPr>
          <w:rFonts w:hint="eastAsia" w:cs="Times New Roman"/>
          <w:i w:val="0"/>
          <w:iCs w:val="0"/>
          <w:color w:val="auto"/>
          <w:kern w:val="0"/>
          <w:sz w:val="24"/>
          <w:szCs w:val="24"/>
          <w:highlight w:val="none"/>
          <w:u w:val="single"/>
          <w:lang w:val="en-US" w:eastAsia="zh-CN"/>
        </w:rPr>
        <w:t>2022</w:t>
      </w:r>
      <w:r>
        <w:rPr>
          <w:rFonts w:hint="eastAsia" w:cs="Times New Roman"/>
          <w:i w:val="0"/>
          <w:iCs w:val="0"/>
          <w:color w:val="auto"/>
          <w:kern w:val="0"/>
          <w:sz w:val="24"/>
          <w:szCs w:val="24"/>
          <w:highlight w:val="none"/>
          <w:u w:val="single"/>
        </w:rPr>
        <w:t>年</w:t>
      </w:r>
      <w:r>
        <w:rPr>
          <w:rFonts w:hint="eastAsia" w:cs="Times New Roman"/>
          <w:i w:val="0"/>
          <w:iCs w:val="0"/>
          <w:color w:val="auto"/>
          <w:kern w:val="0"/>
          <w:sz w:val="24"/>
          <w:szCs w:val="24"/>
          <w:highlight w:val="none"/>
          <w:u w:val="single"/>
          <w:lang w:val="en-US" w:eastAsia="zh-CN"/>
        </w:rPr>
        <w:t>11</w:t>
      </w:r>
      <w:r>
        <w:rPr>
          <w:rFonts w:hint="eastAsia" w:cs="Times New Roman"/>
          <w:i w:val="0"/>
          <w:iCs w:val="0"/>
          <w:color w:val="auto"/>
          <w:kern w:val="0"/>
          <w:sz w:val="24"/>
          <w:szCs w:val="24"/>
          <w:highlight w:val="none"/>
          <w:u w:val="single"/>
        </w:rPr>
        <w:t>月</w:t>
      </w:r>
      <w:r>
        <w:rPr>
          <w:rFonts w:hint="eastAsia" w:cs="Times New Roman"/>
          <w:i w:val="0"/>
          <w:iCs w:val="0"/>
          <w:color w:val="auto"/>
          <w:kern w:val="0"/>
          <w:sz w:val="24"/>
          <w:szCs w:val="24"/>
          <w:highlight w:val="none"/>
          <w:u w:val="single"/>
          <w:lang w:val="en-US" w:eastAsia="zh-CN"/>
        </w:rPr>
        <w:t>1</w:t>
      </w:r>
      <w:r>
        <w:rPr>
          <w:rFonts w:hint="eastAsia" w:cs="Times New Roman"/>
          <w:i w:val="0"/>
          <w:iCs w:val="0"/>
          <w:color w:val="auto"/>
          <w:kern w:val="0"/>
          <w:sz w:val="24"/>
          <w:szCs w:val="24"/>
          <w:highlight w:val="none"/>
          <w:u w:val="single"/>
        </w:rPr>
        <w:t>日以来完成过</w:t>
      </w:r>
      <w:r>
        <w:rPr>
          <w:rFonts w:hint="eastAsia" w:cs="Times New Roman"/>
          <w:i w:val="0"/>
          <w:iCs w:val="0"/>
          <w:color w:val="auto"/>
          <w:kern w:val="0"/>
          <w:sz w:val="24"/>
          <w:szCs w:val="24"/>
          <w:highlight w:val="none"/>
          <w:u w:val="single"/>
          <w:lang w:eastAsia="zh-CN"/>
        </w:rPr>
        <w:t>（以竣工验收证明或完工证明中的竣工时间为准）</w:t>
      </w:r>
      <w:r>
        <w:rPr>
          <w:rFonts w:hint="eastAsia" w:cs="Times New Roman"/>
          <w:i w:val="0"/>
          <w:iCs w:val="0"/>
          <w:color w:val="auto"/>
          <w:kern w:val="0"/>
          <w:sz w:val="24"/>
          <w:szCs w:val="24"/>
          <w:highlight w:val="none"/>
          <w:u w:val="single"/>
          <w:lang w:val="en-US" w:eastAsia="zh-CN"/>
        </w:rPr>
        <w:t>单项合同总</w:t>
      </w:r>
      <w:r>
        <w:rPr>
          <w:rFonts w:hint="eastAsia" w:cs="Times New Roman"/>
          <w:i w:val="0"/>
          <w:iCs w:val="0"/>
          <w:color w:val="auto"/>
          <w:kern w:val="0"/>
          <w:sz w:val="24"/>
          <w:szCs w:val="24"/>
          <w:highlight w:val="none"/>
          <w:u w:val="single"/>
          <w:lang w:eastAsia="zh-CN"/>
        </w:rPr>
        <w:t>建筑面积</w:t>
      </w:r>
      <w:r>
        <w:rPr>
          <w:rFonts w:hint="eastAsia" w:cs="Times New Roman"/>
          <w:i w:val="0"/>
          <w:iCs w:val="0"/>
          <w:color w:val="auto"/>
          <w:kern w:val="0"/>
          <w:sz w:val="24"/>
          <w:szCs w:val="24"/>
          <w:highlight w:val="none"/>
          <w:u w:val="single"/>
          <w:lang w:val="en-US" w:eastAsia="zh-CN"/>
        </w:rPr>
        <w:t>80000</w:t>
      </w:r>
      <w:r>
        <w:rPr>
          <w:rFonts w:hint="eastAsia" w:cs="Times New Roman"/>
          <w:i w:val="0"/>
          <w:iCs w:val="0"/>
          <w:color w:val="auto"/>
          <w:kern w:val="0"/>
          <w:sz w:val="24"/>
          <w:szCs w:val="24"/>
          <w:highlight w:val="none"/>
          <w:u w:val="single"/>
          <w:lang w:eastAsia="zh-CN"/>
        </w:rPr>
        <w:t>平方米</w:t>
      </w:r>
      <w:r>
        <w:rPr>
          <w:rFonts w:hint="eastAsia" w:cs="Times New Roman"/>
          <w:i w:val="0"/>
          <w:iCs w:val="0"/>
          <w:color w:val="auto"/>
          <w:kern w:val="0"/>
          <w:sz w:val="24"/>
          <w:szCs w:val="24"/>
          <w:highlight w:val="none"/>
          <w:u w:val="single"/>
          <w:lang w:val="en-US" w:eastAsia="zh-CN"/>
        </w:rPr>
        <w:t>及以上或单项合同金额25000万元及以上公共建筑工程总承包业绩，或者是联合体各方的工程总承包施工业绩+工程总承包设计业绩；</w:t>
      </w:r>
    </w:p>
    <w:p w14:paraId="2E6FDD60">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default" w:eastAsia="宋体" w:cs="Times New Roman"/>
          <w:i w:val="0"/>
          <w:iCs w:val="0"/>
          <w:color w:val="auto"/>
          <w:kern w:val="0"/>
          <w:sz w:val="24"/>
          <w:szCs w:val="24"/>
          <w:highlight w:val="none"/>
          <w:u w:val="single"/>
          <w:lang w:val="en-US" w:eastAsia="zh-CN"/>
        </w:rPr>
      </w:pPr>
      <w:r>
        <w:rPr>
          <w:rFonts w:hint="eastAsia" w:cs="Times New Roman"/>
          <w:i w:val="0"/>
          <w:iCs w:val="0"/>
          <w:color w:val="auto"/>
          <w:kern w:val="0"/>
          <w:sz w:val="24"/>
          <w:szCs w:val="24"/>
          <w:highlight w:val="none"/>
          <w:u w:val="none"/>
          <w:lang w:val="en-US" w:eastAsia="zh-CN"/>
        </w:rPr>
        <w:t>四标段业绩要求：</w:t>
      </w:r>
      <w:r>
        <w:rPr>
          <w:rFonts w:hint="eastAsia" w:cs="Times New Roman"/>
          <w:i w:val="0"/>
          <w:iCs w:val="0"/>
          <w:color w:val="auto"/>
          <w:kern w:val="0"/>
          <w:sz w:val="24"/>
          <w:szCs w:val="24"/>
          <w:highlight w:val="none"/>
          <w:u w:val="single"/>
        </w:rPr>
        <w:t>自</w:t>
      </w:r>
      <w:r>
        <w:rPr>
          <w:rFonts w:hint="eastAsia" w:cs="Times New Roman"/>
          <w:i w:val="0"/>
          <w:iCs w:val="0"/>
          <w:color w:val="auto"/>
          <w:kern w:val="0"/>
          <w:sz w:val="24"/>
          <w:szCs w:val="24"/>
          <w:highlight w:val="none"/>
          <w:u w:val="single"/>
          <w:lang w:val="en-US" w:eastAsia="zh-CN"/>
        </w:rPr>
        <w:t>2022</w:t>
      </w:r>
      <w:r>
        <w:rPr>
          <w:rFonts w:hint="eastAsia" w:cs="Times New Roman"/>
          <w:i w:val="0"/>
          <w:iCs w:val="0"/>
          <w:color w:val="auto"/>
          <w:kern w:val="0"/>
          <w:sz w:val="24"/>
          <w:szCs w:val="24"/>
          <w:highlight w:val="none"/>
          <w:u w:val="single"/>
        </w:rPr>
        <w:t>年</w:t>
      </w:r>
      <w:r>
        <w:rPr>
          <w:rFonts w:hint="eastAsia" w:cs="Times New Roman"/>
          <w:i w:val="0"/>
          <w:iCs w:val="0"/>
          <w:color w:val="auto"/>
          <w:kern w:val="0"/>
          <w:sz w:val="24"/>
          <w:szCs w:val="24"/>
          <w:highlight w:val="none"/>
          <w:u w:val="single"/>
          <w:lang w:val="en-US" w:eastAsia="zh-CN"/>
        </w:rPr>
        <w:t>11</w:t>
      </w:r>
      <w:r>
        <w:rPr>
          <w:rFonts w:hint="eastAsia" w:cs="Times New Roman"/>
          <w:i w:val="0"/>
          <w:iCs w:val="0"/>
          <w:color w:val="auto"/>
          <w:kern w:val="0"/>
          <w:sz w:val="24"/>
          <w:szCs w:val="24"/>
          <w:highlight w:val="none"/>
          <w:u w:val="single"/>
        </w:rPr>
        <w:t>月</w:t>
      </w:r>
      <w:r>
        <w:rPr>
          <w:rFonts w:hint="eastAsia" w:cs="Times New Roman"/>
          <w:i w:val="0"/>
          <w:iCs w:val="0"/>
          <w:color w:val="auto"/>
          <w:kern w:val="0"/>
          <w:sz w:val="24"/>
          <w:szCs w:val="24"/>
          <w:highlight w:val="none"/>
          <w:u w:val="single"/>
          <w:lang w:val="en-US" w:eastAsia="zh-CN"/>
        </w:rPr>
        <w:t>1</w:t>
      </w:r>
      <w:r>
        <w:rPr>
          <w:rFonts w:hint="eastAsia" w:cs="Times New Roman"/>
          <w:i w:val="0"/>
          <w:iCs w:val="0"/>
          <w:color w:val="auto"/>
          <w:kern w:val="0"/>
          <w:sz w:val="24"/>
          <w:szCs w:val="24"/>
          <w:highlight w:val="none"/>
          <w:u w:val="single"/>
        </w:rPr>
        <w:t>日以来完成过</w:t>
      </w:r>
      <w:r>
        <w:rPr>
          <w:rFonts w:hint="eastAsia" w:cs="Times New Roman"/>
          <w:i w:val="0"/>
          <w:iCs w:val="0"/>
          <w:color w:val="auto"/>
          <w:kern w:val="0"/>
          <w:sz w:val="24"/>
          <w:szCs w:val="24"/>
          <w:highlight w:val="none"/>
          <w:u w:val="single"/>
          <w:lang w:eastAsia="zh-CN"/>
        </w:rPr>
        <w:t>（以竣工验收证明或完工证明中的竣工时间为准）</w:t>
      </w:r>
      <w:r>
        <w:rPr>
          <w:rFonts w:hint="eastAsia" w:cs="Times New Roman"/>
          <w:i w:val="0"/>
          <w:iCs w:val="0"/>
          <w:color w:val="auto"/>
          <w:kern w:val="0"/>
          <w:sz w:val="24"/>
          <w:szCs w:val="24"/>
          <w:highlight w:val="none"/>
          <w:u w:val="single"/>
          <w:lang w:val="en-US" w:eastAsia="zh-CN"/>
        </w:rPr>
        <w:t>单项合同总</w:t>
      </w:r>
      <w:r>
        <w:rPr>
          <w:rFonts w:hint="eastAsia" w:cs="Times New Roman"/>
          <w:i w:val="0"/>
          <w:iCs w:val="0"/>
          <w:color w:val="auto"/>
          <w:kern w:val="0"/>
          <w:sz w:val="24"/>
          <w:szCs w:val="24"/>
          <w:highlight w:val="none"/>
          <w:u w:val="single"/>
          <w:lang w:eastAsia="zh-CN"/>
        </w:rPr>
        <w:t>建筑面积</w:t>
      </w:r>
      <w:r>
        <w:rPr>
          <w:rFonts w:hint="eastAsia" w:cs="Times New Roman"/>
          <w:i w:val="0"/>
          <w:iCs w:val="0"/>
          <w:color w:val="auto"/>
          <w:kern w:val="0"/>
          <w:sz w:val="24"/>
          <w:szCs w:val="24"/>
          <w:highlight w:val="none"/>
          <w:u w:val="single"/>
          <w:lang w:val="en-US" w:eastAsia="zh-CN"/>
        </w:rPr>
        <w:t>50000</w:t>
      </w:r>
      <w:r>
        <w:rPr>
          <w:rFonts w:hint="eastAsia" w:cs="Times New Roman"/>
          <w:i w:val="0"/>
          <w:iCs w:val="0"/>
          <w:color w:val="auto"/>
          <w:kern w:val="0"/>
          <w:sz w:val="24"/>
          <w:szCs w:val="24"/>
          <w:highlight w:val="none"/>
          <w:u w:val="single"/>
          <w:lang w:eastAsia="zh-CN"/>
        </w:rPr>
        <w:t>平方米</w:t>
      </w:r>
      <w:r>
        <w:rPr>
          <w:rFonts w:hint="eastAsia" w:cs="Times New Roman"/>
          <w:i w:val="0"/>
          <w:iCs w:val="0"/>
          <w:color w:val="auto"/>
          <w:kern w:val="0"/>
          <w:sz w:val="24"/>
          <w:szCs w:val="24"/>
          <w:highlight w:val="none"/>
          <w:u w:val="single"/>
          <w:lang w:val="en-US" w:eastAsia="zh-CN"/>
        </w:rPr>
        <w:t>及以上或单项合同金额15000万元及以上公共建筑工程总承包业绩，或者是联合体各方的工程总承包施工业绩+工程总承包设计业绩；</w:t>
      </w:r>
    </w:p>
    <w:p w14:paraId="6711D291">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highlight w:val="none"/>
          <w:u w:val="none"/>
          <w:lang w:eastAsia="zh-CN"/>
        </w:rPr>
        <w:t>□</w:t>
      </w:r>
      <w:r>
        <w:rPr>
          <w:rFonts w:hint="eastAsia" w:cs="Times New Roman"/>
          <w:i w:val="0"/>
          <w:iCs w:val="0"/>
          <w:color w:val="auto"/>
          <w:kern w:val="0"/>
          <w:sz w:val="24"/>
          <w:szCs w:val="24"/>
          <w:highlight w:val="none"/>
          <w:u w:val="none"/>
        </w:rPr>
        <w:t>3.</w:t>
      </w:r>
      <w:r>
        <w:rPr>
          <w:rFonts w:hint="eastAsia" w:cs="Times New Roman"/>
          <w:i w:val="0"/>
          <w:iCs w:val="0"/>
          <w:color w:val="auto"/>
          <w:kern w:val="0"/>
          <w:sz w:val="24"/>
          <w:szCs w:val="24"/>
          <w:highlight w:val="none"/>
          <w:u w:val="none"/>
          <w:lang w:val="en-US" w:eastAsia="zh-CN"/>
        </w:rPr>
        <w:t>6</w:t>
      </w:r>
      <w:r>
        <w:rPr>
          <w:rFonts w:hint="eastAsia" w:cs="Times New Roman"/>
          <w:i w:val="0"/>
          <w:iCs w:val="0"/>
          <w:color w:val="auto"/>
          <w:kern w:val="0"/>
          <w:sz w:val="24"/>
          <w:szCs w:val="24"/>
          <w:highlight w:val="none"/>
          <w:u w:val="none"/>
        </w:rPr>
        <w:t>企业主要负责人（法定代表人、企业经理、企业分管安全生产的副经理）具有对应有效的安全生产考核合格证书（联合体投标的，承担施工工作的联合体成员均应提供）。</w:t>
      </w:r>
    </w:p>
    <w:p w14:paraId="2D49AC43">
      <w:pPr>
        <w:keepNext w:val="0"/>
        <w:keepLines w:val="0"/>
        <w:pageBreakBefore w:val="0"/>
        <w:widowControl w:val="0"/>
        <w:kinsoku/>
        <w:wordWrap w:val="0"/>
        <w:overflowPunct/>
        <w:topLinePunct w:val="0"/>
        <w:autoSpaceDE/>
        <w:autoSpaceDN/>
        <w:bidi w:val="0"/>
        <w:adjustRightInd/>
        <w:snapToGrid/>
        <w:spacing w:line="400" w:lineRule="exact"/>
        <w:ind w:leftChars="0" w:firstLine="482" w:firstLineChars="200"/>
        <w:textAlignment w:val="auto"/>
        <w:rPr>
          <w:rFonts w:hint="eastAsia" w:cs="Times New Roman"/>
          <w:b/>
          <w:bCs/>
          <w:i w:val="0"/>
          <w:iCs w:val="0"/>
          <w:color w:val="auto"/>
          <w:kern w:val="0"/>
          <w:sz w:val="24"/>
          <w:szCs w:val="24"/>
          <w:u w:val="none"/>
        </w:rPr>
      </w:pPr>
      <w:r>
        <w:rPr>
          <w:rFonts w:hint="eastAsia" w:cs="Times New Roman"/>
          <w:b/>
          <w:bCs/>
          <w:i w:val="0"/>
          <w:iCs w:val="0"/>
          <w:color w:val="auto"/>
          <w:kern w:val="0"/>
          <w:sz w:val="24"/>
          <w:szCs w:val="24"/>
          <w:u w:val="none"/>
        </w:rPr>
        <w:t>（二）拟派项目</w:t>
      </w:r>
      <w:r>
        <w:rPr>
          <w:rFonts w:hint="eastAsia" w:cs="Times New Roman"/>
          <w:b/>
          <w:bCs/>
          <w:i w:val="0"/>
          <w:iCs w:val="0"/>
          <w:color w:val="auto"/>
          <w:kern w:val="0"/>
          <w:sz w:val="24"/>
          <w:szCs w:val="24"/>
          <w:u w:val="none"/>
          <w:lang w:eastAsia="zh-CN"/>
        </w:rPr>
        <w:t>经理</w:t>
      </w:r>
      <w:r>
        <w:rPr>
          <w:rFonts w:hint="eastAsia" w:cs="Times New Roman"/>
          <w:b/>
          <w:bCs/>
          <w:i w:val="0"/>
          <w:iCs w:val="0"/>
          <w:color w:val="auto"/>
          <w:kern w:val="0"/>
          <w:sz w:val="24"/>
          <w:szCs w:val="24"/>
          <w:u w:val="none"/>
        </w:rPr>
        <w:t>、设计负责人、施工负责人（建造师）</w:t>
      </w:r>
    </w:p>
    <w:p w14:paraId="3AD58285">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3.7拟派项目</w:t>
      </w:r>
      <w:r>
        <w:rPr>
          <w:rFonts w:hint="eastAsia" w:cs="Times New Roman"/>
          <w:i w:val="0"/>
          <w:iCs w:val="0"/>
          <w:color w:val="auto"/>
          <w:kern w:val="0"/>
          <w:sz w:val="24"/>
          <w:szCs w:val="24"/>
          <w:u w:val="none"/>
          <w:lang w:eastAsia="zh-CN"/>
        </w:rPr>
        <w:t>经理</w:t>
      </w:r>
      <w:r>
        <w:rPr>
          <w:rFonts w:hint="eastAsia" w:cs="Times New Roman"/>
          <w:i w:val="0"/>
          <w:iCs w:val="0"/>
          <w:color w:val="auto"/>
          <w:kern w:val="0"/>
          <w:sz w:val="24"/>
          <w:szCs w:val="24"/>
          <w:u w:val="none"/>
        </w:rPr>
        <w:t>具有注册在投标单位的</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single"/>
          <w:lang w:eastAsia="zh-CN"/>
        </w:rPr>
        <w:t>建筑工程</w:t>
      </w:r>
      <w:r>
        <w:rPr>
          <w:rFonts w:hint="eastAsia" w:cs="Times New Roman"/>
          <w:i w:val="0"/>
          <w:iCs w:val="0"/>
          <w:color w:val="auto"/>
          <w:kern w:val="0"/>
          <w:sz w:val="24"/>
          <w:szCs w:val="24"/>
          <w:u w:val="single"/>
          <w:lang w:val="en-US" w:eastAsia="zh-CN"/>
        </w:rPr>
        <w:t>专业</w:t>
      </w:r>
      <w:r>
        <w:rPr>
          <w:rFonts w:hint="eastAsia" w:cs="Times New Roman"/>
          <w:i w:val="0"/>
          <w:iCs w:val="0"/>
          <w:color w:val="auto"/>
          <w:kern w:val="0"/>
          <w:sz w:val="24"/>
          <w:szCs w:val="24"/>
          <w:highlight w:val="none"/>
          <w:u w:val="single"/>
          <w:lang w:val="en-US" w:eastAsia="zh-CN"/>
        </w:rPr>
        <w:t>二</w:t>
      </w:r>
      <w:r>
        <w:rPr>
          <w:rFonts w:hint="eastAsia" w:cs="Times New Roman"/>
          <w:i w:val="0"/>
          <w:iCs w:val="0"/>
          <w:color w:val="auto"/>
          <w:kern w:val="0"/>
          <w:sz w:val="24"/>
          <w:szCs w:val="24"/>
          <w:highlight w:val="none"/>
          <w:u w:val="single"/>
          <w:lang w:eastAsia="zh-CN"/>
        </w:rPr>
        <w:t>级</w:t>
      </w:r>
      <w:r>
        <w:rPr>
          <w:rFonts w:hint="eastAsia" w:cs="Times New Roman"/>
          <w:i w:val="0"/>
          <w:iCs w:val="0"/>
          <w:color w:val="auto"/>
          <w:kern w:val="0"/>
          <w:sz w:val="24"/>
          <w:szCs w:val="24"/>
          <w:highlight w:val="none"/>
          <w:u w:val="single"/>
          <w:lang w:val="en-US" w:eastAsia="zh-CN"/>
        </w:rPr>
        <w:t>及以上</w:t>
      </w:r>
      <w:r>
        <w:rPr>
          <w:rFonts w:hint="eastAsia" w:cs="Times New Roman"/>
          <w:i w:val="0"/>
          <w:iCs w:val="0"/>
          <w:color w:val="auto"/>
          <w:kern w:val="0"/>
          <w:sz w:val="24"/>
          <w:szCs w:val="24"/>
          <w:u w:val="single"/>
          <w:lang w:eastAsia="zh-CN"/>
        </w:rPr>
        <w:t>注册建造师</w:t>
      </w:r>
      <w:r>
        <w:rPr>
          <w:rFonts w:hint="eastAsia" w:cs="Times New Roman"/>
          <w:i w:val="0"/>
          <w:iCs w:val="0"/>
          <w:color w:val="auto"/>
          <w:kern w:val="0"/>
          <w:sz w:val="24"/>
          <w:szCs w:val="24"/>
          <w:u w:val="single"/>
          <w:lang w:val="en-US" w:eastAsia="zh-CN"/>
        </w:rPr>
        <w:t>或一级注册建筑师</w:t>
      </w:r>
      <w:r>
        <w:rPr>
          <w:rFonts w:hint="eastAsia" w:cs="Times New Roman"/>
          <w:i w:val="0"/>
          <w:iCs w:val="0"/>
          <w:color w:val="auto"/>
          <w:kern w:val="0"/>
          <w:sz w:val="24"/>
          <w:szCs w:val="24"/>
          <w:u w:val="none"/>
        </w:rPr>
        <w:t>；</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single"/>
          <w:lang w:eastAsia="zh-CN"/>
        </w:rPr>
        <w:t>建筑专业类</w:t>
      </w:r>
      <w:r>
        <w:rPr>
          <w:rFonts w:hint="eastAsia" w:cs="Times New Roman"/>
          <w:i w:val="0"/>
          <w:iCs w:val="0"/>
          <w:color w:val="auto"/>
          <w:kern w:val="0"/>
          <w:sz w:val="24"/>
          <w:szCs w:val="24"/>
          <w:u w:val="none"/>
        </w:rPr>
        <w:t>高级专业技术职称，</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single"/>
        </w:rPr>
        <w:t>投标人拟派的项目</w:t>
      </w:r>
      <w:r>
        <w:rPr>
          <w:rFonts w:hint="eastAsia" w:cs="Times New Roman"/>
          <w:i w:val="0"/>
          <w:iCs w:val="0"/>
          <w:color w:val="auto"/>
          <w:kern w:val="0"/>
          <w:sz w:val="24"/>
          <w:szCs w:val="24"/>
          <w:u w:val="single"/>
          <w:lang w:eastAsia="zh-CN"/>
        </w:rPr>
        <w:t>经理</w:t>
      </w:r>
      <w:r>
        <w:rPr>
          <w:rFonts w:hint="eastAsia" w:cs="Times New Roman"/>
          <w:i w:val="0"/>
          <w:iCs w:val="0"/>
          <w:color w:val="auto"/>
          <w:kern w:val="0"/>
          <w:sz w:val="24"/>
          <w:szCs w:val="24"/>
          <w:u w:val="single"/>
          <w:lang w:val="en-US" w:eastAsia="zh-CN"/>
        </w:rPr>
        <w:t>和</w:t>
      </w:r>
      <w:r>
        <w:rPr>
          <w:rFonts w:hint="eastAsia" w:cs="Times New Roman"/>
          <w:i w:val="0"/>
          <w:iCs w:val="0"/>
          <w:color w:val="auto"/>
          <w:kern w:val="0"/>
          <w:sz w:val="24"/>
          <w:szCs w:val="24"/>
          <w:u w:val="single"/>
        </w:rPr>
        <w:t>施工负责人</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lang w:val="en-US" w:eastAsia="zh-CN"/>
        </w:rPr>
        <w:t>或设计负责人</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lang w:val="en-US" w:eastAsia="zh-CN"/>
        </w:rPr>
        <w:t>可以为同一人</w:t>
      </w:r>
      <w:r>
        <w:rPr>
          <w:rFonts w:hint="eastAsia" w:cs="Times New Roman"/>
          <w:i w:val="0"/>
          <w:iCs w:val="0"/>
          <w:color w:val="auto"/>
          <w:kern w:val="0"/>
          <w:sz w:val="24"/>
          <w:szCs w:val="24"/>
          <w:u w:val="none"/>
        </w:rPr>
        <w:t>，</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同时具有对应有效的安全生产考核合格证书</w:t>
      </w:r>
      <w:r>
        <w:rPr>
          <w:rFonts w:hint="eastAsia" w:cs="Times New Roman"/>
          <w:i/>
          <w:iCs/>
          <w:color w:val="auto"/>
          <w:kern w:val="0"/>
          <w:sz w:val="24"/>
          <w:szCs w:val="24"/>
          <w:u w:val="none"/>
        </w:rPr>
        <w:t>（</w:t>
      </w:r>
      <w:r>
        <w:rPr>
          <w:rFonts w:hint="eastAsia" w:cs="Times New Roman"/>
          <w:i w:val="0"/>
          <w:iCs w:val="0"/>
          <w:color w:val="auto"/>
          <w:kern w:val="0"/>
          <w:sz w:val="24"/>
          <w:szCs w:val="24"/>
          <w:u w:val="none"/>
        </w:rPr>
        <w:t>联合体投标的，承担施工工作联合体成员拟派项目</w:t>
      </w:r>
      <w:r>
        <w:rPr>
          <w:rFonts w:hint="eastAsia" w:cs="Times New Roman"/>
          <w:i w:val="0"/>
          <w:iCs w:val="0"/>
          <w:color w:val="auto"/>
          <w:kern w:val="0"/>
          <w:sz w:val="24"/>
          <w:szCs w:val="24"/>
          <w:u w:val="none"/>
          <w:lang w:eastAsia="zh-CN"/>
        </w:rPr>
        <w:t>经理</w:t>
      </w:r>
      <w:r>
        <w:rPr>
          <w:rFonts w:hint="eastAsia" w:cs="Times New Roman"/>
          <w:i w:val="0"/>
          <w:iCs w:val="0"/>
          <w:color w:val="auto"/>
          <w:kern w:val="0"/>
          <w:sz w:val="24"/>
          <w:szCs w:val="24"/>
          <w:u w:val="none"/>
        </w:rPr>
        <w:t>的须提供）；</w:t>
      </w:r>
    </w:p>
    <w:p w14:paraId="1A5C9709">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3.8拟派设计负责人具有</w:t>
      </w:r>
      <w:r>
        <w:rPr>
          <w:rFonts w:hint="eastAsia" w:cs="Times New Roman"/>
          <w:i w:val="0"/>
          <w:iCs w:val="0"/>
          <w:color w:val="auto"/>
          <w:kern w:val="0"/>
          <w:sz w:val="24"/>
          <w:szCs w:val="24"/>
          <w:u w:val="single"/>
        </w:rPr>
        <w:t>一级注册建筑师</w:t>
      </w:r>
      <w:r>
        <w:rPr>
          <w:rFonts w:hint="eastAsia" w:cs="Times New Roman"/>
          <w:i w:val="0"/>
          <w:iCs w:val="0"/>
          <w:color w:val="auto"/>
          <w:kern w:val="0"/>
          <w:sz w:val="24"/>
          <w:szCs w:val="24"/>
          <w:u w:val="none"/>
          <w:lang w:eastAsia="zh-CN"/>
        </w:rPr>
        <w:t>执业</w:t>
      </w:r>
      <w:r>
        <w:rPr>
          <w:rFonts w:hint="eastAsia" w:cs="Times New Roman"/>
          <w:i w:val="0"/>
          <w:iCs w:val="0"/>
          <w:color w:val="auto"/>
          <w:kern w:val="0"/>
          <w:sz w:val="24"/>
          <w:szCs w:val="24"/>
          <w:u w:val="none"/>
        </w:rPr>
        <w:t>资格。联合体投标的，设计负责人须由承担设计工作的联合体成员委派；</w:t>
      </w:r>
    </w:p>
    <w:p w14:paraId="0B0C3D88">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3.9拟派施工负责人（建造师）具有</w:t>
      </w:r>
      <w:r>
        <w:rPr>
          <w:rFonts w:hint="eastAsia" w:cs="Times New Roman"/>
          <w:i w:val="0"/>
          <w:iCs w:val="0"/>
          <w:color w:val="auto"/>
          <w:kern w:val="0"/>
          <w:sz w:val="24"/>
          <w:szCs w:val="24"/>
          <w:u w:val="single"/>
          <w:lang w:eastAsia="zh-CN"/>
        </w:rPr>
        <w:t>建筑工程</w:t>
      </w:r>
      <w:r>
        <w:rPr>
          <w:rFonts w:hint="eastAsia" w:cs="Times New Roman"/>
          <w:i w:val="0"/>
          <w:iCs w:val="0"/>
          <w:color w:val="auto"/>
          <w:kern w:val="0"/>
          <w:sz w:val="24"/>
          <w:szCs w:val="24"/>
          <w:u w:val="single"/>
          <w:lang w:val="en-US" w:eastAsia="zh-CN"/>
        </w:rPr>
        <w:t>专业</w:t>
      </w:r>
      <w:r>
        <w:rPr>
          <w:rFonts w:hint="eastAsia" w:cs="Times New Roman"/>
          <w:i w:val="0"/>
          <w:iCs w:val="0"/>
          <w:color w:val="auto"/>
          <w:kern w:val="0"/>
          <w:sz w:val="24"/>
          <w:szCs w:val="24"/>
          <w:highlight w:val="none"/>
          <w:u w:val="single"/>
          <w:lang w:val="en-US" w:eastAsia="zh-CN"/>
        </w:rPr>
        <w:t>二</w:t>
      </w:r>
      <w:r>
        <w:rPr>
          <w:rFonts w:hint="eastAsia" w:cs="Times New Roman"/>
          <w:i w:val="0"/>
          <w:iCs w:val="0"/>
          <w:color w:val="auto"/>
          <w:kern w:val="0"/>
          <w:sz w:val="24"/>
          <w:szCs w:val="24"/>
          <w:highlight w:val="none"/>
          <w:u w:val="single"/>
          <w:lang w:eastAsia="zh-CN"/>
        </w:rPr>
        <w:t>级</w:t>
      </w:r>
      <w:r>
        <w:rPr>
          <w:rFonts w:hint="eastAsia" w:cs="Times New Roman"/>
          <w:i w:val="0"/>
          <w:iCs w:val="0"/>
          <w:color w:val="auto"/>
          <w:kern w:val="0"/>
          <w:sz w:val="24"/>
          <w:szCs w:val="24"/>
          <w:highlight w:val="none"/>
          <w:u w:val="single"/>
          <w:lang w:val="en-US" w:eastAsia="zh-CN"/>
        </w:rPr>
        <w:t>及以上</w:t>
      </w:r>
      <w:r>
        <w:rPr>
          <w:rFonts w:hint="eastAsia" w:cs="Times New Roman"/>
          <w:i w:val="0"/>
          <w:iCs w:val="0"/>
          <w:color w:val="auto"/>
          <w:kern w:val="0"/>
          <w:sz w:val="24"/>
          <w:szCs w:val="24"/>
          <w:u w:val="single"/>
          <w:lang w:eastAsia="zh-CN"/>
        </w:rPr>
        <w:t>注册建造师</w:t>
      </w:r>
      <w:r>
        <w:rPr>
          <w:rFonts w:hint="eastAsia" w:cs="Times New Roman"/>
          <w:i w:val="0"/>
          <w:iCs w:val="0"/>
          <w:color w:val="auto"/>
          <w:kern w:val="0"/>
          <w:sz w:val="24"/>
          <w:szCs w:val="24"/>
          <w:u w:val="none"/>
          <w:lang w:eastAsia="zh-CN"/>
        </w:rPr>
        <w:t>执业</w:t>
      </w:r>
      <w:r>
        <w:rPr>
          <w:rFonts w:hint="eastAsia" w:cs="Times New Roman"/>
          <w:i w:val="0"/>
          <w:iCs w:val="0"/>
          <w:color w:val="auto"/>
          <w:kern w:val="0"/>
          <w:sz w:val="24"/>
          <w:szCs w:val="24"/>
          <w:u w:val="none"/>
        </w:rPr>
        <w:t>资格，同时具有对应有效的安全生产考核合格证书</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联合体投标的，施工负责人须由承担施工工作的联合体成员委派；</w:t>
      </w:r>
    </w:p>
    <w:p w14:paraId="3395509A">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3.10如拟派项目</w:t>
      </w:r>
      <w:r>
        <w:rPr>
          <w:rFonts w:hint="eastAsia" w:cs="Times New Roman"/>
          <w:i w:val="0"/>
          <w:iCs w:val="0"/>
          <w:color w:val="auto"/>
          <w:kern w:val="0"/>
          <w:sz w:val="24"/>
          <w:szCs w:val="24"/>
          <w:u w:val="none"/>
          <w:lang w:eastAsia="zh-CN"/>
        </w:rPr>
        <w:t>经理</w:t>
      </w:r>
      <w:r>
        <w:rPr>
          <w:rFonts w:hint="eastAsia" w:cs="Times New Roman"/>
          <w:i w:val="0"/>
          <w:iCs w:val="0"/>
          <w:color w:val="auto"/>
          <w:kern w:val="0"/>
          <w:sz w:val="24"/>
          <w:szCs w:val="24"/>
          <w:u w:val="none"/>
        </w:rPr>
        <w:t>或施工负责人在投标截止日</w:t>
      </w:r>
      <w:r>
        <w:rPr>
          <w:rFonts w:hint="eastAsia" w:cs="Times New Roman"/>
          <w:i w:val="0"/>
          <w:iCs w:val="0"/>
          <w:color w:val="auto"/>
          <w:kern w:val="0"/>
          <w:sz w:val="24"/>
          <w:szCs w:val="24"/>
          <w:u w:val="none"/>
          <w:lang w:eastAsia="zh-CN"/>
        </w:rPr>
        <w:t>当日</w:t>
      </w:r>
      <w:r>
        <w:rPr>
          <w:rFonts w:hint="eastAsia" w:cs="Times New Roman"/>
          <w:i w:val="0"/>
          <w:iCs w:val="0"/>
          <w:color w:val="auto"/>
          <w:kern w:val="0"/>
          <w:sz w:val="24"/>
          <w:szCs w:val="24"/>
          <w:u w:val="none"/>
        </w:rPr>
        <w:t>存在在其他在建合同工程（在建合同工程的开始时间为合同工程中标通知书发出日期，或者不通过招标方式的则以合同签订日期为开始时间，结束时间为该合同工程验收合格或合同解除日期）担任项目</w:t>
      </w:r>
      <w:r>
        <w:rPr>
          <w:rFonts w:hint="eastAsia" w:cs="Times New Roman"/>
          <w:i w:val="0"/>
          <w:iCs w:val="0"/>
          <w:color w:val="auto"/>
          <w:kern w:val="0"/>
          <w:sz w:val="24"/>
          <w:szCs w:val="24"/>
          <w:u w:val="none"/>
          <w:lang w:eastAsia="zh-CN"/>
        </w:rPr>
        <w:t>经理</w:t>
      </w:r>
      <w:r>
        <w:rPr>
          <w:rFonts w:hint="eastAsia" w:cs="Times New Roman"/>
          <w:i w:val="0"/>
          <w:iCs w:val="0"/>
          <w:color w:val="auto"/>
          <w:kern w:val="0"/>
          <w:sz w:val="24"/>
          <w:szCs w:val="24"/>
          <w:u w:val="none"/>
        </w:rPr>
        <w:t>、施工负责人（含工程总承包项目中担任施工负责人）的，不得以拟派项目</w:t>
      </w:r>
      <w:r>
        <w:rPr>
          <w:rFonts w:hint="eastAsia" w:cs="Times New Roman"/>
          <w:i w:val="0"/>
          <w:iCs w:val="0"/>
          <w:color w:val="auto"/>
          <w:kern w:val="0"/>
          <w:sz w:val="24"/>
          <w:szCs w:val="24"/>
          <w:u w:val="none"/>
          <w:lang w:eastAsia="zh-CN"/>
        </w:rPr>
        <w:t>经理</w:t>
      </w:r>
      <w:r>
        <w:rPr>
          <w:rFonts w:hint="eastAsia" w:cs="Times New Roman"/>
          <w:i w:val="0"/>
          <w:iCs w:val="0"/>
          <w:color w:val="auto"/>
          <w:kern w:val="0"/>
          <w:sz w:val="24"/>
          <w:szCs w:val="24"/>
          <w:u w:val="none"/>
        </w:rPr>
        <w:t>或施工负责人的身份参加本次投标；</w:t>
      </w:r>
    </w:p>
    <w:p w14:paraId="74CC8B95">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□3.11</w:t>
      </w:r>
      <w:r>
        <w:rPr>
          <w:rFonts w:hint="eastAsia" w:cs="Times New Roman"/>
          <w:i w:val="0"/>
          <w:iCs w:val="0"/>
          <w:color w:val="auto"/>
          <w:kern w:val="0"/>
          <w:sz w:val="24"/>
          <w:szCs w:val="24"/>
          <w:u w:val="single"/>
        </w:rPr>
        <w:t xml:space="preserve"> </w:t>
      </w:r>
      <w:r>
        <w:rPr>
          <w:rFonts w:hint="eastAsia" w:cs="Times New Roman"/>
          <w:i w:val="0"/>
          <w:iCs w:val="0"/>
          <w:color w:val="auto"/>
          <w:kern w:val="0"/>
          <w:sz w:val="24"/>
          <w:szCs w:val="24"/>
          <w:u w:val="single"/>
          <w:lang w:val="en-US" w:eastAsia="zh-CN"/>
        </w:rPr>
        <w:t>/</w:t>
      </w:r>
      <w:r>
        <w:rPr>
          <w:rFonts w:hint="eastAsia" w:cs="Times New Roman"/>
          <w:i w:val="0"/>
          <w:iCs w:val="0"/>
          <w:color w:val="auto"/>
          <w:kern w:val="0"/>
          <w:sz w:val="24"/>
          <w:szCs w:val="24"/>
          <w:u w:val="single"/>
        </w:rPr>
        <w:t xml:space="preserve"> </w:t>
      </w:r>
      <w:r>
        <w:rPr>
          <w:rFonts w:hint="eastAsia" w:cs="Times New Roman"/>
          <w:i w:val="0"/>
          <w:iCs w:val="0"/>
          <w:color w:val="auto"/>
          <w:kern w:val="0"/>
          <w:sz w:val="24"/>
          <w:szCs w:val="24"/>
          <w:u w:val="none"/>
        </w:rPr>
        <w:t>。</w:t>
      </w:r>
    </w:p>
    <w:p w14:paraId="499D7C54">
      <w:pPr>
        <w:keepNext w:val="0"/>
        <w:keepLines w:val="0"/>
        <w:pageBreakBefore w:val="0"/>
        <w:widowControl w:val="0"/>
        <w:kinsoku/>
        <w:wordWrap w:val="0"/>
        <w:overflowPunct/>
        <w:topLinePunct w:val="0"/>
        <w:autoSpaceDE/>
        <w:autoSpaceDN/>
        <w:bidi w:val="0"/>
        <w:adjustRightInd/>
        <w:snapToGrid/>
        <w:spacing w:line="400" w:lineRule="exact"/>
        <w:ind w:leftChars="0" w:firstLine="482" w:firstLineChars="200"/>
        <w:textAlignment w:val="auto"/>
        <w:rPr>
          <w:rFonts w:hint="eastAsia" w:cs="Times New Roman"/>
          <w:b/>
          <w:bCs/>
          <w:i w:val="0"/>
          <w:iCs w:val="0"/>
          <w:color w:val="auto"/>
          <w:kern w:val="0"/>
          <w:sz w:val="24"/>
          <w:szCs w:val="24"/>
          <w:u w:val="none"/>
        </w:rPr>
      </w:pPr>
      <w:r>
        <w:rPr>
          <w:rFonts w:hint="eastAsia" w:cs="Times New Roman"/>
          <w:b/>
          <w:bCs/>
          <w:i w:val="0"/>
          <w:iCs w:val="0"/>
          <w:color w:val="auto"/>
          <w:kern w:val="0"/>
          <w:sz w:val="24"/>
          <w:szCs w:val="24"/>
          <w:u w:val="none"/>
        </w:rPr>
        <w:t>（三）其他</w:t>
      </w:r>
    </w:p>
    <w:p w14:paraId="014EF93E">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3.12专职安全生产管理人员具有对应有效的安全生产考核合格证书，配备人数</w:t>
      </w:r>
      <w:r>
        <w:rPr>
          <w:rFonts w:hint="eastAsia" w:cs="Times New Roman"/>
          <w:i w:val="0"/>
          <w:iCs w:val="0"/>
          <w:color w:val="auto"/>
          <w:kern w:val="0"/>
          <w:sz w:val="24"/>
          <w:szCs w:val="24"/>
          <w:u w:val="single"/>
          <w:lang w:val="en-US" w:eastAsia="zh-CN"/>
        </w:rPr>
        <w:t>至少3</w:t>
      </w:r>
      <w:r>
        <w:rPr>
          <w:rFonts w:hint="eastAsia" w:cs="Times New Roman"/>
          <w:i w:val="0"/>
          <w:iCs w:val="0"/>
          <w:color w:val="auto"/>
          <w:kern w:val="0"/>
          <w:sz w:val="24"/>
          <w:szCs w:val="24"/>
          <w:u w:val="none"/>
        </w:rPr>
        <w:t>个。联合体投标的，专职安全生产管理人员须由承担施工工作的联合体成员委派；</w:t>
      </w:r>
    </w:p>
    <w:p w14:paraId="5A81AF25">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none"/>
          <w:lang w:eastAsia="zh-CN"/>
        </w:rPr>
      </w:pPr>
      <w:r>
        <w:rPr>
          <w:rFonts w:hint="eastAsia" w:cs="Times New Roman"/>
          <w:i w:val="0"/>
          <w:iCs w:val="0"/>
          <w:color w:val="auto"/>
          <w:kern w:val="0"/>
          <w:sz w:val="24"/>
          <w:szCs w:val="24"/>
          <w:highlight w:val="none"/>
          <w:u w:val="none"/>
        </w:rPr>
        <w:t>3.1</w:t>
      </w:r>
      <w:r>
        <w:rPr>
          <w:rFonts w:hint="eastAsia" w:cs="Times New Roman"/>
          <w:i w:val="0"/>
          <w:iCs w:val="0"/>
          <w:color w:val="auto"/>
          <w:kern w:val="0"/>
          <w:sz w:val="24"/>
          <w:szCs w:val="24"/>
          <w:highlight w:val="none"/>
          <w:u w:val="none"/>
          <w:lang w:val="en-US" w:eastAsia="zh-CN"/>
        </w:rPr>
        <w:t>3</w:t>
      </w:r>
      <w:r>
        <w:rPr>
          <w:rFonts w:hint="eastAsia" w:cs="Times New Roman"/>
          <w:i w:val="0"/>
          <w:iCs w:val="0"/>
          <w:color w:val="auto"/>
          <w:kern w:val="0"/>
          <w:sz w:val="24"/>
          <w:szCs w:val="24"/>
          <w:highlight w:val="none"/>
          <w:u w:val="none"/>
        </w:rPr>
        <w:t>投标人及其拟派项目</w:t>
      </w:r>
      <w:r>
        <w:rPr>
          <w:rFonts w:hint="eastAsia" w:cs="Times New Roman"/>
          <w:i w:val="0"/>
          <w:iCs w:val="0"/>
          <w:color w:val="auto"/>
          <w:kern w:val="0"/>
          <w:sz w:val="24"/>
          <w:szCs w:val="24"/>
          <w:highlight w:val="none"/>
          <w:u w:val="none"/>
          <w:lang w:eastAsia="zh-CN"/>
        </w:rPr>
        <w:t>经理</w:t>
      </w:r>
      <w:r>
        <w:rPr>
          <w:rFonts w:hint="eastAsia" w:cs="Times New Roman"/>
          <w:i w:val="0"/>
          <w:iCs w:val="0"/>
          <w:color w:val="auto"/>
          <w:kern w:val="0"/>
          <w:sz w:val="24"/>
          <w:szCs w:val="24"/>
          <w:highlight w:val="none"/>
          <w:u w:val="none"/>
        </w:rPr>
        <w:t>、施工负责人、设计负责人自</w:t>
      </w:r>
      <w:r>
        <w:rPr>
          <w:rFonts w:hint="eastAsia" w:cs="Times New Roman"/>
          <w:i w:val="0"/>
          <w:iCs w:val="0"/>
          <w:color w:val="auto"/>
          <w:kern w:val="0"/>
          <w:sz w:val="24"/>
          <w:szCs w:val="24"/>
          <w:highlight w:val="none"/>
          <w:u w:val="single"/>
        </w:rPr>
        <w:t xml:space="preserve"> </w:t>
      </w:r>
      <w:r>
        <w:rPr>
          <w:rFonts w:hint="eastAsia" w:cs="Times New Roman"/>
          <w:i w:val="0"/>
          <w:iCs w:val="0"/>
          <w:color w:val="auto"/>
          <w:kern w:val="0"/>
          <w:sz w:val="24"/>
          <w:szCs w:val="24"/>
          <w:highlight w:val="none"/>
          <w:u w:val="single"/>
          <w:lang w:val="en-US" w:eastAsia="zh-CN"/>
        </w:rPr>
        <w:t>/</w:t>
      </w:r>
      <w:r>
        <w:rPr>
          <w:rFonts w:hint="eastAsia" w:cs="Times New Roman"/>
          <w:i w:val="0"/>
          <w:iCs w:val="0"/>
          <w:color w:val="auto"/>
          <w:kern w:val="0"/>
          <w:sz w:val="24"/>
          <w:szCs w:val="24"/>
          <w:highlight w:val="none"/>
          <w:u w:val="single"/>
        </w:rPr>
        <w:t xml:space="preserve"> </w:t>
      </w:r>
      <w:r>
        <w:rPr>
          <w:rFonts w:hint="eastAsia" w:cs="Times New Roman"/>
          <w:i w:val="0"/>
          <w:iCs w:val="0"/>
          <w:color w:val="auto"/>
          <w:kern w:val="0"/>
          <w:sz w:val="24"/>
          <w:szCs w:val="24"/>
          <w:highlight w:val="none"/>
          <w:u w:val="none"/>
        </w:rPr>
        <w:t>年</w:t>
      </w:r>
      <w:r>
        <w:rPr>
          <w:rFonts w:hint="eastAsia" w:cs="Times New Roman"/>
          <w:i w:val="0"/>
          <w:iCs w:val="0"/>
          <w:color w:val="auto"/>
          <w:kern w:val="0"/>
          <w:sz w:val="24"/>
          <w:szCs w:val="24"/>
          <w:highlight w:val="none"/>
          <w:u w:val="single"/>
        </w:rPr>
        <w:t xml:space="preserve"> </w:t>
      </w:r>
      <w:r>
        <w:rPr>
          <w:rFonts w:hint="eastAsia" w:cs="Times New Roman"/>
          <w:i w:val="0"/>
          <w:iCs w:val="0"/>
          <w:color w:val="auto"/>
          <w:kern w:val="0"/>
          <w:sz w:val="24"/>
          <w:szCs w:val="24"/>
          <w:highlight w:val="none"/>
          <w:u w:val="single"/>
          <w:lang w:val="en-US" w:eastAsia="zh-CN"/>
        </w:rPr>
        <w:t>/</w:t>
      </w:r>
      <w:r>
        <w:rPr>
          <w:rFonts w:hint="eastAsia" w:cs="Times New Roman"/>
          <w:i w:val="0"/>
          <w:iCs w:val="0"/>
          <w:color w:val="auto"/>
          <w:kern w:val="0"/>
          <w:sz w:val="24"/>
          <w:szCs w:val="24"/>
          <w:highlight w:val="none"/>
          <w:u w:val="single"/>
        </w:rPr>
        <w:t xml:space="preserve"> </w:t>
      </w:r>
      <w:r>
        <w:rPr>
          <w:rFonts w:hint="eastAsia" w:cs="Times New Roman"/>
          <w:i w:val="0"/>
          <w:iCs w:val="0"/>
          <w:color w:val="auto"/>
          <w:kern w:val="0"/>
          <w:sz w:val="24"/>
          <w:szCs w:val="24"/>
          <w:highlight w:val="none"/>
          <w:u w:val="none"/>
        </w:rPr>
        <w:t>月</w:t>
      </w:r>
      <w:r>
        <w:rPr>
          <w:rFonts w:hint="eastAsia" w:cs="Times New Roman"/>
          <w:i w:val="0"/>
          <w:iCs w:val="0"/>
          <w:color w:val="auto"/>
          <w:kern w:val="0"/>
          <w:sz w:val="24"/>
          <w:szCs w:val="24"/>
          <w:highlight w:val="none"/>
          <w:u w:val="single"/>
        </w:rPr>
        <w:t xml:space="preserve"> </w:t>
      </w:r>
      <w:r>
        <w:rPr>
          <w:rFonts w:hint="eastAsia" w:cs="Times New Roman"/>
          <w:i w:val="0"/>
          <w:iCs w:val="0"/>
          <w:color w:val="auto"/>
          <w:kern w:val="0"/>
          <w:sz w:val="24"/>
          <w:szCs w:val="24"/>
          <w:highlight w:val="none"/>
          <w:u w:val="single"/>
          <w:lang w:val="en-US" w:eastAsia="zh-CN"/>
        </w:rPr>
        <w:t>/</w:t>
      </w:r>
      <w:r>
        <w:rPr>
          <w:rFonts w:hint="eastAsia" w:cs="Times New Roman"/>
          <w:i w:val="0"/>
          <w:iCs w:val="0"/>
          <w:color w:val="auto"/>
          <w:kern w:val="0"/>
          <w:sz w:val="24"/>
          <w:szCs w:val="24"/>
          <w:highlight w:val="none"/>
          <w:u w:val="single"/>
        </w:rPr>
        <w:t xml:space="preserve"> </w:t>
      </w:r>
      <w:r>
        <w:rPr>
          <w:rFonts w:hint="eastAsia" w:cs="Times New Roman"/>
          <w:i w:val="0"/>
          <w:iCs w:val="0"/>
          <w:color w:val="auto"/>
          <w:kern w:val="0"/>
          <w:sz w:val="24"/>
          <w:szCs w:val="24"/>
          <w:highlight w:val="none"/>
          <w:u w:val="none"/>
        </w:rPr>
        <w:t>日起至投标截止日止未被列入失信被执行人名单</w:t>
      </w:r>
      <w:r>
        <w:rPr>
          <w:rFonts w:hint="eastAsia" w:cs="Times New Roman"/>
          <w:i w:val="0"/>
          <w:iCs w:val="0"/>
          <w:color w:val="auto"/>
          <w:kern w:val="0"/>
          <w:sz w:val="24"/>
          <w:szCs w:val="24"/>
          <w:highlight w:val="none"/>
          <w:u w:val="none"/>
          <w:lang w:eastAsia="zh-CN"/>
        </w:rPr>
        <w:t>（以</w:t>
      </w:r>
      <w:r>
        <w:rPr>
          <w:rFonts w:hint="eastAsia" w:cs="Times New Roman"/>
          <w:i w:val="0"/>
          <w:iCs w:val="0"/>
          <w:color w:val="auto"/>
          <w:kern w:val="0"/>
          <w:sz w:val="24"/>
          <w:szCs w:val="24"/>
          <w:highlight w:val="none"/>
          <w:u w:val="none"/>
          <w:lang w:val="en-US" w:eastAsia="zh-CN"/>
        </w:rPr>
        <w:t>开标当天</w:t>
      </w:r>
      <w:r>
        <w:rPr>
          <w:rFonts w:hint="eastAsia" w:cs="Times New Roman"/>
          <w:i w:val="0"/>
          <w:iCs w:val="0"/>
          <w:color w:val="auto"/>
          <w:kern w:val="0"/>
          <w:sz w:val="24"/>
          <w:szCs w:val="24"/>
          <w:highlight w:val="none"/>
          <w:u w:val="none"/>
          <w:lang w:eastAsia="zh-CN"/>
        </w:rPr>
        <w:t>信用中国网站</w:t>
      </w:r>
      <w:r>
        <w:rPr>
          <w:rFonts w:hint="eastAsia" w:cs="Times New Roman"/>
          <w:i w:val="0"/>
          <w:iCs w:val="0"/>
          <w:color w:val="auto"/>
          <w:kern w:val="0"/>
          <w:sz w:val="24"/>
          <w:szCs w:val="24"/>
          <w:highlight w:val="none"/>
          <w:u w:val="none"/>
          <w:lang w:val="en-US" w:eastAsia="zh-CN"/>
        </w:rPr>
        <w:t>查询结果为准</w:t>
      </w:r>
      <w:r>
        <w:rPr>
          <w:rFonts w:hint="eastAsia" w:cs="Times New Roman"/>
          <w:i w:val="0"/>
          <w:iCs w:val="0"/>
          <w:color w:val="auto"/>
          <w:kern w:val="0"/>
          <w:sz w:val="24"/>
          <w:szCs w:val="24"/>
          <w:highlight w:val="none"/>
          <w:u w:val="none"/>
          <w:lang w:eastAsia="zh-CN"/>
        </w:rPr>
        <w:t>）；</w:t>
      </w:r>
    </w:p>
    <w:p w14:paraId="26C1C350">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none"/>
          <w:lang w:eastAsia="zh-CN"/>
        </w:rPr>
      </w:pPr>
      <w:r>
        <w:rPr>
          <w:rFonts w:hint="eastAsia" w:cs="Times New Roman"/>
          <w:i w:val="0"/>
          <w:iCs w:val="0"/>
          <w:color w:val="auto"/>
          <w:kern w:val="0"/>
          <w:sz w:val="24"/>
          <w:szCs w:val="24"/>
          <w:highlight w:val="none"/>
          <w:u w:val="none"/>
          <w:lang w:eastAsia="zh-CN"/>
        </w:rPr>
        <w:sym w:font="Wingdings 2" w:char="00A3"/>
      </w:r>
      <w:r>
        <w:rPr>
          <w:rFonts w:hint="eastAsia" w:cs="Times New Roman"/>
          <w:i w:val="0"/>
          <w:iCs w:val="0"/>
          <w:color w:val="auto"/>
          <w:kern w:val="0"/>
          <w:sz w:val="24"/>
          <w:szCs w:val="24"/>
          <w:highlight w:val="none"/>
          <w:u w:val="none"/>
          <w:lang w:eastAsia="zh-CN"/>
        </w:rPr>
        <w:t>3.1</w:t>
      </w:r>
      <w:r>
        <w:rPr>
          <w:rFonts w:hint="eastAsia" w:cs="Times New Roman"/>
          <w:i w:val="0"/>
          <w:iCs w:val="0"/>
          <w:color w:val="auto"/>
          <w:kern w:val="0"/>
          <w:sz w:val="24"/>
          <w:szCs w:val="24"/>
          <w:highlight w:val="none"/>
          <w:u w:val="none"/>
          <w:lang w:val="en-US" w:eastAsia="zh-CN"/>
        </w:rPr>
        <w:t>4</w:t>
      </w:r>
      <w:r>
        <w:rPr>
          <w:rFonts w:hint="eastAsia" w:cs="Times New Roman"/>
          <w:i w:val="0"/>
          <w:iCs w:val="0"/>
          <w:color w:val="auto"/>
          <w:kern w:val="0"/>
          <w:sz w:val="24"/>
          <w:szCs w:val="24"/>
          <w:highlight w:val="none"/>
          <w:u w:val="none"/>
          <w:lang w:eastAsia="zh-CN"/>
        </w:rPr>
        <w:t>省外企业应按规定办理“省外建设工程企业进冀信息报送”手续；</w:t>
      </w:r>
    </w:p>
    <w:p w14:paraId="3461A9D0">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sym w:font="Wingdings 2" w:char="0052"/>
      </w:r>
      <w:r>
        <w:rPr>
          <w:rFonts w:hint="eastAsia" w:cs="Times New Roman"/>
          <w:i w:val="0"/>
          <w:iCs w:val="0"/>
          <w:color w:val="auto"/>
          <w:kern w:val="0"/>
          <w:sz w:val="24"/>
          <w:szCs w:val="24"/>
          <w:u w:val="none"/>
        </w:rPr>
        <w:t>3.1</w:t>
      </w:r>
      <w:r>
        <w:rPr>
          <w:rFonts w:hint="eastAsia" w:cs="Times New Roman"/>
          <w:i w:val="0"/>
          <w:iCs w:val="0"/>
          <w:color w:val="auto"/>
          <w:kern w:val="0"/>
          <w:sz w:val="24"/>
          <w:szCs w:val="24"/>
          <w:u w:val="none"/>
          <w:lang w:val="en-US" w:eastAsia="zh-CN"/>
        </w:rPr>
        <w:t>5</w:t>
      </w:r>
      <w:r>
        <w:rPr>
          <w:rFonts w:hint="eastAsia" w:cs="Times New Roman"/>
          <w:i w:val="0"/>
          <w:iCs w:val="0"/>
          <w:color w:val="auto"/>
          <w:kern w:val="0"/>
          <w:sz w:val="24"/>
          <w:szCs w:val="24"/>
          <w:u w:val="single"/>
          <w:lang w:val="en-US" w:eastAsia="zh-CN"/>
        </w:rPr>
        <w:t>落实政府采购政策：本项目为预留一定比例份额专门面向中小企业采购的适用招标投标法的政府采购工程建设项目。预留份额为本项目预算金额的40%专门面向中小企业采购，其中预留给小微企业的比例不低于60%。投标人为大型企业的，须承诺分包给中小企业的份额不低于合同金额的40%（含联合体中的中小企业所占份额），且投标人承诺分包给小型、微型企业的份额不得低于承诺分包给中小企业份额的60%（含联合体中的小微企业所占份额）。投标人为中型企业的，须承诺分包给小型、微型企业的份额不低于合同金额的24%（含联合体中的小微企业所占份额）。若投标人为小微企业，无需分包</w:t>
      </w:r>
      <w:r>
        <w:rPr>
          <w:rFonts w:hint="eastAsia" w:cs="Times New Roman"/>
          <w:i w:val="0"/>
          <w:iCs w:val="0"/>
          <w:color w:val="auto"/>
          <w:kern w:val="0"/>
          <w:sz w:val="24"/>
          <w:szCs w:val="24"/>
          <w:u w:val="none"/>
        </w:rPr>
        <w:t>。</w:t>
      </w:r>
    </w:p>
    <w:p w14:paraId="1974A20F">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rPr>
      </w:pPr>
      <w:bookmarkStart w:id="27" w:name="_Toc1826"/>
      <w:r>
        <w:rPr>
          <w:rFonts w:hint="eastAsia" w:ascii="方正黑体_GBK" w:hAnsi="方正黑体_GBK" w:eastAsia="方正黑体_GBK" w:cs="方正黑体_GBK"/>
          <w:color w:val="auto"/>
          <w:kern w:val="0"/>
          <w:sz w:val="24"/>
          <w:szCs w:val="24"/>
        </w:rPr>
        <w:t>4.招标文件的获取</w:t>
      </w:r>
      <w:bookmarkEnd w:id="27"/>
    </w:p>
    <w:p w14:paraId="62204CC1">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olor w:val="auto"/>
          <w:kern w:val="0"/>
          <w:sz w:val="24"/>
          <w:szCs w:val="24"/>
          <w:u w:val="none"/>
          <w:lang w:val="en-US" w:eastAsia="zh-CN"/>
        </w:rPr>
      </w:pPr>
      <w:r>
        <w:rPr>
          <w:rFonts w:hint="eastAsia" w:eastAsia="宋体" w:cs="Times New Roman"/>
          <w:color w:val="auto"/>
          <w:kern w:val="0"/>
          <w:sz w:val="24"/>
          <w:szCs w:val="24"/>
          <w:lang w:val="en-US" w:eastAsia="zh-CN"/>
        </w:rPr>
        <w:t>4.1</w:t>
      </w:r>
      <w:r>
        <w:rPr>
          <w:rFonts w:hint="eastAsia" w:ascii="宋体" w:hAnsi="宋体" w:eastAsia="宋体" w:cs="宋体"/>
          <w:color w:val="auto"/>
          <w:kern w:val="0"/>
          <w:sz w:val="24"/>
          <w:szCs w:val="24"/>
          <w:lang w:eastAsia="zh-CN"/>
        </w:rPr>
        <w:t>凡有意参加投标者，请于</w:t>
      </w:r>
      <w:r>
        <w:rPr>
          <w:rFonts w:hint="eastAsia" w:ascii="宋体" w:hAnsi="宋体" w:cs="宋体"/>
          <w:color w:val="auto"/>
          <w:kern w:val="0"/>
          <w:sz w:val="24"/>
          <w:szCs w:val="24"/>
          <w:u w:val="single"/>
          <w:lang w:val="en-US" w:eastAsia="zh-CN"/>
        </w:rPr>
        <w:t>2025</w:t>
      </w:r>
      <w:r>
        <w:rPr>
          <w:rFonts w:hint="eastAsia" w:ascii="宋体" w:hAnsi="宋体" w:eastAsia="宋体" w:cs="宋体"/>
          <w:color w:val="auto"/>
          <w:kern w:val="0"/>
          <w:sz w:val="24"/>
          <w:szCs w:val="24"/>
          <w:lang w:val="en-US" w:eastAsia="zh-CN"/>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日</w:t>
      </w:r>
      <w:r>
        <w:rPr>
          <w:rFonts w:hint="eastAsia" w:ascii="宋体" w:hAnsi="宋体" w:cs="宋体"/>
          <w:color w:val="auto"/>
          <w:kern w:val="0"/>
          <w:sz w:val="24"/>
          <w:szCs w:val="24"/>
          <w:u w:val="single"/>
          <w:lang w:val="en-US" w:eastAsia="zh-CN"/>
        </w:rPr>
        <w:t>09</w:t>
      </w:r>
      <w:r>
        <w:rPr>
          <w:rFonts w:hint="eastAsia" w:ascii="宋体" w:hAnsi="宋体" w:eastAsia="宋体" w:cs="宋体"/>
          <w:color w:val="auto"/>
          <w:kern w:val="0"/>
          <w:sz w:val="24"/>
          <w:szCs w:val="24"/>
          <w:lang w:val="en-US" w:eastAsia="zh-CN"/>
        </w:rPr>
        <w:t>时</w:t>
      </w:r>
      <w:r>
        <w:rPr>
          <w:rFonts w:hint="eastAsia" w:ascii="宋体" w:hAnsi="宋体" w:cs="宋体"/>
          <w:color w:val="auto"/>
          <w:kern w:val="0"/>
          <w:sz w:val="24"/>
          <w:szCs w:val="24"/>
          <w:u w:val="single"/>
          <w:lang w:val="en-US" w:eastAsia="zh-CN"/>
        </w:rPr>
        <w:t>00</w:t>
      </w:r>
      <w:r>
        <w:rPr>
          <w:rFonts w:hint="eastAsia" w:ascii="宋体" w:hAnsi="宋体" w:eastAsia="宋体" w:cs="宋体"/>
          <w:color w:val="auto"/>
          <w:kern w:val="0"/>
          <w:sz w:val="24"/>
          <w:szCs w:val="24"/>
          <w:lang w:val="en-US" w:eastAsia="zh-CN"/>
        </w:rPr>
        <w:t>分至</w:t>
      </w:r>
      <w:r>
        <w:rPr>
          <w:rFonts w:hint="eastAsia" w:ascii="宋体" w:hAnsi="宋体" w:cs="宋体"/>
          <w:color w:val="auto"/>
          <w:kern w:val="0"/>
          <w:sz w:val="24"/>
          <w:szCs w:val="24"/>
          <w:u w:val="single"/>
          <w:lang w:val="en-US" w:eastAsia="zh-CN"/>
        </w:rPr>
        <w:t>2025</w:t>
      </w:r>
      <w:r>
        <w:rPr>
          <w:rFonts w:hint="eastAsia" w:ascii="宋体" w:hAnsi="宋体" w:eastAsia="宋体" w:cs="宋体"/>
          <w:color w:val="auto"/>
          <w:kern w:val="0"/>
          <w:sz w:val="24"/>
          <w:szCs w:val="24"/>
          <w:lang w:val="en-US" w:eastAsia="zh-CN"/>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日</w:t>
      </w:r>
      <w:r>
        <w:rPr>
          <w:rFonts w:hint="eastAsia" w:ascii="宋体" w:hAnsi="宋体" w:cs="宋体"/>
          <w:color w:val="auto"/>
          <w:kern w:val="0"/>
          <w:sz w:val="24"/>
          <w:szCs w:val="24"/>
          <w:u w:val="single"/>
          <w:lang w:val="en-US" w:eastAsia="zh-CN"/>
        </w:rPr>
        <w:t>17</w:t>
      </w:r>
      <w:r>
        <w:rPr>
          <w:rFonts w:hint="eastAsia" w:ascii="宋体" w:hAnsi="宋体" w:eastAsia="宋体" w:cs="宋体"/>
          <w:color w:val="auto"/>
          <w:kern w:val="0"/>
          <w:sz w:val="24"/>
          <w:szCs w:val="24"/>
          <w:lang w:val="en-US" w:eastAsia="zh-CN"/>
        </w:rPr>
        <w:t>时</w:t>
      </w:r>
      <w:r>
        <w:rPr>
          <w:rFonts w:hint="eastAsia" w:ascii="宋体" w:hAnsi="宋体" w:cs="宋体"/>
          <w:color w:val="auto"/>
          <w:kern w:val="0"/>
          <w:sz w:val="24"/>
          <w:szCs w:val="24"/>
          <w:u w:val="single"/>
          <w:lang w:val="en-US" w:eastAsia="zh-CN"/>
        </w:rPr>
        <w:t>30</w:t>
      </w:r>
      <w:r>
        <w:rPr>
          <w:rFonts w:hint="eastAsia" w:ascii="宋体" w:hAnsi="宋体" w:eastAsia="宋体" w:cs="宋体"/>
          <w:color w:val="auto"/>
          <w:kern w:val="0"/>
          <w:sz w:val="24"/>
          <w:szCs w:val="24"/>
          <w:lang w:val="en-US" w:eastAsia="zh-CN"/>
        </w:rPr>
        <w:t>分，登录</w:t>
      </w:r>
      <w:r>
        <w:rPr>
          <w:rFonts w:hint="eastAsia" w:ascii="宋体" w:hAnsi="宋体" w:eastAsia="宋体" w:cs="宋体"/>
          <w:color w:val="auto"/>
          <w:kern w:val="0"/>
          <w:sz w:val="24"/>
          <w:szCs w:val="24"/>
          <w:u w:val="single"/>
          <w:lang w:val="en-US" w:eastAsia="zh-CN"/>
        </w:rPr>
        <w:t>河北省公共资源交易服务平台－辛集市公共资源电子交易系统</w:t>
      </w:r>
      <w:r>
        <w:rPr>
          <w:rFonts w:hint="eastAsia" w:ascii="宋体" w:hAnsi="宋体" w:eastAsia="宋体" w:cs="宋体"/>
          <w:color w:val="auto"/>
          <w:kern w:val="0"/>
          <w:sz w:val="24"/>
          <w:szCs w:val="24"/>
          <w:lang w:val="en-US" w:eastAsia="zh-CN"/>
        </w:rPr>
        <w:t>获取招标文件;</w:t>
      </w:r>
    </w:p>
    <w:p w14:paraId="15AC5502">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olor w:val="auto"/>
          <w:kern w:val="0"/>
          <w:sz w:val="24"/>
          <w:szCs w:val="24"/>
          <w:u w:val="none"/>
          <w:lang w:eastAsia="zh-CN"/>
        </w:rPr>
      </w:pPr>
      <w:r>
        <w:rPr>
          <w:rFonts w:hint="eastAsia" w:eastAsia="宋体" w:cs="Times New Roman"/>
          <w:color w:val="auto"/>
          <w:kern w:val="0"/>
          <w:sz w:val="24"/>
          <w:szCs w:val="24"/>
          <w:lang w:val="en-US" w:eastAsia="zh-CN"/>
        </w:rPr>
        <w:t>4.2</w:t>
      </w:r>
      <w:r>
        <w:rPr>
          <w:rFonts w:hint="eastAsia" w:ascii="宋体" w:hAnsi="宋体" w:cs="宋体"/>
          <w:i w:val="0"/>
          <w:iCs w:val="0"/>
          <w:color w:val="auto"/>
          <w:kern w:val="0"/>
          <w:sz w:val="24"/>
          <w:szCs w:val="24"/>
          <w:u w:val="none"/>
          <w:lang w:eastAsia="zh-CN"/>
        </w:rPr>
        <w:t>对招标文件澄清或者修改文件</w:t>
      </w:r>
      <w:r>
        <w:rPr>
          <w:rFonts w:hint="eastAsia" w:ascii="宋体" w:hAnsi="宋体" w:eastAsia="宋体" w:cs="宋体"/>
          <w:i w:val="0"/>
          <w:iCs w:val="0"/>
          <w:color w:val="auto"/>
          <w:kern w:val="0"/>
          <w:sz w:val="24"/>
          <w:szCs w:val="24"/>
          <w:u w:val="none"/>
          <w:lang w:eastAsia="zh-CN"/>
        </w:rPr>
        <w:t>通过</w:t>
      </w:r>
      <w:r>
        <w:rPr>
          <w:rFonts w:hint="eastAsia" w:ascii="宋体" w:hAnsi="宋体" w:eastAsia="宋体" w:cs="宋体"/>
          <w:i w:val="0"/>
          <w:iCs w:val="0"/>
          <w:color w:val="auto"/>
          <w:kern w:val="0"/>
          <w:sz w:val="24"/>
          <w:szCs w:val="24"/>
          <w:u w:val="single"/>
          <w:lang w:eastAsia="zh-CN"/>
        </w:rPr>
        <w:t>河北省公共资源交易服务平台－辛集市公共资源电子交易系统</w:t>
      </w:r>
      <w:r>
        <w:rPr>
          <w:rFonts w:hint="eastAsia" w:ascii="宋体" w:hAnsi="宋体" w:eastAsia="宋体" w:cs="宋体"/>
          <w:color w:val="auto"/>
          <w:kern w:val="0"/>
          <w:sz w:val="24"/>
          <w:szCs w:val="24"/>
          <w:lang w:val="en-US" w:eastAsia="zh-CN"/>
        </w:rPr>
        <w:t>获取。</w:t>
      </w:r>
    </w:p>
    <w:p w14:paraId="0787C360">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lang w:eastAsia="zh-CN"/>
        </w:rPr>
      </w:pPr>
      <w:r>
        <w:rPr>
          <w:rFonts w:hint="eastAsia" w:eastAsia="宋体" w:cs="Times New Roman"/>
          <w:color w:val="auto"/>
          <w:kern w:val="0"/>
          <w:sz w:val="24"/>
          <w:szCs w:val="24"/>
          <w:lang w:val="en-US" w:eastAsia="zh-CN"/>
        </w:rPr>
        <w:t>4.3</w:t>
      </w:r>
      <w:r>
        <w:rPr>
          <w:rFonts w:hint="eastAsia" w:ascii="宋体" w:hAnsi="宋体" w:eastAsia="宋体" w:cs="宋体"/>
          <w:color w:val="auto"/>
          <w:kern w:val="0"/>
          <w:sz w:val="24"/>
          <w:szCs w:val="24"/>
          <w:lang w:eastAsia="zh-CN"/>
        </w:rPr>
        <w:t>招标文件每套售价</w:t>
      </w:r>
      <w:r>
        <w:rPr>
          <w:rFonts w:hint="eastAsia" w:ascii="宋体" w:hAnsi="宋体" w:cs="宋体"/>
          <w:color w:val="auto"/>
          <w:kern w:val="0"/>
          <w:sz w:val="24"/>
          <w:szCs w:val="24"/>
          <w:u w:val="single"/>
          <w:lang w:val="en-US" w:eastAsia="zh-CN"/>
        </w:rPr>
        <w:t>0</w:t>
      </w:r>
      <w:r>
        <w:rPr>
          <w:rFonts w:hint="eastAsia" w:ascii="宋体" w:hAnsi="宋体" w:eastAsia="宋体" w:cs="宋体"/>
          <w:color w:val="auto"/>
          <w:kern w:val="0"/>
          <w:sz w:val="24"/>
          <w:szCs w:val="24"/>
          <w:lang w:val="en-US" w:eastAsia="zh-CN"/>
        </w:rPr>
        <w:t>元，售后不退。技术资料押金</w:t>
      </w:r>
      <w:r>
        <w:rPr>
          <w:rFonts w:hint="eastAsia" w:ascii="宋体" w:hAnsi="宋体" w:cs="宋体"/>
          <w:color w:val="auto"/>
          <w:kern w:val="0"/>
          <w:sz w:val="24"/>
          <w:szCs w:val="24"/>
          <w:u w:val="single"/>
          <w:lang w:val="en-US" w:eastAsia="zh-CN"/>
        </w:rPr>
        <w:t>0</w:t>
      </w:r>
      <w:r>
        <w:rPr>
          <w:rFonts w:hint="eastAsia" w:ascii="宋体" w:hAnsi="宋体" w:eastAsia="宋体" w:cs="宋体"/>
          <w:color w:val="auto"/>
          <w:kern w:val="0"/>
          <w:sz w:val="24"/>
          <w:szCs w:val="24"/>
          <w:lang w:val="en-US" w:eastAsia="zh-CN"/>
        </w:rPr>
        <w:t>元，在退还技术资料时退还（不计利息）。</w:t>
      </w:r>
    </w:p>
    <w:p w14:paraId="760CBB7F">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lang w:eastAsia="zh-CN"/>
        </w:rPr>
      </w:pPr>
      <w:bookmarkStart w:id="28" w:name="_Toc21121"/>
      <w:r>
        <w:rPr>
          <w:rFonts w:hint="eastAsia" w:ascii="方正黑体_GBK" w:hAnsi="方正黑体_GBK" w:eastAsia="方正黑体_GBK" w:cs="方正黑体_GBK"/>
          <w:color w:val="auto"/>
          <w:kern w:val="0"/>
          <w:sz w:val="24"/>
          <w:szCs w:val="24"/>
        </w:rPr>
        <w:t>5.投标文件的递交</w:t>
      </w:r>
      <w:bookmarkEnd w:id="28"/>
    </w:p>
    <w:p w14:paraId="677B671B">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ascii="方正黑体_GBK" w:hAnsi="方正黑体_GBK" w:eastAsia="方正黑体_GBK" w:cs="方正黑体_GBK"/>
          <w:color w:val="auto"/>
          <w:kern w:val="0"/>
          <w:sz w:val="24"/>
          <w:szCs w:val="24"/>
        </w:rPr>
      </w:pPr>
      <w:r>
        <w:rPr>
          <w:rFonts w:hint="eastAsia" w:eastAsia="宋体"/>
          <w:color w:val="auto"/>
          <w:kern w:val="0"/>
          <w:sz w:val="24"/>
          <w:szCs w:val="24"/>
          <w:lang w:val="en-US" w:eastAsia="zh-CN"/>
        </w:rPr>
        <w:t>5.1投标文件递交的截止时间（投标截止时间，下同）为</w:t>
      </w:r>
      <w:r>
        <w:rPr>
          <w:rFonts w:hint="eastAsia"/>
          <w:color w:val="auto"/>
          <w:kern w:val="0"/>
          <w:sz w:val="24"/>
          <w:szCs w:val="24"/>
          <w:u w:val="single"/>
          <w:lang w:val="en-US" w:eastAsia="zh-CN"/>
        </w:rPr>
        <w:t>2025</w:t>
      </w:r>
      <w:r>
        <w:rPr>
          <w:rFonts w:hint="eastAsia" w:eastAsia="宋体"/>
          <w:color w:val="auto"/>
          <w:kern w:val="0"/>
          <w:sz w:val="24"/>
          <w:szCs w:val="24"/>
          <w:lang w:val="en-US" w:eastAsia="zh-CN"/>
        </w:rPr>
        <w:t>年</w:t>
      </w:r>
      <w:r>
        <w:rPr>
          <w:rFonts w:hint="eastAsia" w:eastAsia="宋体"/>
          <w:color w:val="auto"/>
          <w:kern w:val="0"/>
          <w:sz w:val="24"/>
          <w:szCs w:val="24"/>
          <w:u w:val="single"/>
          <w:lang w:val="en-US" w:eastAsia="zh-CN"/>
        </w:rPr>
        <w:t xml:space="preserve">   </w:t>
      </w:r>
      <w:r>
        <w:rPr>
          <w:rFonts w:hint="eastAsia" w:eastAsia="宋体"/>
          <w:color w:val="auto"/>
          <w:kern w:val="0"/>
          <w:sz w:val="24"/>
          <w:szCs w:val="24"/>
          <w:lang w:val="en-US" w:eastAsia="zh-CN"/>
        </w:rPr>
        <w:t>月</w:t>
      </w:r>
      <w:r>
        <w:rPr>
          <w:rFonts w:hint="eastAsia" w:eastAsia="宋体"/>
          <w:color w:val="auto"/>
          <w:kern w:val="0"/>
          <w:sz w:val="24"/>
          <w:szCs w:val="24"/>
          <w:u w:val="single"/>
          <w:lang w:val="en-US" w:eastAsia="zh-CN"/>
        </w:rPr>
        <w:t xml:space="preserve">   </w:t>
      </w:r>
      <w:r>
        <w:rPr>
          <w:rFonts w:hint="eastAsia" w:eastAsia="宋体"/>
          <w:color w:val="auto"/>
          <w:kern w:val="0"/>
          <w:sz w:val="24"/>
          <w:szCs w:val="24"/>
          <w:lang w:val="en-US" w:eastAsia="zh-CN"/>
        </w:rPr>
        <w:t>日</w:t>
      </w:r>
      <w:r>
        <w:rPr>
          <w:rFonts w:hint="eastAsia"/>
          <w:color w:val="auto"/>
          <w:kern w:val="0"/>
          <w:sz w:val="24"/>
          <w:szCs w:val="24"/>
          <w:u w:val="single"/>
          <w:lang w:val="en-US" w:eastAsia="zh-CN"/>
        </w:rPr>
        <w:t>09</w:t>
      </w:r>
      <w:r>
        <w:rPr>
          <w:rFonts w:hint="eastAsia" w:eastAsia="宋体"/>
          <w:color w:val="auto"/>
          <w:kern w:val="0"/>
          <w:sz w:val="24"/>
          <w:szCs w:val="24"/>
          <w:lang w:val="en-US" w:eastAsia="zh-CN"/>
        </w:rPr>
        <w:t>时</w:t>
      </w:r>
      <w:r>
        <w:rPr>
          <w:rFonts w:hint="eastAsia"/>
          <w:color w:val="auto"/>
          <w:kern w:val="0"/>
          <w:sz w:val="24"/>
          <w:szCs w:val="24"/>
          <w:u w:val="single"/>
          <w:lang w:val="en-US" w:eastAsia="zh-CN"/>
        </w:rPr>
        <w:t>00</w:t>
      </w:r>
      <w:r>
        <w:rPr>
          <w:rFonts w:hint="eastAsia" w:eastAsia="宋体"/>
          <w:color w:val="auto"/>
          <w:kern w:val="0"/>
          <w:sz w:val="24"/>
          <w:szCs w:val="24"/>
          <w:lang w:val="en-US" w:eastAsia="zh-CN"/>
        </w:rPr>
        <w:t>分</w:t>
      </w:r>
      <w:r>
        <w:rPr>
          <w:rFonts w:hint="eastAsia"/>
          <w:color w:val="auto"/>
          <w:kern w:val="0"/>
          <w:sz w:val="24"/>
          <w:szCs w:val="24"/>
          <w:lang w:val="en-US" w:eastAsia="zh-CN"/>
        </w:rPr>
        <w:t>。</w:t>
      </w:r>
      <w:r>
        <w:rPr>
          <w:rFonts w:hint="eastAsia" w:ascii="宋体" w:hAnsi="宋体" w:eastAsia="宋体" w:cs="宋体"/>
          <w:color w:val="auto"/>
          <w:kern w:val="0"/>
          <w:sz w:val="24"/>
          <w:szCs w:val="24"/>
        </w:rPr>
        <w:t>投标人应在投标截止时间前通过</w:t>
      </w:r>
      <w:r>
        <w:rPr>
          <w:rFonts w:hint="eastAsia" w:ascii="宋体" w:hAnsi="宋体" w:eastAsia="宋体" w:cs="宋体"/>
          <w:color w:val="auto"/>
          <w:kern w:val="0"/>
          <w:sz w:val="24"/>
          <w:szCs w:val="24"/>
          <w:u w:val="single"/>
        </w:rPr>
        <w:t>河北省公共资源交易服务平台－辛集市公共资源电子交易系统</w:t>
      </w:r>
      <w:r>
        <w:rPr>
          <w:rFonts w:hint="eastAsia" w:ascii="宋体" w:hAnsi="宋体" w:cs="宋体"/>
          <w:color w:val="auto"/>
          <w:kern w:val="0"/>
          <w:sz w:val="24"/>
          <w:szCs w:val="24"/>
          <w:u w:val="single"/>
          <w:lang w:eastAsia="zh-CN"/>
        </w:rPr>
        <w:t>（如因投标人自身原因未能及时注册、下载相关资料、上传电子投标文件，导致无法参加投标或投标被否决的，其后果由投标单位自行负责）</w:t>
      </w:r>
      <w:r>
        <w:rPr>
          <w:rFonts w:hint="eastAsia" w:ascii="宋体" w:hAnsi="宋体" w:eastAsia="宋体" w:cs="宋体"/>
          <w:color w:val="auto"/>
          <w:kern w:val="0"/>
          <w:sz w:val="24"/>
          <w:szCs w:val="24"/>
        </w:rPr>
        <w:t>递交电子投标文件</w:t>
      </w:r>
      <w:r>
        <w:rPr>
          <w:rFonts w:hint="eastAsia" w:ascii="方正黑体_GBK" w:hAnsi="方正黑体_GBK" w:eastAsia="方正黑体_GBK" w:cs="方正黑体_GBK"/>
          <w:color w:val="auto"/>
          <w:kern w:val="0"/>
          <w:sz w:val="24"/>
          <w:szCs w:val="24"/>
        </w:rPr>
        <w:t>。</w:t>
      </w:r>
    </w:p>
    <w:p w14:paraId="5DC00CCB">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ascii="方正黑体_GBK" w:hAnsi="方正黑体_GBK" w:eastAsia="方正黑体_GBK" w:cs="方正黑体_GBK"/>
          <w:color w:val="auto"/>
          <w:kern w:val="0"/>
          <w:sz w:val="24"/>
          <w:szCs w:val="24"/>
          <w:lang w:val="en-US" w:eastAsia="zh-CN"/>
        </w:rPr>
      </w:pPr>
      <w:r>
        <w:rPr>
          <w:rFonts w:hint="eastAsia"/>
          <w:color w:val="auto"/>
          <w:kern w:val="0"/>
          <w:sz w:val="24"/>
          <w:szCs w:val="24"/>
          <w:lang w:val="en-US" w:eastAsia="zh-CN"/>
        </w:rPr>
        <w:t>5.2</w:t>
      </w:r>
      <w:r>
        <w:rPr>
          <w:color w:val="auto"/>
          <w:kern w:val="0"/>
          <w:sz w:val="24"/>
          <w:szCs w:val="24"/>
        </w:rPr>
        <w:t>逾期</w:t>
      </w:r>
      <w:r>
        <w:rPr>
          <w:rFonts w:hint="eastAsia"/>
          <w:color w:val="auto"/>
          <w:kern w:val="0"/>
          <w:sz w:val="24"/>
          <w:szCs w:val="24"/>
          <w:lang w:eastAsia="zh-CN"/>
        </w:rPr>
        <w:t>递交至</w:t>
      </w:r>
      <w:r>
        <w:rPr>
          <w:rFonts w:hint="eastAsia" w:ascii="宋体" w:hAnsi="宋体" w:eastAsia="宋体" w:cs="宋体"/>
          <w:color w:val="auto"/>
          <w:kern w:val="0"/>
          <w:sz w:val="24"/>
          <w:szCs w:val="24"/>
          <w:u w:val="single"/>
        </w:rPr>
        <w:t>河北省公共资源交易服务平台－辛集市公共资源电子交易系统</w:t>
      </w:r>
      <w:r>
        <w:rPr>
          <w:color w:val="auto"/>
          <w:kern w:val="0"/>
          <w:sz w:val="24"/>
          <w:szCs w:val="24"/>
        </w:rPr>
        <w:t>的投标文件</w:t>
      </w:r>
      <w:r>
        <w:rPr>
          <w:rFonts w:hint="eastAsia"/>
          <w:color w:val="auto"/>
          <w:kern w:val="0"/>
          <w:sz w:val="24"/>
          <w:szCs w:val="24"/>
          <w:lang w:eastAsia="zh-CN"/>
        </w:rPr>
        <w:t>将予以拒收</w:t>
      </w:r>
      <w:r>
        <w:rPr>
          <w:color w:val="auto"/>
          <w:kern w:val="0"/>
          <w:sz w:val="24"/>
          <w:szCs w:val="24"/>
        </w:rPr>
        <w:t>。</w:t>
      </w:r>
    </w:p>
    <w:p w14:paraId="3EEF9F1F">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国标黑体" w:hAnsi="国标黑体" w:eastAsia="国标黑体" w:cs="国标黑体"/>
          <w:color w:val="auto"/>
          <w:kern w:val="0"/>
          <w:sz w:val="24"/>
          <w:szCs w:val="24"/>
        </w:rPr>
      </w:pPr>
      <w:bookmarkStart w:id="29" w:name="_Toc10635"/>
      <w:r>
        <w:rPr>
          <w:rFonts w:hint="eastAsia" w:ascii="国标黑体" w:hAnsi="国标黑体" w:eastAsia="国标黑体" w:cs="国标黑体"/>
          <w:color w:val="auto"/>
          <w:kern w:val="0"/>
          <w:sz w:val="24"/>
          <w:szCs w:val="24"/>
        </w:rPr>
        <w:t>6.发布公告的媒介</w:t>
      </w:r>
      <w:bookmarkEnd w:id="29"/>
    </w:p>
    <w:p w14:paraId="7E7D73D2">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color w:val="auto"/>
          <w:kern w:val="0"/>
          <w:sz w:val="24"/>
          <w:szCs w:val="24"/>
        </w:rPr>
      </w:pPr>
      <w:r>
        <w:rPr>
          <w:color w:val="auto"/>
          <w:kern w:val="0"/>
          <w:sz w:val="24"/>
          <w:szCs w:val="24"/>
        </w:rPr>
        <w:t>本次招标公告同时在</w:t>
      </w:r>
      <w:r>
        <w:rPr>
          <w:rFonts w:hint="eastAsia"/>
          <w:color w:val="auto"/>
          <w:kern w:val="0"/>
          <w:sz w:val="24"/>
          <w:szCs w:val="24"/>
          <w:u w:val="single"/>
        </w:rPr>
        <w:t>河北省招标投标公共服务平台、河北省公共资源交易服务平台、中国河北政府采购网</w:t>
      </w:r>
      <w:r>
        <w:rPr>
          <w:color w:val="auto"/>
          <w:kern w:val="0"/>
          <w:sz w:val="24"/>
          <w:szCs w:val="24"/>
        </w:rPr>
        <w:t>上发布。</w:t>
      </w:r>
    </w:p>
    <w:p w14:paraId="5DBE530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lang w:val="en-US" w:eastAsia="zh-CN"/>
        </w:rPr>
      </w:pPr>
      <w:bookmarkStart w:id="30" w:name="_Toc31785"/>
      <w:r>
        <w:rPr>
          <w:rFonts w:hint="eastAsia" w:ascii="方正黑体_GBK" w:hAnsi="方正黑体_GBK" w:eastAsia="方正黑体_GBK" w:cs="方正黑体_GBK"/>
          <w:color w:val="auto"/>
          <w:kern w:val="0"/>
          <w:sz w:val="24"/>
          <w:szCs w:val="24"/>
          <w:lang w:val="en-US" w:eastAsia="zh-CN"/>
        </w:rPr>
        <w:t>7.提出异议的渠道和方式</w:t>
      </w:r>
      <w:bookmarkEnd w:id="30"/>
    </w:p>
    <w:p w14:paraId="657D0DB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24"/>
          <w:szCs w:val="24"/>
          <w:u w:val="none"/>
          <w:lang w:val="en-US" w:eastAsia="zh-CN"/>
        </w:rPr>
        <w:t>对招标文件有异议的可通过</w:t>
      </w:r>
      <w:r>
        <w:rPr>
          <w:rFonts w:hint="eastAsia" w:ascii="宋体" w:hAnsi="宋体" w:eastAsia="宋体" w:cs="宋体"/>
          <w:color w:val="auto"/>
          <w:kern w:val="0"/>
          <w:sz w:val="24"/>
          <w:szCs w:val="24"/>
          <w:u w:val="single"/>
          <w:lang w:val="en-US" w:eastAsia="zh-CN"/>
        </w:rPr>
        <w:t>河北省公共资源交易服务平台-辛集市公共资源电子交易系统在线提出或</w:t>
      </w:r>
      <w:r>
        <w:rPr>
          <w:rFonts w:hint="eastAsia" w:ascii="宋体" w:hAnsi="宋体" w:eastAsia="宋体" w:cs="宋体"/>
          <w:color w:val="auto"/>
          <w:kern w:val="0"/>
          <w:sz w:val="24"/>
          <w:szCs w:val="24"/>
          <w:u w:val="none"/>
          <w:lang w:val="en-US" w:eastAsia="zh-CN"/>
        </w:rPr>
        <w:t>向</w:t>
      </w:r>
      <w:r>
        <w:rPr>
          <w:rFonts w:hint="eastAsia" w:ascii="宋体" w:hAnsi="宋体" w:eastAsia="宋体" w:cs="宋体"/>
          <w:i w:val="0"/>
          <w:iCs w:val="0"/>
          <w:color w:val="auto"/>
          <w:kern w:val="0"/>
          <w:sz w:val="24"/>
          <w:szCs w:val="24"/>
          <w:u w:val="single"/>
          <w:lang w:val="en-US" w:eastAsia="zh-CN"/>
        </w:rPr>
        <w:t>招标人或招标代理机构</w:t>
      </w:r>
      <w:r>
        <w:rPr>
          <w:rFonts w:hint="eastAsia" w:ascii="宋体" w:hAnsi="宋体" w:eastAsia="宋体" w:cs="宋体"/>
          <w:color w:val="auto"/>
          <w:kern w:val="0"/>
          <w:sz w:val="24"/>
          <w:szCs w:val="24"/>
          <w:u w:val="none"/>
          <w:lang w:val="en-US" w:eastAsia="zh-CN"/>
        </w:rPr>
        <w:t>提出，招标人：</w:t>
      </w:r>
      <w:r>
        <w:rPr>
          <w:rFonts w:hint="eastAsia" w:ascii="宋体" w:hAnsi="宋体" w:eastAsia="宋体" w:cs="宋体"/>
          <w:color w:val="auto"/>
          <w:kern w:val="0"/>
          <w:sz w:val="24"/>
          <w:szCs w:val="24"/>
          <w:u w:val="single"/>
          <w:lang w:val="en-US" w:eastAsia="zh-CN"/>
        </w:rPr>
        <w:t>河北女子职业技术学院</w:t>
      </w:r>
      <w:r>
        <w:rPr>
          <w:rFonts w:hint="eastAsia" w:ascii="宋体" w:hAnsi="宋体" w:eastAsia="宋体" w:cs="宋体"/>
          <w:color w:val="auto"/>
          <w:kern w:val="0"/>
          <w:sz w:val="24"/>
          <w:szCs w:val="24"/>
          <w:u w:val="none"/>
          <w:lang w:val="en-US" w:eastAsia="zh-CN"/>
        </w:rPr>
        <w:t>，地址：</w:t>
      </w:r>
      <w:r>
        <w:rPr>
          <w:rFonts w:hint="eastAsia" w:ascii="宋体" w:hAnsi="宋体" w:eastAsia="宋体" w:cs="宋体"/>
          <w:color w:val="auto"/>
          <w:kern w:val="0"/>
          <w:sz w:val="24"/>
          <w:szCs w:val="24"/>
          <w:u w:val="single"/>
          <w:lang w:val="en-US" w:eastAsia="zh-CN"/>
        </w:rPr>
        <w:t>河北省石家庄市桥西区汇新路45号</w:t>
      </w:r>
      <w:r>
        <w:rPr>
          <w:rFonts w:hint="eastAsia" w:ascii="宋体" w:hAnsi="宋体" w:eastAsia="宋体" w:cs="宋体"/>
          <w:color w:val="auto"/>
          <w:kern w:val="0"/>
          <w:sz w:val="24"/>
          <w:szCs w:val="24"/>
          <w:u w:val="none"/>
          <w:lang w:val="en-US" w:eastAsia="zh-CN"/>
        </w:rPr>
        <w:t>，</w:t>
      </w:r>
      <w:r>
        <w:rPr>
          <w:rFonts w:hint="eastAsia" w:ascii="宋体" w:hAnsi="宋体" w:eastAsia="宋体" w:cs="宋体"/>
          <w:color w:val="auto"/>
          <w:kern w:val="0"/>
          <w:sz w:val="24"/>
          <w:szCs w:val="24"/>
          <w:highlight w:val="none"/>
          <w:u w:val="none"/>
          <w:lang w:val="en-US" w:eastAsia="zh-CN"/>
        </w:rPr>
        <w:t>联系人：</w:t>
      </w:r>
      <w:r>
        <w:rPr>
          <w:rFonts w:hint="eastAsia" w:ascii="宋体" w:hAnsi="宋体" w:cs="宋体"/>
          <w:color w:val="auto"/>
          <w:kern w:val="0"/>
          <w:sz w:val="24"/>
          <w:szCs w:val="24"/>
          <w:highlight w:val="none"/>
          <w:u w:val="single"/>
          <w:lang w:val="en-US" w:eastAsia="zh-CN"/>
        </w:rPr>
        <w:t>郑涛</w:t>
      </w:r>
      <w:r>
        <w:rPr>
          <w:rFonts w:hint="eastAsia" w:ascii="宋体" w:hAnsi="宋体" w:eastAsia="宋体" w:cs="宋体"/>
          <w:color w:val="auto"/>
          <w:kern w:val="0"/>
          <w:sz w:val="24"/>
          <w:szCs w:val="24"/>
          <w:highlight w:val="none"/>
          <w:u w:val="none"/>
          <w:lang w:val="en-US" w:eastAsia="zh-CN"/>
        </w:rPr>
        <w:t>，电话：</w:t>
      </w:r>
      <w:r>
        <w:rPr>
          <w:rFonts w:hint="eastAsia" w:ascii="宋体" w:hAnsi="宋体" w:eastAsia="宋体" w:cs="宋体"/>
          <w:color w:val="auto"/>
          <w:kern w:val="0"/>
          <w:sz w:val="24"/>
          <w:szCs w:val="24"/>
          <w:highlight w:val="none"/>
          <w:u w:val="single"/>
          <w:lang w:val="en-US" w:eastAsia="zh-CN"/>
        </w:rPr>
        <w:t>0311-89630661</w:t>
      </w:r>
      <w:r>
        <w:rPr>
          <w:rFonts w:hint="eastAsia" w:ascii="宋体" w:hAnsi="宋体" w:eastAsia="宋体" w:cs="宋体"/>
          <w:color w:val="auto"/>
          <w:kern w:val="0"/>
          <w:sz w:val="24"/>
          <w:szCs w:val="24"/>
          <w:highlight w:val="none"/>
          <w:u w:val="none"/>
          <w:lang w:val="en-US" w:eastAsia="zh-CN"/>
        </w:rPr>
        <w:t>，电子邮箱：</w:t>
      </w:r>
      <w:r>
        <w:rPr>
          <w:rFonts w:hint="eastAsia" w:ascii="宋体" w:hAnsi="宋体" w:cs="宋体"/>
          <w:color w:val="auto"/>
          <w:kern w:val="0"/>
          <w:sz w:val="24"/>
          <w:szCs w:val="24"/>
          <w:highlight w:val="none"/>
          <w:u w:val="single"/>
          <w:lang w:val="en-US" w:eastAsia="zh-CN"/>
        </w:rPr>
        <w:t>NYXJXQ@163.com</w:t>
      </w:r>
      <w:r>
        <w:rPr>
          <w:rFonts w:hint="eastAsia" w:ascii="宋体" w:hAnsi="宋体" w:eastAsia="宋体" w:cs="宋体"/>
          <w:color w:val="auto"/>
          <w:kern w:val="0"/>
          <w:sz w:val="24"/>
          <w:szCs w:val="24"/>
          <w:highlight w:val="none"/>
          <w:u w:val="none"/>
          <w:lang w:val="en-US" w:eastAsia="zh-CN"/>
        </w:rPr>
        <w:t>；</w:t>
      </w:r>
      <w:r>
        <w:rPr>
          <w:rFonts w:hint="eastAsia" w:ascii="宋体" w:hAnsi="宋体" w:eastAsia="宋体" w:cs="宋体"/>
          <w:color w:val="auto"/>
          <w:kern w:val="0"/>
          <w:sz w:val="24"/>
          <w:szCs w:val="24"/>
          <w:u w:val="none"/>
          <w:lang w:val="en-US" w:eastAsia="zh-CN"/>
        </w:rPr>
        <w:t>招标代理机构：</w:t>
      </w:r>
    </w:p>
    <w:p w14:paraId="2DDD1FE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u w:val="none"/>
          <w:lang w:val="en-US" w:eastAsia="zh-CN"/>
        </w:rPr>
      </w:pPr>
      <w:bookmarkStart w:id="31" w:name="_Toc13198"/>
      <w:r>
        <w:rPr>
          <w:rFonts w:hint="eastAsia" w:ascii="方正黑体_GBK" w:hAnsi="方正黑体_GBK" w:eastAsia="方正黑体_GBK" w:cs="方正黑体_GBK"/>
          <w:color w:val="auto"/>
          <w:kern w:val="0"/>
          <w:sz w:val="24"/>
          <w:szCs w:val="24"/>
          <w:u w:val="none"/>
          <w:lang w:val="en-US" w:eastAsia="zh-CN"/>
        </w:rPr>
        <w:t>8.本招标项目的监督部门</w:t>
      </w:r>
      <w:bookmarkEnd w:id="31"/>
    </w:p>
    <w:p w14:paraId="1A76C72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u w:val="none"/>
          <w:lang w:val="en-US" w:eastAsia="zh-CN"/>
        </w:rPr>
        <w:t>监督部门名称：</w:t>
      </w:r>
      <w:r>
        <w:rPr>
          <w:rFonts w:hint="eastAsia" w:ascii="宋体" w:hAnsi="宋体" w:eastAsia="宋体" w:cs="宋体"/>
          <w:color w:val="auto"/>
          <w:kern w:val="0"/>
          <w:sz w:val="24"/>
          <w:szCs w:val="24"/>
          <w:u w:val="single"/>
          <w:lang w:val="en-US" w:eastAsia="zh-CN"/>
        </w:rPr>
        <w:t>辛集市招标投标造价服务中心</w:t>
      </w:r>
    </w:p>
    <w:p w14:paraId="51463F1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u w:val="none"/>
          <w:lang w:val="en-US" w:eastAsia="zh-CN"/>
        </w:rPr>
        <w:t>电话：</w:t>
      </w:r>
      <w:r>
        <w:rPr>
          <w:rFonts w:hint="eastAsia" w:ascii="宋体" w:hAnsi="宋体" w:eastAsia="宋体" w:cs="宋体"/>
          <w:color w:val="auto"/>
          <w:kern w:val="0"/>
          <w:sz w:val="24"/>
          <w:szCs w:val="24"/>
          <w:u w:val="single"/>
          <w:lang w:val="en-US" w:eastAsia="zh-CN"/>
        </w:rPr>
        <w:t>0311-83222428</w:t>
      </w:r>
    </w:p>
    <w:p w14:paraId="03290D82">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color w:val="auto"/>
          <w:kern w:val="0"/>
          <w:sz w:val="24"/>
          <w:szCs w:val="24"/>
        </w:rPr>
      </w:pPr>
      <w:r>
        <w:rPr>
          <w:rFonts w:hint="eastAsia" w:ascii="宋体" w:hAnsi="宋体" w:eastAsia="宋体" w:cs="宋体"/>
          <w:color w:val="auto"/>
          <w:kern w:val="0"/>
          <w:sz w:val="24"/>
          <w:szCs w:val="24"/>
          <w:u w:val="none"/>
          <w:lang w:val="en-US" w:eastAsia="zh-CN"/>
        </w:rPr>
        <w:t>电子邮箱：</w:t>
      </w:r>
      <w:r>
        <w:rPr>
          <w:rFonts w:hint="eastAsia" w:ascii="宋体" w:hAnsi="宋体" w:eastAsia="宋体" w:cs="宋体"/>
          <w:color w:val="auto"/>
          <w:kern w:val="0"/>
          <w:sz w:val="24"/>
          <w:szCs w:val="24"/>
          <w:u w:val="single"/>
          <w:lang w:val="en-US" w:eastAsia="zh-CN"/>
        </w:rPr>
        <w:t>xjszbb@163.com</w:t>
      </w:r>
    </w:p>
    <w:p w14:paraId="36F9A77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lang w:val="en-US" w:eastAsia="zh-CN"/>
        </w:rPr>
      </w:pPr>
      <w:bookmarkStart w:id="32" w:name="_Toc7248"/>
      <w:r>
        <w:rPr>
          <w:rFonts w:hint="eastAsia" w:ascii="方正黑体_GBK" w:hAnsi="方正黑体_GBK" w:eastAsia="方正黑体_GBK" w:cs="方正黑体_GBK"/>
          <w:color w:val="auto"/>
          <w:kern w:val="0"/>
          <w:sz w:val="24"/>
          <w:szCs w:val="24"/>
          <w:lang w:val="en-US" w:eastAsia="zh-CN"/>
        </w:rPr>
        <w:t>9.其他公示内容</w:t>
      </w:r>
      <w:bookmarkEnd w:id="32"/>
    </w:p>
    <w:p w14:paraId="35DAF523">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rPr>
          <w:rFonts w:hint="default" w:ascii="国标黑体" w:hAnsi="国标黑体" w:eastAsia="国标黑体" w:cs="国标黑体"/>
          <w:color w:val="auto"/>
          <w:kern w:val="0"/>
          <w:sz w:val="24"/>
          <w:szCs w:val="24"/>
          <w:u w:val="single"/>
          <w:lang w:val="en-US" w:eastAsia="zh-CN"/>
        </w:rPr>
      </w:pPr>
      <w:r>
        <w:rPr>
          <w:rFonts w:hint="eastAsia" w:ascii="宋体" w:hAnsi="宋体" w:eastAsia="宋体" w:cs="宋体"/>
          <w:color w:val="auto"/>
          <w:kern w:val="0"/>
          <w:sz w:val="24"/>
          <w:szCs w:val="24"/>
          <w:u w:val="single"/>
          <w:lang w:val="en-US" w:eastAsia="zh-CN"/>
        </w:rPr>
        <w:t>9.</w:t>
      </w:r>
      <w:r>
        <w:rPr>
          <w:rFonts w:hint="default" w:ascii="宋体" w:hAnsi="宋体" w:eastAsia="宋体" w:cs="宋体"/>
          <w:color w:val="auto"/>
          <w:kern w:val="0"/>
          <w:sz w:val="24"/>
          <w:szCs w:val="24"/>
          <w:u w:val="single"/>
          <w:lang w:val="en-US" w:eastAsia="zh-CN"/>
        </w:rPr>
        <w:t>1本项目采用远程异地评标。本项目实行“双盲”方式评审，（1）评审专家统一从河北省评标专家库中随机抽取，实现评审专家“盲抽”；（2）“盲评”即投标单位应按招标文件要求分开编制投标文件的商务部分和技术标部分，技术部分采用暗标方式编制。评审委员会按要求对商务标采取明标评审、对技术标采取暗标评审。未按照要求编制投标文件的投标单位，将被认定为无效。</w:t>
      </w:r>
      <w:r>
        <w:rPr>
          <w:rFonts w:hint="eastAsia" w:ascii="宋体" w:hAnsi="宋体" w:eastAsia="宋体" w:cs="宋体"/>
          <w:color w:val="auto"/>
          <w:kern w:val="0"/>
          <w:sz w:val="24"/>
          <w:szCs w:val="24"/>
          <w:u w:val="single"/>
          <w:lang w:val="en-US" w:eastAsia="zh-CN"/>
        </w:rPr>
        <w:t>9</w:t>
      </w:r>
      <w:r>
        <w:rPr>
          <w:rFonts w:hint="default" w:ascii="宋体" w:hAnsi="宋体" w:eastAsia="宋体" w:cs="宋体"/>
          <w:color w:val="auto"/>
          <w:kern w:val="0"/>
          <w:sz w:val="24"/>
          <w:szCs w:val="24"/>
          <w:u w:val="single"/>
          <w:lang w:val="en-US" w:eastAsia="zh-CN"/>
        </w:rPr>
        <w:t>.2开标当日，投标人不必抵达开标现场，登录河北省公共资源交易服务平台-辛集市公共资源电子交易系统，通过辛集市公共资源交易中心不见面开标大厅系统参加开标会议，并使用编制投标文件时所使用的CA数字证书对加密电子投标文件进行解密，如采用新点标证通扫码加密生成的投标文件则需通过新点标证通进行扫码解密。</w:t>
      </w:r>
      <w:r>
        <w:rPr>
          <w:rFonts w:hint="eastAsia" w:ascii="宋体" w:hAnsi="宋体" w:eastAsia="宋体" w:cs="宋体"/>
          <w:color w:val="auto"/>
          <w:kern w:val="0"/>
          <w:sz w:val="24"/>
          <w:szCs w:val="24"/>
          <w:u w:val="single"/>
          <w:lang w:val="en-US" w:eastAsia="zh-CN"/>
        </w:rPr>
        <w:t>9</w:t>
      </w:r>
      <w:r>
        <w:rPr>
          <w:rFonts w:hint="default" w:ascii="宋体" w:hAnsi="宋体" w:eastAsia="宋体" w:cs="宋体"/>
          <w:color w:val="auto"/>
          <w:kern w:val="0"/>
          <w:sz w:val="24"/>
          <w:szCs w:val="24"/>
          <w:u w:val="single"/>
          <w:lang w:val="en-US" w:eastAsia="zh-CN"/>
        </w:rPr>
        <w:t>.3投标人在参与投标前，须登录全国公共资源交易平台（河北省）进行市场主体注册，并自主决定办理CA数字证书（含电子签章、法人印鉴等），或“新点标证通”。CA密钥网上办理方式及现场服务网点办理地址详见下方链接www.hebca.com/ggzyxj.html（咨询电话：4007073355）；新点标证通办理方式详见下方链接https://www.bqpoint.com/epbzt/index.html（咨询电话：4009980000）。下载招标文件使用IE浏览器，版本需为IE11及以上。若通过注册新点标证通办理的CA密钥，可无需安装“新点驱动”。</w:t>
      </w:r>
      <w:r>
        <w:rPr>
          <w:rFonts w:hint="eastAsia" w:ascii="宋体" w:hAnsi="宋体" w:eastAsia="宋体" w:cs="宋体"/>
          <w:color w:val="auto"/>
          <w:kern w:val="0"/>
          <w:sz w:val="24"/>
          <w:szCs w:val="24"/>
          <w:u w:val="single"/>
          <w:lang w:val="en-US" w:eastAsia="zh-CN"/>
        </w:rPr>
        <w:t>9</w:t>
      </w:r>
      <w:r>
        <w:rPr>
          <w:rFonts w:hint="default" w:ascii="宋体" w:hAnsi="宋体" w:eastAsia="宋体" w:cs="宋体"/>
          <w:color w:val="auto"/>
          <w:kern w:val="0"/>
          <w:sz w:val="24"/>
          <w:szCs w:val="24"/>
          <w:u w:val="single"/>
          <w:lang w:val="en-US" w:eastAsia="zh-CN"/>
        </w:rPr>
        <w:t>.4郑重公告：为贯彻落实河北省招投标管理办公室冀建招办【2018】15号《河北省建设工程招标投标领域扫黑除恶专项斗争实施方案》通知的工作要求，对招标投标领域存在的阻碍投标、恶意竞标、强揽工程、串标、围标、陪标、索要不合理评标报酬等下列涉黑涉恶涉乱行为进行全面清理整治，凡有下列行为之一的，将直接移交辛集市扫黑除恶办公室处理：（1）投标人提供虚假银行保函行为；（2）招标人、招标代理机构、潜在投标人以及有关部门以不合理要求和其他手段阻止、劝退、阻碍其他投标人投标的行为；（3）投标人以他人名义投标的行为；（4）出借或借用资质投标的行为；（5）通过串联的方式串标、围标、陪标，组织或参与多家公司集体投标，形成投标团伙，排挤竞争对手和其他潜在投标人的行为；（6）采用威胁、利诱、胁迫等方式在评标结果确定前买卖投标文件或者诱使他人加入投标团伙的行为；（7）投标人伪造人员证件、企业证照、单位公章、社保证明等行为；（8）投标人之间约定部分投标人放弃投标或者中标的行为；（9）投标人中标后故意放弃中标，将工程转卖给其他投标人的行为；（10）以要挟、胁迫、恐吓、欺压等形式强行承包或者分包工程、强行供货或提供服务的行为；（11）采用打、砸、抢等方式阻止其他人进入评标现场毁坏他人投标文件的行为；（12）个别投标人鼓动其他投标人代表围堵招标人、招标代理、评标专家的行为；（13）评标专家不按招标文件规定的评标办法评标，恶意废标的行为；（14）评标专家在评标过程中故意拖延评标时间、或评标结束后拒不签字以索要高额评标报酬的行为；（15）招标代理在评标过程中以投标文件有瑕疵为由向投标人索要不合理费用的行为；（16）其他扰乱招投标活动的行为。</w:t>
      </w:r>
    </w:p>
    <w:p w14:paraId="711CF13B">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lang w:eastAsia="zh-CN"/>
        </w:rPr>
      </w:pPr>
      <w:bookmarkStart w:id="33" w:name="_Toc7973"/>
      <w:r>
        <w:rPr>
          <w:rFonts w:hint="eastAsia" w:ascii="方正黑体_GBK" w:hAnsi="方正黑体_GBK" w:eastAsia="方正黑体_GBK" w:cs="方正黑体_GBK"/>
          <w:color w:val="auto"/>
          <w:kern w:val="0"/>
          <w:sz w:val="24"/>
          <w:szCs w:val="24"/>
          <w:lang w:val="en-US" w:eastAsia="zh-CN"/>
        </w:rPr>
        <w:t>10.</w:t>
      </w:r>
      <w:r>
        <w:rPr>
          <w:rFonts w:hint="eastAsia" w:ascii="方正黑体_GBK" w:hAnsi="方正黑体_GBK" w:eastAsia="方正黑体_GBK" w:cs="方正黑体_GBK"/>
          <w:color w:val="auto"/>
          <w:kern w:val="0"/>
          <w:sz w:val="24"/>
          <w:szCs w:val="24"/>
        </w:rPr>
        <w:t>联系方式</w:t>
      </w:r>
      <w:bookmarkEnd w:id="33"/>
    </w:p>
    <w:p w14:paraId="58414D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cs="Times New Roman"/>
          <w:color w:val="auto"/>
          <w:kern w:val="0"/>
          <w:sz w:val="24"/>
          <w:szCs w:val="24"/>
          <w:lang w:val="en-US" w:eastAsia="zh-CN"/>
        </w:rPr>
        <w:t>10.1</w:t>
      </w:r>
      <w:r>
        <w:rPr>
          <w:rFonts w:hint="eastAsia" w:ascii="宋体" w:hAnsi="宋体" w:eastAsia="宋体" w:cs="宋体"/>
          <w:color w:val="auto"/>
          <w:sz w:val="24"/>
          <w:szCs w:val="24"/>
          <w:lang w:val="en-US" w:eastAsia="zh-CN"/>
        </w:rPr>
        <w:t>招标人：</w:t>
      </w:r>
      <w:r>
        <w:rPr>
          <w:rFonts w:hint="eastAsia" w:ascii="宋体" w:hAnsi="宋体" w:eastAsia="宋体" w:cs="宋体"/>
          <w:color w:val="auto"/>
          <w:kern w:val="0"/>
          <w:sz w:val="24"/>
          <w:szCs w:val="24"/>
          <w:u w:val="single"/>
          <w:lang w:val="en-US" w:eastAsia="zh-CN"/>
        </w:rPr>
        <w:t>河北女子职业技术学院</w:t>
      </w:r>
      <w:r>
        <w:rPr>
          <w:rFonts w:hint="eastAsia" w:ascii="宋体" w:hAnsi="宋体" w:eastAsia="宋体" w:cs="宋体"/>
          <w:color w:val="auto"/>
          <w:sz w:val="24"/>
          <w:szCs w:val="24"/>
          <w:lang w:val="en-US" w:eastAsia="zh-CN"/>
        </w:rPr>
        <w:t>，通讯地址：</w:t>
      </w:r>
      <w:r>
        <w:rPr>
          <w:rFonts w:hint="eastAsia" w:ascii="宋体" w:hAnsi="宋体" w:eastAsia="宋体" w:cs="宋体"/>
          <w:color w:val="auto"/>
          <w:sz w:val="24"/>
          <w:szCs w:val="24"/>
          <w:u w:val="single"/>
          <w:lang w:val="en-US" w:eastAsia="zh-CN"/>
        </w:rPr>
        <w:t>河北省石家庄市桥西区汇新路45号</w:t>
      </w:r>
      <w:r>
        <w:rPr>
          <w:rFonts w:hint="eastAsia" w:ascii="宋体" w:hAnsi="宋体" w:cs="宋体"/>
          <w:color w:val="auto"/>
          <w:sz w:val="24"/>
          <w:szCs w:val="24"/>
          <w:lang w:val="en-US" w:eastAsia="zh-CN"/>
        </w:rPr>
        <w:t>；</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kern w:val="0"/>
          <w:sz w:val="24"/>
          <w:szCs w:val="24"/>
          <w:highlight w:val="none"/>
          <w:u w:val="single"/>
          <w:lang w:val="en-US" w:eastAsia="zh-CN"/>
        </w:rPr>
        <w:t>郑涛</w:t>
      </w: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kern w:val="0"/>
          <w:sz w:val="24"/>
          <w:szCs w:val="24"/>
          <w:highlight w:val="none"/>
          <w:u w:val="single"/>
          <w:lang w:val="en-US" w:eastAsia="zh-CN"/>
        </w:rPr>
        <w:t>0311-89630661</w:t>
      </w:r>
      <w:r>
        <w:rPr>
          <w:rFonts w:hint="eastAsia" w:ascii="宋体" w:hAnsi="宋体" w:eastAsia="宋体" w:cs="宋体"/>
          <w:color w:val="auto"/>
          <w:sz w:val="24"/>
          <w:szCs w:val="24"/>
          <w:highlight w:val="none"/>
          <w:lang w:val="en-US" w:eastAsia="zh-CN"/>
        </w:rPr>
        <w:t>，电子邮箱：</w:t>
      </w:r>
      <w:r>
        <w:rPr>
          <w:rFonts w:hint="eastAsia" w:ascii="宋体" w:hAnsi="宋体" w:cs="宋体"/>
          <w:color w:val="auto"/>
          <w:sz w:val="24"/>
          <w:szCs w:val="24"/>
          <w:highlight w:val="none"/>
          <w:u w:val="single"/>
          <w:lang w:val="en-US" w:eastAsia="zh-CN"/>
        </w:rPr>
        <w:t>NYXJXQ</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63</w:t>
      </w:r>
      <w:r>
        <w:rPr>
          <w:rFonts w:hint="eastAsia" w:ascii="宋体" w:hAnsi="宋体" w:eastAsia="宋体" w:cs="宋体"/>
          <w:color w:val="auto"/>
          <w:sz w:val="24"/>
          <w:szCs w:val="24"/>
          <w:highlight w:val="none"/>
          <w:u w:val="single"/>
          <w:lang w:val="en-US" w:eastAsia="zh-CN"/>
        </w:rPr>
        <w:t>.com</w:t>
      </w:r>
      <w:r>
        <w:rPr>
          <w:rFonts w:hint="eastAsia" w:ascii="宋体" w:hAnsi="宋体" w:cs="宋体"/>
          <w:color w:val="auto"/>
          <w:sz w:val="24"/>
          <w:szCs w:val="24"/>
          <w:highlight w:val="none"/>
          <w:u w:val="none"/>
          <w:lang w:val="en-US" w:eastAsia="zh-CN"/>
        </w:rPr>
        <w:t>。</w:t>
      </w:r>
    </w:p>
    <w:p w14:paraId="1D467F9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cs="Times New Roman"/>
          <w:color w:val="auto"/>
          <w:kern w:val="0"/>
          <w:sz w:val="24"/>
          <w:szCs w:val="24"/>
          <w:lang w:val="en-US" w:eastAsia="zh-CN"/>
        </w:rPr>
        <w:t>10.2</w:t>
      </w:r>
      <w:r>
        <w:rPr>
          <w:rFonts w:hint="eastAsia" w:ascii="宋体" w:hAnsi="宋体" w:eastAsia="宋体" w:cs="宋体"/>
          <w:color w:val="auto"/>
          <w:sz w:val="24"/>
          <w:szCs w:val="24"/>
          <w:lang w:val="en-US" w:eastAsia="zh-CN"/>
        </w:rPr>
        <w:t>招标代理机构：</w:t>
      </w:r>
    </w:p>
    <w:p w14:paraId="7D3AE3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通讯地址：</w:t>
      </w:r>
    </w:p>
    <w:p w14:paraId="5EFB28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项目负责人：</w:t>
      </w:r>
    </w:p>
    <w:p w14:paraId="6A1B9B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400" w:lineRule="exact"/>
        <w:ind w:leftChars="0" w:firstLine="480" w:firstLineChars="200"/>
        <w:textAlignment w:val="auto"/>
        <w:rPr>
          <w:rFonts w:hint="default" w:eastAsia="宋体" w:cs="Times New Roman"/>
          <w:color w:val="auto"/>
          <w:bdr w:val="single" w:color="000000" w:sz="4" w:space="0"/>
          <w:lang w:val="en-US" w:eastAsia="zh-CN"/>
        </w:rPr>
      </w:pPr>
      <w:r>
        <w:rPr>
          <w:rFonts w:hint="eastAsia" w:ascii="宋体" w:hAnsi="宋体" w:eastAsia="宋体" w:cs="宋体"/>
          <w:color w:val="auto"/>
          <w:sz w:val="24"/>
          <w:szCs w:val="24"/>
          <w:lang w:val="en-US" w:eastAsia="zh-CN"/>
        </w:rPr>
        <w:t>电子邮箱：</w:t>
      </w:r>
    </w:p>
    <w:p w14:paraId="0A6791D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jc w:val="center"/>
        <w:textAlignment w:val="auto"/>
        <w:rPr>
          <w:rFonts w:cs="Times New Roman"/>
          <w:color w:val="auto"/>
          <w:bdr w:val="single" w:color="000000" w:sz="4" w:space="0"/>
        </w:rPr>
      </w:pPr>
    </w:p>
    <w:p w14:paraId="2D3CF1A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Style w:val="47"/>
          <w:color w:val="auto"/>
          <w:lang w:val="en-US" w:eastAsia="zh-CN"/>
        </w:rPr>
        <w:sectPr>
          <w:footerReference r:id="rId7" w:type="default"/>
          <w:pgSz w:w="11905" w:h="16838"/>
          <w:pgMar w:top="1417" w:right="1134" w:bottom="1417" w:left="1134" w:header="850" w:footer="992" w:gutter="0"/>
          <w:pgBorders>
            <w:top w:val="none" w:sz="0" w:space="0"/>
            <w:left w:val="none" w:sz="0" w:space="0"/>
            <w:bottom w:val="none" w:sz="0" w:space="0"/>
            <w:right w:val="none" w:sz="0" w:space="0"/>
          </w:pgBorders>
          <w:pgNumType w:fmt="decimal" w:start="1"/>
          <w:cols w:space="720" w:num="1"/>
          <w:rtlGutter w:val="0"/>
          <w:docGrid w:type="lines" w:linePitch="318" w:charSpace="0"/>
        </w:sectPr>
      </w:pPr>
    </w:p>
    <w:bookmarkEnd w:id="20"/>
    <w:bookmarkEnd w:id="21"/>
    <w:bookmarkEnd w:id="22"/>
    <w:bookmarkEnd w:id="23"/>
    <w:bookmarkEnd w:id="24"/>
    <w:p w14:paraId="132D4ECC">
      <w:pPr>
        <w:pStyle w:val="2"/>
        <w:pageBreakBefore w:val="0"/>
        <w:kinsoku/>
        <w:wordWrap w:val="0"/>
        <w:overflowPunct/>
        <w:bidi w:val="0"/>
        <w:rPr>
          <w:color w:val="auto"/>
        </w:rPr>
      </w:pPr>
      <w:bookmarkStart w:id="34" w:name="_Toc247513950"/>
      <w:bookmarkStart w:id="35" w:name="_Toc144974495"/>
      <w:bookmarkStart w:id="36" w:name="_Toc9044"/>
      <w:bookmarkStart w:id="37" w:name="_Toc152045527"/>
      <w:bookmarkStart w:id="38" w:name="_Toc247527551"/>
      <w:bookmarkStart w:id="39" w:name="_Toc25446"/>
      <w:bookmarkStart w:id="40" w:name="_Toc24967"/>
      <w:bookmarkStart w:id="41" w:name="_Toc152042303"/>
      <w:bookmarkStart w:id="42" w:name="_Toc16838"/>
      <w:r>
        <w:rPr>
          <w:color w:val="auto"/>
        </w:rPr>
        <w:t>第二章 投标人须知</w:t>
      </w:r>
      <w:bookmarkEnd w:id="34"/>
      <w:bookmarkEnd w:id="35"/>
      <w:bookmarkEnd w:id="36"/>
      <w:bookmarkEnd w:id="37"/>
      <w:bookmarkEnd w:id="38"/>
      <w:bookmarkEnd w:id="39"/>
      <w:bookmarkEnd w:id="40"/>
      <w:bookmarkEnd w:id="41"/>
      <w:bookmarkEnd w:id="42"/>
    </w:p>
    <w:p w14:paraId="2D890F98">
      <w:pPr>
        <w:pStyle w:val="3"/>
        <w:pageBreakBefore w:val="0"/>
        <w:kinsoku/>
        <w:wordWrap w:val="0"/>
        <w:overflowPunct/>
        <w:bidi w:val="0"/>
        <w:jc w:val="center"/>
        <w:rPr>
          <w:color w:val="auto"/>
        </w:rPr>
      </w:pPr>
      <w:bookmarkStart w:id="43" w:name="_Toc144974496"/>
      <w:bookmarkStart w:id="44" w:name="_Toc15785"/>
      <w:bookmarkStart w:id="45" w:name="_Toc247527552"/>
      <w:bookmarkStart w:id="46" w:name="_Toc16009"/>
      <w:bookmarkStart w:id="47" w:name="_Toc152042304"/>
      <w:bookmarkStart w:id="48" w:name="_Toc14155"/>
      <w:bookmarkStart w:id="49" w:name="_Toc19506"/>
      <w:bookmarkStart w:id="50" w:name="_Toc152045528"/>
      <w:bookmarkStart w:id="51" w:name="_Toc27212"/>
      <w:bookmarkStart w:id="52" w:name="_Toc29491"/>
      <w:bookmarkStart w:id="53" w:name="_Toc247513951"/>
      <w:r>
        <w:rPr>
          <w:color w:val="auto"/>
        </w:rPr>
        <w:t>投标人须知前附表</w:t>
      </w:r>
      <w:bookmarkEnd w:id="43"/>
      <w:bookmarkEnd w:id="44"/>
      <w:bookmarkEnd w:id="45"/>
      <w:bookmarkEnd w:id="46"/>
      <w:bookmarkEnd w:id="47"/>
      <w:bookmarkEnd w:id="48"/>
      <w:bookmarkEnd w:id="49"/>
      <w:bookmarkEnd w:id="50"/>
      <w:bookmarkEnd w:id="51"/>
      <w:bookmarkEnd w:id="52"/>
      <w:bookmarkEnd w:id="53"/>
    </w:p>
    <w:tbl>
      <w:tblPr>
        <w:tblStyle w:val="38"/>
        <w:tblW w:w="9854" w:type="dxa"/>
        <w:jc w:val="center"/>
        <w:tblLayout w:type="fixed"/>
        <w:tblCellMar>
          <w:top w:w="0" w:type="dxa"/>
          <w:left w:w="108" w:type="dxa"/>
          <w:bottom w:w="0" w:type="dxa"/>
          <w:right w:w="108" w:type="dxa"/>
        </w:tblCellMar>
      </w:tblPr>
      <w:tblGrid>
        <w:gridCol w:w="1005"/>
        <w:gridCol w:w="1655"/>
        <w:gridCol w:w="7194"/>
      </w:tblGrid>
      <w:tr w14:paraId="2E54C236">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F91B6E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b/>
                <w:color w:val="auto"/>
                <w:sz w:val="24"/>
                <w:szCs w:val="24"/>
              </w:rPr>
            </w:pPr>
            <w:r>
              <w:rPr>
                <w:b/>
                <w:color w:val="auto"/>
                <w:sz w:val="24"/>
                <w:szCs w:val="24"/>
              </w:rPr>
              <w:t>条款号</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0B023E2">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b/>
                <w:color w:val="auto"/>
                <w:sz w:val="24"/>
                <w:szCs w:val="24"/>
              </w:rPr>
            </w:pPr>
            <w:r>
              <w:rPr>
                <w:b/>
                <w:color w:val="auto"/>
                <w:sz w:val="24"/>
                <w:szCs w:val="24"/>
              </w:rPr>
              <w:t>条款名称</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E5CCC7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b/>
                <w:color w:val="auto"/>
                <w:sz w:val="24"/>
                <w:szCs w:val="24"/>
              </w:rPr>
            </w:pPr>
            <w:r>
              <w:rPr>
                <w:b/>
                <w:color w:val="auto"/>
                <w:sz w:val="24"/>
                <w:szCs w:val="24"/>
              </w:rPr>
              <w:t>编  列  内  容</w:t>
            </w:r>
          </w:p>
        </w:tc>
      </w:tr>
      <w:tr w14:paraId="4B892E20">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124B01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2F669A7">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招标人</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610A97B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olor w:val="auto"/>
                <w:sz w:val="24"/>
                <w:szCs w:val="24"/>
                <w:u w:val="single"/>
                <w:lang w:val="en-US" w:eastAsia="zh-CN"/>
              </w:rPr>
            </w:pPr>
            <w:r>
              <w:rPr>
                <w:color w:val="auto"/>
                <w:sz w:val="24"/>
                <w:szCs w:val="24"/>
              </w:rPr>
              <w:t>名称：</w:t>
            </w:r>
            <w:r>
              <w:rPr>
                <w:rFonts w:hint="eastAsia"/>
                <w:color w:val="auto"/>
                <w:sz w:val="24"/>
                <w:szCs w:val="24"/>
                <w:u w:val="single"/>
              </w:rPr>
              <w:t>河北女子职业技术学院</w:t>
            </w:r>
          </w:p>
          <w:p w14:paraId="2DEEBB7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olor w:val="auto"/>
                <w:sz w:val="24"/>
                <w:szCs w:val="24"/>
                <w:u w:val="single"/>
                <w:lang w:val="en-US" w:eastAsia="zh-CN"/>
              </w:rPr>
            </w:pPr>
            <w:r>
              <w:rPr>
                <w:color w:val="auto"/>
                <w:sz w:val="24"/>
                <w:szCs w:val="24"/>
              </w:rPr>
              <w:t>地址：</w:t>
            </w:r>
            <w:r>
              <w:rPr>
                <w:rFonts w:hint="eastAsia" w:ascii="宋体" w:hAnsi="宋体" w:eastAsia="宋体" w:cs="宋体"/>
                <w:color w:val="auto"/>
                <w:kern w:val="0"/>
                <w:sz w:val="24"/>
                <w:szCs w:val="24"/>
                <w:u w:val="single"/>
                <w:lang w:val="en-US" w:eastAsia="zh-CN"/>
              </w:rPr>
              <w:t>石家庄市桥西区红旗街道汇文街16号</w:t>
            </w:r>
          </w:p>
          <w:p w14:paraId="302D8A9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olor w:val="auto"/>
                <w:sz w:val="24"/>
                <w:szCs w:val="24"/>
                <w:u w:val="single"/>
                <w:lang w:val="en-US" w:eastAsia="zh-CN"/>
              </w:rPr>
            </w:pPr>
            <w:r>
              <w:rPr>
                <w:color w:val="auto"/>
                <w:sz w:val="24"/>
                <w:szCs w:val="24"/>
              </w:rPr>
              <w:t>联系人：</w:t>
            </w:r>
            <w:r>
              <w:rPr>
                <w:rFonts w:hint="eastAsia" w:ascii="宋体" w:hAnsi="宋体" w:cs="宋体"/>
                <w:color w:val="auto"/>
                <w:kern w:val="0"/>
                <w:sz w:val="24"/>
                <w:szCs w:val="24"/>
                <w:highlight w:val="none"/>
                <w:u w:val="single"/>
                <w:lang w:val="en-US" w:eastAsia="zh-CN"/>
              </w:rPr>
              <w:t>郑涛</w:t>
            </w:r>
          </w:p>
          <w:p w14:paraId="76296B2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color w:val="auto"/>
                <w:sz w:val="24"/>
                <w:szCs w:val="24"/>
              </w:rPr>
              <w:t>电话：</w:t>
            </w:r>
            <w:r>
              <w:rPr>
                <w:rFonts w:hint="eastAsia" w:ascii="宋体" w:hAnsi="宋体" w:eastAsia="宋体" w:cs="宋体"/>
                <w:color w:val="auto"/>
                <w:kern w:val="0"/>
                <w:sz w:val="24"/>
                <w:szCs w:val="24"/>
                <w:highlight w:val="none"/>
                <w:u w:val="single"/>
                <w:lang w:val="en-US" w:eastAsia="zh-CN"/>
              </w:rPr>
              <w:t>0311-89630661</w:t>
            </w:r>
          </w:p>
        </w:tc>
      </w:tr>
      <w:tr w14:paraId="524D5423">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44FDD62">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9A46C4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招标代理机构</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CFD472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u w:val="single"/>
              </w:rPr>
            </w:pPr>
            <w:r>
              <w:rPr>
                <w:color w:val="auto"/>
                <w:sz w:val="24"/>
                <w:szCs w:val="24"/>
              </w:rPr>
              <w:t>名  称：</w:t>
            </w:r>
          </w:p>
          <w:p w14:paraId="1ADD9C10">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地  址：</w:t>
            </w:r>
          </w:p>
          <w:p w14:paraId="5F5F744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i/>
                <w:iCs/>
                <w:color w:val="auto"/>
                <w:sz w:val="24"/>
                <w:szCs w:val="24"/>
                <w:u w:val="single"/>
                <w:bdr w:val="single" w:color="auto" w:sz="4" w:space="0"/>
                <w:lang w:val="en-US" w:eastAsia="zh-CN"/>
              </w:rPr>
            </w:pPr>
            <w:r>
              <w:rPr>
                <w:color w:val="auto"/>
                <w:sz w:val="24"/>
                <w:szCs w:val="24"/>
              </w:rPr>
              <w:t>项目负责人：</w:t>
            </w:r>
            <w:r>
              <w:rPr>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none"/>
                <w:lang w:eastAsia="zh-CN"/>
              </w:rPr>
              <w:t>电话：</w:t>
            </w:r>
          </w:p>
          <w:p w14:paraId="10C0730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联系人：</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rPr>
              <w:t>电话：</w:t>
            </w:r>
          </w:p>
        </w:tc>
      </w:tr>
      <w:tr w14:paraId="3F9B8786">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C19277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E2E9F05">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rFonts w:hint="eastAsia"/>
                <w:color w:val="auto"/>
                <w:sz w:val="24"/>
                <w:szCs w:val="24"/>
                <w:lang w:eastAsia="zh-CN"/>
              </w:rPr>
              <w:t>项目</w:t>
            </w:r>
            <w:r>
              <w:rPr>
                <w:color w:val="auto"/>
                <w:sz w:val="24"/>
                <w:szCs w:val="24"/>
              </w:rPr>
              <w:t>名称</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9F6ECC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rPr>
              <w:t>河北女子职业技术学院辛集校区建设工程</w:t>
            </w:r>
          </w:p>
        </w:tc>
      </w:tr>
      <w:tr w14:paraId="6799BA3F">
        <w:tblPrEx>
          <w:tblCellMar>
            <w:top w:w="0" w:type="dxa"/>
            <w:left w:w="108" w:type="dxa"/>
            <w:bottom w:w="0" w:type="dxa"/>
            <w:right w:w="108" w:type="dxa"/>
          </w:tblCellMar>
        </w:tblPrEx>
        <w:trPr>
          <w:trHeight w:val="419"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67EADD22">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1.1.5</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1D3479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建设地点</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46E3F2D">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rPr>
              <w:t>河北省辛集市河北女子职业技术学院辛集校区院内规划位置，富强大街以北，教育路南延段西侧，南环路以南，安新线以东</w:t>
            </w:r>
          </w:p>
        </w:tc>
      </w:tr>
      <w:tr w14:paraId="7E9E41BE">
        <w:tblPrEx>
          <w:tblCellMar>
            <w:top w:w="0" w:type="dxa"/>
            <w:left w:w="108" w:type="dxa"/>
            <w:bottom w:w="0" w:type="dxa"/>
            <w:right w:w="108" w:type="dxa"/>
          </w:tblCellMar>
        </w:tblPrEx>
        <w:trPr>
          <w:trHeight w:val="528"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9F0633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1.2.1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EF2BAE7">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资金来源及比例</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613AC0E">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rFonts w:hint="eastAsia"/>
                <w:color w:val="auto"/>
                <w:sz w:val="24"/>
                <w:szCs w:val="24"/>
                <w:lang w:val="en-US" w:eastAsia="zh-CN"/>
              </w:rPr>
              <w:t>通过</w:t>
            </w:r>
            <w:r>
              <w:rPr>
                <w:rFonts w:hint="eastAsia"/>
                <w:color w:val="auto"/>
                <w:sz w:val="24"/>
                <w:szCs w:val="24"/>
                <w:lang w:eastAsia="zh-CN"/>
              </w:rPr>
              <w:t>地方政府专项债券、统筹生均拨款、学宿费收入等筹措解决，</w:t>
            </w:r>
            <w:r>
              <w:rPr>
                <w:rFonts w:hint="eastAsia"/>
                <w:color w:val="auto"/>
                <w:sz w:val="24"/>
                <w:szCs w:val="24"/>
                <w:lang w:val="en-US" w:eastAsia="zh-CN"/>
              </w:rPr>
              <w:t>100%</w:t>
            </w:r>
          </w:p>
        </w:tc>
      </w:tr>
      <w:tr w14:paraId="7654CD7E">
        <w:tblPrEx>
          <w:tblCellMar>
            <w:top w:w="0" w:type="dxa"/>
            <w:left w:w="108" w:type="dxa"/>
            <w:bottom w:w="0" w:type="dxa"/>
            <w:right w:w="108" w:type="dxa"/>
          </w:tblCellMar>
        </w:tblPrEx>
        <w:trPr>
          <w:trHeight w:val="244"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C588F0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1.2.2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3F7B3D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资金落实情况</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C74AA12">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color w:val="auto"/>
                <w:sz w:val="24"/>
                <w:szCs w:val="24"/>
                <w:lang w:val="en-US" w:eastAsia="zh-CN"/>
              </w:rPr>
            </w:pPr>
            <w:r>
              <w:rPr>
                <w:rFonts w:hint="eastAsia"/>
                <w:color w:val="auto"/>
                <w:sz w:val="24"/>
                <w:szCs w:val="24"/>
                <w:lang w:val="en-US" w:eastAsia="zh-CN"/>
              </w:rPr>
              <w:t>已落实</w:t>
            </w:r>
          </w:p>
        </w:tc>
      </w:tr>
      <w:tr w14:paraId="08964CF9">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C7CB0A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1.3.1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0D3628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color w:val="auto"/>
                <w:sz w:val="24"/>
                <w:szCs w:val="24"/>
              </w:rPr>
              <w:t>招标范围</w:t>
            </w:r>
            <w:r>
              <w:rPr>
                <w:rFonts w:hint="eastAsia"/>
                <w:color w:val="auto"/>
                <w:sz w:val="24"/>
                <w:szCs w:val="24"/>
                <w:lang w:eastAsia="zh-CN"/>
              </w:rPr>
              <w:t>和内容</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383822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color w:val="auto"/>
                <w:sz w:val="24"/>
                <w:szCs w:val="24"/>
                <w:lang w:eastAsia="zh-CN"/>
              </w:rPr>
            </w:pPr>
            <w:r>
              <w:rPr>
                <w:rFonts w:hint="eastAsia" w:eastAsia="宋体"/>
                <w:color w:val="auto"/>
                <w:sz w:val="24"/>
                <w:szCs w:val="24"/>
                <w:lang w:eastAsia="zh-CN"/>
              </w:rPr>
              <w:t>完成本标段设计阶段工作（包括但不限于项目设计优化、施工图设计、BIM建模等全部设计工作，施工图应满足相关规范要求并完成施工图审查等相关工作）；完成本标段施工阶段工作（包括但不限于初步设计及施工图范围内的全部施工内容，负责建筑材料及设备的采购、安装、调试，办理开工前及施工过程中所有相关建设手续），完成各项专业验收和竣工验收（包括但不限于规划验收、人防验收、消防验收、档案验收、竣工验收等）；验收合格后整体移交；工程保修期内的缺陷修复等各项保修工作。（涵盖初步设计批复的全部内容及实现功能需要的全部设计内容、以及根据招标人的需要在初步设计范围内增加的建设内容）</w:t>
            </w:r>
            <w:r>
              <w:rPr>
                <w:rFonts w:hint="eastAsia"/>
                <w:color w:val="auto"/>
                <w:sz w:val="24"/>
                <w:szCs w:val="24"/>
                <w:lang w:eastAsia="zh-CN"/>
              </w:rPr>
              <w:t>。</w:t>
            </w:r>
          </w:p>
        </w:tc>
      </w:tr>
      <w:tr w14:paraId="209FB7E7">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6FC7CA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1.3.2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99416E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color w:val="auto"/>
                <w:sz w:val="24"/>
                <w:szCs w:val="24"/>
              </w:rPr>
              <w:t>工期</w:t>
            </w:r>
            <w:r>
              <w:rPr>
                <w:rFonts w:hint="eastAsia"/>
                <w:color w:val="auto"/>
                <w:sz w:val="24"/>
                <w:szCs w:val="24"/>
                <w:lang w:eastAsia="zh-CN"/>
              </w:rPr>
              <w:t>要求</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9B4CB8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计划工期：</w:t>
            </w:r>
            <w:r>
              <w:rPr>
                <w:rFonts w:hint="eastAsia"/>
                <w:color w:val="auto"/>
                <w:sz w:val="24"/>
                <w:szCs w:val="24"/>
                <w:highlight w:val="none"/>
                <w:u w:val="none"/>
                <w:lang w:val="en-US" w:eastAsia="zh-CN"/>
              </w:rPr>
              <w:t>一、二、三标段：577</w:t>
            </w:r>
            <w:r>
              <w:rPr>
                <w:color w:val="auto"/>
                <w:sz w:val="24"/>
                <w:szCs w:val="24"/>
                <w:highlight w:val="none"/>
                <w:u w:val="none"/>
              </w:rPr>
              <w:t>日历天</w:t>
            </w:r>
            <w:r>
              <w:rPr>
                <w:rFonts w:hint="eastAsia"/>
                <w:color w:val="auto"/>
                <w:sz w:val="24"/>
                <w:szCs w:val="24"/>
                <w:highlight w:val="none"/>
                <w:u w:val="none"/>
                <w:lang w:eastAsia="zh-CN"/>
              </w:rPr>
              <w:t>，</w:t>
            </w:r>
            <w:r>
              <w:rPr>
                <w:rFonts w:hint="eastAsia"/>
                <w:color w:val="auto"/>
                <w:sz w:val="24"/>
                <w:szCs w:val="24"/>
                <w:highlight w:val="none"/>
                <w:u w:val="none"/>
                <w:lang w:val="en-US" w:eastAsia="zh-CN"/>
              </w:rPr>
              <w:t>四标段：943</w:t>
            </w:r>
            <w:r>
              <w:rPr>
                <w:color w:val="auto"/>
                <w:sz w:val="24"/>
                <w:szCs w:val="24"/>
                <w:highlight w:val="none"/>
                <w:u w:val="none"/>
              </w:rPr>
              <w:t>日历天</w:t>
            </w:r>
            <w:r>
              <w:rPr>
                <w:color w:val="auto"/>
                <w:sz w:val="24"/>
                <w:szCs w:val="24"/>
                <w:highlight w:val="none"/>
              </w:rPr>
              <w:t>。</w:t>
            </w:r>
          </w:p>
          <w:p w14:paraId="4C94AF22">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投标承诺工期不得超过该计划工期。</w:t>
            </w:r>
          </w:p>
          <w:p w14:paraId="3FD8B0D1">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color w:val="auto"/>
                <w:sz w:val="24"/>
                <w:szCs w:val="24"/>
                <w:highlight w:val="none"/>
                <w:lang w:eastAsia="zh-CN"/>
              </w:rPr>
            </w:pPr>
            <w:r>
              <w:rPr>
                <w:color w:val="auto"/>
                <w:sz w:val="24"/>
                <w:szCs w:val="24"/>
                <w:highlight w:val="none"/>
              </w:rPr>
              <w:t>计划开始工作日期：</w:t>
            </w:r>
            <w:r>
              <w:rPr>
                <w:rFonts w:hint="eastAsia"/>
                <w:color w:val="auto"/>
                <w:sz w:val="24"/>
                <w:szCs w:val="24"/>
                <w:highlight w:val="none"/>
                <w:u w:val="none"/>
                <w:lang w:val="en-US" w:eastAsia="zh-CN"/>
              </w:rPr>
              <w:t>2026</w:t>
            </w:r>
            <w:r>
              <w:rPr>
                <w:color w:val="auto"/>
                <w:sz w:val="24"/>
                <w:szCs w:val="24"/>
                <w:highlight w:val="none"/>
                <w:u w:val="none"/>
              </w:rPr>
              <w:t>年</w:t>
            </w:r>
            <w:r>
              <w:rPr>
                <w:rFonts w:hint="eastAsia"/>
                <w:color w:val="auto"/>
                <w:sz w:val="24"/>
                <w:szCs w:val="24"/>
                <w:highlight w:val="none"/>
                <w:u w:val="none"/>
                <w:lang w:val="en-US" w:eastAsia="zh-CN"/>
              </w:rPr>
              <w:t>1</w:t>
            </w:r>
            <w:r>
              <w:rPr>
                <w:color w:val="auto"/>
                <w:sz w:val="24"/>
                <w:szCs w:val="24"/>
                <w:highlight w:val="none"/>
                <w:u w:val="none"/>
              </w:rPr>
              <w:t>月</w:t>
            </w:r>
            <w:r>
              <w:rPr>
                <w:rFonts w:hint="eastAsia"/>
                <w:color w:val="auto"/>
                <w:sz w:val="24"/>
                <w:szCs w:val="24"/>
                <w:highlight w:val="none"/>
                <w:u w:val="none"/>
                <w:lang w:val="en-US" w:eastAsia="zh-CN"/>
              </w:rPr>
              <w:t>1</w:t>
            </w:r>
            <w:r>
              <w:rPr>
                <w:color w:val="auto"/>
                <w:sz w:val="24"/>
                <w:szCs w:val="24"/>
                <w:highlight w:val="none"/>
                <w:u w:val="none"/>
              </w:rPr>
              <w:t>日</w:t>
            </w:r>
            <w:r>
              <w:rPr>
                <w:rFonts w:hint="eastAsia"/>
                <w:color w:val="auto"/>
                <w:sz w:val="24"/>
                <w:szCs w:val="24"/>
                <w:highlight w:val="none"/>
                <w:u w:val="none"/>
                <w:lang w:eastAsia="zh-CN"/>
              </w:rPr>
              <w:t>。</w:t>
            </w:r>
          </w:p>
          <w:p w14:paraId="60D8DC0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color w:val="auto"/>
                <w:sz w:val="24"/>
                <w:szCs w:val="24"/>
                <w:highlight w:val="none"/>
                <w:lang w:eastAsia="zh-CN"/>
              </w:rPr>
            </w:pPr>
            <w:r>
              <w:rPr>
                <w:color w:val="auto"/>
                <w:sz w:val="24"/>
                <w:szCs w:val="24"/>
                <w:highlight w:val="none"/>
              </w:rPr>
              <w:t>计划开始施工日期：</w:t>
            </w:r>
            <w:r>
              <w:rPr>
                <w:rFonts w:hint="eastAsia"/>
                <w:color w:val="auto"/>
                <w:sz w:val="24"/>
                <w:szCs w:val="24"/>
                <w:highlight w:val="none"/>
                <w:u w:val="none"/>
                <w:lang w:val="en-US" w:eastAsia="zh-CN"/>
              </w:rPr>
              <w:t>2026</w:t>
            </w:r>
            <w:r>
              <w:rPr>
                <w:color w:val="auto"/>
                <w:sz w:val="24"/>
                <w:szCs w:val="24"/>
                <w:highlight w:val="none"/>
                <w:u w:val="none"/>
              </w:rPr>
              <w:t>年</w:t>
            </w:r>
            <w:r>
              <w:rPr>
                <w:rFonts w:hint="eastAsia"/>
                <w:color w:val="auto"/>
                <w:sz w:val="24"/>
                <w:szCs w:val="24"/>
                <w:highlight w:val="none"/>
                <w:u w:val="none"/>
                <w:lang w:val="en-US" w:eastAsia="zh-CN"/>
              </w:rPr>
              <w:t>3</w:t>
            </w:r>
            <w:r>
              <w:rPr>
                <w:color w:val="auto"/>
                <w:sz w:val="24"/>
                <w:szCs w:val="24"/>
                <w:highlight w:val="none"/>
                <w:u w:val="none"/>
              </w:rPr>
              <w:t>月</w:t>
            </w:r>
            <w:r>
              <w:rPr>
                <w:rFonts w:hint="eastAsia"/>
                <w:color w:val="auto"/>
                <w:sz w:val="24"/>
                <w:szCs w:val="24"/>
                <w:highlight w:val="none"/>
                <w:u w:val="none"/>
                <w:lang w:val="en-US" w:eastAsia="zh-CN"/>
              </w:rPr>
              <w:t>1</w:t>
            </w:r>
            <w:r>
              <w:rPr>
                <w:color w:val="auto"/>
                <w:sz w:val="24"/>
                <w:szCs w:val="24"/>
                <w:highlight w:val="none"/>
                <w:u w:val="none"/>
              </w:rPr>
              <w:t>日</w:t>
            </w:r>
            <w:r>
              <w:rPr>
                <w:rFonts w:hint="eastAsia"/>
                <w:color w:val="auto"/>
                <w:sz w:val="24"/>
                <w:szCs w:val="24"/>
                <w:highlight w:val="none"/>
                <w:u w:val="none"/>
                <w:lang w:eastAsia="zh-CN"/>
              </w:rPr>
              <w:t>。</w:t>
            </w:r>
          </w:p>
          <w:p w14:paraId="5C748F7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highlight w:val="none"/>
              </w:rPr>
              <w:t>计划竣工日期：</w:t>
            </w:r>
            <w:r>
              <w:rPr>
                <w:rFonts w:hint="eastAsia"/>
                <w:color w:val="auto"/>
                <w:sz w:val="24"/>
                <w:szCs w:val="24"/>
                <w:highlight w:val="none"/>
                <w:u w:val="none"/>
                <w:lang w:val="en-US" w:eastAsia="zh-CN"/>
              </w:rPr>
              <w:t>一、二、三标段：2027</w:t>
            </w:r>
            <w:r>
              <w:rPr>
                <w:color w:val="auto"/>
                <w:sz w:val="24"/>
                <w:szCs w:val="24"/>
                <w:highlight w:val="none"/>
                <w:u w:val="none"/>
              </w:rPr>
              <w:t>年</w:t>
            </w:r>
            <w:r>
              <w:rPr>
                <w:rFonts w:hint="eastAsia"/>
                <w:color w:val="auto"/>
                <w:sz w:val="24"/>
                <w:szCs w:val="24"/>
                <w:highlight w:val="none"/>
                <w:u w:val="none"/>
                <w:lang w:val="en-US" w:eastAsia="zh-CN"/>
              </w:rPr>
              <w:t>7</w:t>
            </w:r>
            <w:r>
              <w:rPr>
                <w:color w:val="auto"/>
                <w:sz w:val="24"/>
                <w:szCs w:val="24"/>
                <w:highlight w:val="none"/>
                <w:u w:val="none"/>
              </w:rPr>
              <w:t>月</w:t>
            </w:r>
            <w:r>
              <w:rPr>
                <w:rFonts w:hint="eastAsia"/>
                <w:color w:val="auto"/>
                <w:sz w:val="24"/>
                <w:szCs w:val="24"/>
                <w:highlight w:val="none"/>
                <w:u w:val="none"/>
                <w:lang w:val="en-US" w:eastAsia="zh-CN"/>
              </w:rPr>
              <w:t>31</w:t>
            </w:r>
            <w:r>
              <w:rPr>
                <w:color w:val="auto"/>
                <w:sz w:val="24"/>
                <w:szCs w:val="24"/>
                <w:highlight w:val="none"/>
                <w:u w:val="none"/>
              </w:rPr>
              <w:t>日</w:t>
            </w:r>
            <w:r>
              <w:rPr>
                <w:rFonts w:hint="eastAsia"/>
                <w:color w:val="auto"/>
                <w:sz w:val="24"/>
                <w:szCs w:val="24"/>
                <w:highlight w:val="none"/>
                <w:u w:val="none"/>
                <w:lang w:eastAsia="zh-CN"/>
              </w:rPr>
              <w:t>，</w:t>
            </w:r>
            <w:r>
              <w:rPr>
                <w:rFonts w:hint="eastAsia"/>
                <w:color w:val="auto"/>
                <w:sz w:val="24"/>
                <w:szCs w:val="24"/>
                <w:highlight w:val="none"/>
                <w:u w:val="none"/>
                <w:lang w:val="en-US" w:eastAsia="zh-CN"/>
              </w:rPr>
              <w:t>四标段：2028</w:t>
            </w:r>
            <w:r>
              <w:rPr>
                <w:color w:val="auto"/>
                <w:sz w:val="24"/>
                <w:szCs w:val="24"/>
                <w:highlight w:val="none"/>
                <w:u w:val="none"/>
              </w:rPr>
              <w:t>年</w:t>
            </w:r>
            <w:r>
              <w:rPr>
                <w:rFonts w:hint="eastAsia"/>
                <w:color w:val="auto"/>
                <w:sz w:val="24"/>
                <w:szCs w:val="24"/>
                <w:highlight w:val="none"/>
                <w:u w:val="none"/>
                <w:lang w:val="en-US" w:eastAsia="zh-CN"/>
              </w:rPr>
              <w:t>7</w:t>
            </w:r>
            <w:r>
              <w:rPr>
                <w:color w:val="auto"/>
                <w:sz w:val="24"/>
                <w:szCs w:val="24"/>
                <w:highlight w:val="none"/>
                <w:u w:val="none"/>
              </w:rPr>
              <w:t>月</w:t>
            </w:r>
            <w:r>
              <w:rPr>
                <w:rFonts w:hint="eastAsia"/>
                <w:color w:val="auto"/>
                <w:sz w:val="24"/>
                <w:szCs w:val="24"/>
                <w:highlight w:val="none"/>
                <w:u w:val="none"/>
                <w:lang w:val="en-US" w:eastAsia="zh-CN"/>
              </w:rPr>
              <w:t>31</w:t>
            </w:r>
            <w:r>
              <w:rPr>
                <w:color w:val="auto"/>
                <w:sz w:val="24"/>
                <w:szCs w:val="24"/>
                <w:highlight w:val="none"/>
                <w:u w:val="none"/>
              </w:rPr>
              <w:t>日。</w:t>
            </w:r>
          </w:p>
        </w:tc>
      </w:tr>
      <w:tr w14:paraId="22FBF964">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6093C1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1.3.3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B6824D2">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质量标准</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5B4B2A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rPr>
            </w:pPr>
            <w:r>
              <w:rPr>
                <w:rFonts w:hint="eastAsia"/>
                <w:color w:val="auto"/>
                <w:sz w:val="24"/>
                <w:szCs w:val="24"/>
              </w:rPr>
              <w:t>①设计质量标准：满足现行设计规范的要求，并通过相关部门的综合审查、验收。</w:t>
            </w:r>
          </w:p>
          <w:p w14:paraId="693B28E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rPr>
              <w:t>②施工质量标准：合格。</w:t>
            </w:r>
          </w:p>
        </w:tc>
      </w:tr>
      <w:tr w14:paraId="213D5737">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058ACD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1.4.1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1997C48">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投标人资质条件、能力和信誉</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754DC0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见招标公告内容</w:t>
            </w:r>
          </w:p>
          <w:p w14:paraId="74E55D32">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见投标邀请书内容</w:t>
            </w:r>
          </w:p>
        </w:tc>
      </w:tr>
      <w:tr w14:paraId="7D74ED0C">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43FEEE5">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1.4.2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1D4FD5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是否接受联合体投标</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D99E68C">
            <w:pPr>
              <w:pStyle w:val="15"/>
              <w:keepNext w:val="0"/>
              <w:keepLines w:val="0"/>
              <w:pageBreakBefore w:val="0"/>
              <w:widowControl w:val="0"/>
              <w:kinsoku/>
              <w:wordWrap w:val="0"/>
              <w:overflowPunct/>
              <w:topLinePunct/>
              <w:bidi w:val="0"/>
              <w:adjustRightInd/>
              <w:snapToGrid/>
              <w:spacing w:line="400" w:lineRule="exact"/>
              <w:ind w:left="0" w:leftChars="0" w:right="0" w:rightChars="0" w:firstLine="0" w:firstLineChars="0"/>
              <w:textAlignment w:val="auto"/>
              <w:outlineLvl w:val="9"/>
              <w:rPr>
                <w:rFonts w:ascii="Times New Roman" w:hAnsi="Times New Roman" w:eastAsia="宋体" w:cs="Times New Roman"/>
                <w:color w:val="auto"/>
                <w:kern w:val="2"/>
                <w:sz w:val="24"/>
                <w:szCs w:val="24"/>
                <w:lang w:val="en-US" w:eastAsia="zh-CN" w:bidi="ar-SA"/>
              </w:rPr>
            </w:pPr>
            <w:r>
              <w:rPr>
                <w:rFonts w:hint="eastAsia" w:ascii="Times New Roman" w:cs="Times New Roman"/>
                <w:color w:val="auto"/>
                <w:kern w:val="2"/>
                <w:sz w:val="24"/>
                <w:szCs w:val="24"/>
                <w:lang w:val="en-US" w:eastAsia="zh-CN" w:bidi="ar-SA"/>
              </w:rPr>
              <w:t>□</w:t>
            </w:r>
            <w:r>
              <w:rPr>
                <w:rFonts w:ascii="Times New Roman" w:hAnsi="Times New Roman" w:eastAsia="宋体" w:cs="Times New Roman"/>
                <w:color w:val="auto"/>
                <w:kern w:val="2"/>
                <w:sz w:val="24"/>
                <w:szCs w:val="24"/>
                <w:lang w:val="en-US" w:eastAsia="zh-CN" w:bidi="ar-SA"/>
              </w:rPr>
              <w:t>不接受</w:t>
            </w:r>
          </w:p>
          <w:p w14:paraId="30702D9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接受，应</w:t>
            </w:r>
            <w:r>
              <w:rPr>
                <w:rFonts w:cs="Times New Roman"/>
                <w:color w:val="auto"/>
                <w:sz w:val="24"/>
                <w:szCs w:val="24"/>
              </w:rPr>
              <w:t>满足</w:t>
            </w:r>
            <w:r>
              <w:rPr>
                <w:color w:val="auto"/>
                <w:sz w:val="24"/>
                <w:szCs w:val="24"/>
              </w:rPr>
              <w:t>下列要求：见</w:t>
            </w:r>
            <w:r>
              <w:rPr>
                <w:rFonts w:hint="eastAsia"/>
                <w:color w:val="auto"/>
                <w:sz w:val="24"/>
                <w:szCs w:val="24"/>
                <w:lang w:eastAsia="zh-CN"/>
              </w:rPr>
              <w:t>☑</w:t>
            </w:r>
            <w:r>
              <w:rPr>
                <w:color w:val="auto"/>
                <w:sz w:val="24"/>
                <w:szCs w:val="24"/>
              </w:rPr>
              <w:t>招标公告</w:t>
            </w:r>
            <w:r>
              <w:rPr>
                <w:rFonts w:hint="eastAsia"/>
                <w:color w:val="auto"/>
                <w:sz w:val="24"/>
                <w:szCs w:val="24"/>
                <w:lang w:eastAsia="zh-CN"/>
              </w:rPr>
              <w:t>□</w:t>
            </w:r>
            <w:r>
              <w:rPr>
                <w:color w:val="auto"/>
                <w:sz w:val="24"/>
                <w:szCs w:val="24"/>
              </w:rPr>
              <w:t>投标邀请书及投标人须知相应条款内容要求。</w:t>
            </w:r>
          </w:p>
        </w:tc>
      </w:tr>
      <w:tr w14:paraId="4D34C5B4">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1643257">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1.4.2（3）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8D3B8A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highlight w:val="none"/>
              </w:rPr>
            </w:pPr>
            <w:r>
              <w:rPr>
                <w:color w:val="auto"/>
                <w:sz w:val="24"/>
                <w:szCs w:val="24"/>
                <w:highlight w:val="none"/>
              </w:rPr>
              <w:t>联合体投标其他要求</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BD4E52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highlight w:val="none"/>
              </w:rPr>
            </w:pPr>
            <w:r>
              <w:rPr>
                <w:rFonts w:cs="Times New Roman"/>
                <w:color w:val="auto"/>
                <w:sz w:val="24"/>
                <w:szCs w:val="24"/>
                <w:highlight w:val="none"/>
              </w:rPr>
              <w:t>1.</w:t>
            </w:r>
            <w:r>
              <w:rPr>
                <w:rFonts w:hint="eastAsia" w:cs="Times New Roman"/>
                <w:color w:val="auto"/>
                <w:sz w:val="24"/>
                <w:szCs w:val="24"/>
                <w:highlight w:val="none"/>
                <w:lang w:eastAsia="zh-CN"/>
              </w:rPr>
              <w:t>发包</w:t>
            </w:r>
            <w:r>
              <w:rPr>
                <w:rFonts w:cs="Times New Roman"/>
                <w:color w:val="auto"/>
                <w:sz w:val="24"/>
                <w:szCs w:val="24"/>
                <w:highlight w:val="none"/>
              </w:rPr>
              <w:t>人支付项目</w:t>
            </w:r>
            <w:r>
              <w:rPr>
                <w:rFonts w:hint="eastAsia" w:cs="Times New Roman"/>
                <w:color w:val="auto"/>
                <w:sz w:val="24"/>
                <w:szCs w:val="24"/>
                <w:highlight w:val="none"/>
                <w:lang w:eastAsia="zh-CN"/>
              </w:rPr>
              <w:t>建设</w:t>
            </w:r>
            <w:r>
              <w:rPr>
                <w:rFonts w:cs="Times New Roman"/>
                <w:color w:val="auto"/>
                <w:sz w:val="24"/>
                <w:szCs w:val="24"/>
                <w:highlight w:val="none"/>
              </w:rPr>
              <w:t>费用的约定：</w:t>
            </w:r>
          </w:p>
          <w:p w14:paraId="4B93B29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highlight w:val="none"/>
              </w:rPr>
            </w:pPr>
            <w:r>
              <w:rPr>
                <w:rFonts w:hint="eastAsia" w:cs="Times New Roman"/>
                <w:color w:val="auto"/>
                <w:sz w:val="24"/>
                <w:szCs w:val="24"/>
                <w:highlight w:val="none"/>
                <w:lang w:eastAsia="zh-CN"/>
              </w:rPr>
              <w:t>□</w:t>
            </w:r>
            <w:r>
              <w:rPr>
                <w:rFonts w:cs="Times New Roman"/>
                <w:color w:val="auto"/>
                <w:sz w:val="24"/>
                <w:szCs w:val="24"/>
                <w:highlight w:val="none"/>
              </w:rPr>
              <w:t>（1）由</w:t>
            </w:r>
            <w:r>
              <w:rPr>
                <w:rFonts w:hint="eastAsia" w:cs="Times New Roman"/>
                <w:color w:val="auto"/>
                <w:sz w:val="24"/>
                <w:szCs w:val="24"/>
                <w:highlight w:val="none"/>
                <w:lang w:eastAsia="zh-CN"/>
              </w:rPr>
              <w:t>发包</w:t>
            </w:r>
            <w:r>
              <w:rPr>
                <w:rFonts w:cs="Times New Roman"/>
                <w:color w:val="auto"/>
                <w:sz w:val="24"/>
                <w:szCs w:val="24"/>
                <w:highlight w:val="none"/>
              </w:rPr>
              <w:t>人直接支付给牵头</w:t>
            </w:r>
            <w:r>
              <w:rPr>
                <w:rFonts w:hint="eastAsia" w:cs="Times New Roman"/>
                <w:color w:val="auto"/>
                <w:sz w:val="24"/>
                <w:szCs w:val="24"/>
                <w:highlight w:val="none"/>
                <w:lang w:eastAsia="zh-CN"/>
              </w:rPr>
              <w:t>单位</w:t>
            </w:r>
            <w:r>
              <w:rPr>
                <w:rFonts w:cs="Times New Roman"/>
                <w:color w:val="auto"/>
                <w:sz w:val="24"/>
                <w:szCs w:val="24"/>
                <w:highlight w:val="none"/>
              </w:rPr>
              <w:t>，再由牵头</w:t>
            </w:r>
            <w:r>
              <w:rPr>
                <w:rFonts w:hint="eastAsia" w:cs="Times New Roman"/>
                <w:color w:val="auto"/>
                <w:sz w:val="24"/>
                <w:szCs w:val="24"/>
                <w:highlight w:val="none"/>
                <w:lang w:eastAsia="zh-CN"/>
              </w:rPr>
              <w:t>单位</w:t>
            </w:r>
            <w:r>
              <w:rPr>
                <w:rFonts w:cs="Times New Roman"/>
                <w:color w:val="auto"/>
                <w:sz w:val="24"/>
                <w:szCs w:val="24"/>
                <w:highlight w:val="none"/>
              </w:rPr>
              <w:t>按工作内容分配；</w:t>
            </w:r>
          </w:p>
          <w:p w14:paraId="0526CC8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eastAsia" w:cs="Times New Roman"/>
                <w:color w:val="auto"/>
                <w:sz w:val="24"/>
                <w:szCs w:val="24"/>
                <w:highlight w:val="none"/>
                <w:lang w:eastAsia="zh-CN"/>
              </w:rPr>
              <w:t>）</w:t>
            </w:r>
            <w:r>
              <w:rPr>
                <w:rFonts w:cs="Times New Roman"/>
                <w:color w:val="auto"/>
                <w:sz w:val="24"/>
                <w:szCs w:val="24"/>
                <w:highlight w:val="none"/>
              </w:rPr>
              <w:t>由</w:t>
            </w:r>
            <w:r>
              <w:rPr>
                <w:rFonts w:hint="eastAsia" w:cs="Times New Roman"/>
                <w:color w:val="auto"/>
                <w:sz w:val="24"/>
                <w:szCs w:val="24"/>
                <w:highlight w:val="none"/>
                <w:lang w:eastAsia="zh-CN"/>
              </w:rPr>
              <w:t>发包</w:t>
            </w:r>
            <w:r>
              <w:rPr>
                <w:rFonts w:cs="Times New Roman"/>
                <w:color w:val="auto"/>
                <w:sz w:val="24"/>
                <w:szCs w:val="24"/>
                <w:highlight w:val="none"/>
              </w:rPr>
              <w:t>人按联合体成员职责分工，分别支付给联合体各成员；</w:t>
            </w:r>
          </w:p>
          <w:p w14:paraId="155F8F8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cs="Times New Roman"/>
                <w:color w:val="auto"/>
                <w:sz w:val="24"/>
                <w:szCs w:val="24"/>
                <w:highlight w:val="none"/>
              </w:rPr>
              <w:t>中标后由发承包双方另行约定；</w:t>
            </w:r>
          </w:p>
          <w:p w14:paraId="3B0BD22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highlight w:val="none"/>
              </w:rPr>
            </w:pPr>
            <w:r>
              <w:rPr>
                <w:rFonts w:hint="eastAsia" w:cs="Times New Roman"/>
                <w:color w:val="auto"/>
                <w:sz w:val="24"/>
                <w:szCs w:val="24"/>
                <w:highlight w:val="none"/>
                <w:lang w:eastAsia="zh-CN"/>
              </w:rPr>
              <w:t>□</w:t>
            </w:r>
            <w:r>
              <w:rPr>
                <w:rFonts w:cs="Times New Roman"/>
                <w:color w:val="auto"/>
                <w:sz w:val="24"/>
                <w:szCs w:val="24"/>
                <w:highlight w:val="none"/>
              </w:rPr>
              <w:t>（4）其他约定：</w:t>
            </w:r>
            <w:r>
              <w:rPr>
                <w:rFonts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w:t>
            </w:r>
            <w:r>
              <w:rPr>
                <w:rFonts w:cs="Times New Roman"/>
                <w:color w:val="auto"/>
                <w:sz w:val="24"/>
                <w:szCs w:val="24"/>
                <w:highlight w:val="none"/>
                <w:u w:val="single"/>
              </w:rPr>
              <w:t xml:space="preserve"> </w:t>
            </w:r>
            <w:r>
              <w:rPr>
                <w:rFonts w:cs="Times New Roman"/>
                <w:color w:val="auto"/>
                <w:sz w:val="24"/>
                <w:szCs w:val="24"/>
                <w:highlight w:val="none"/>
              </w:rPr>
              <w:t>。</w:t>
            </w:r>
          </w:p>
          <w:p w14:paraId="2091624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rFonts w:cs="Times New Roman"/>
                <w:color w:val="auto"/>
                <w:sz w:val="24"/>
                <w:szCs w:val="24"/>
                <w:highlight w:val="none"/>
              </w:rPr>
              <w:t>2.其他：</w:t>
            </w:r>
            <w:r>
              <w:rPr>
                <w:rFonts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w:t>
            </w:r>
            <w:r>
              <w:rPr>
                <w:rFonts w:cs="Times New Roman"/>
                <w:color w:val="auto"/>
                <w:sz w:val="24"/>
                <w:szCs w:val="24"/>
                <w:highlight w:val="none"/>
                <w:u w:val="single"/>
              </w:rPr>
              <w:t xml:space="preserve"> </w:t>
            </w:r>
            <w:r>
              <w:rPr>
                <w:rFonts w:cs="Times New Roman"/>
                <w:color w:val="auto"/>
                <w:sz w:val="24"/>
                <w:szCs w:val="24"/>
                <w:highlight w:val="none"/>
              </w:rPr>
              <w:t>。</w:t>
            </w:r>
          </w:p>
        </w:tc>
      </w:tr>
      <w:tr w14:paraId="0EB18AD3">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BD4E935">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1.5.2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1414B9C">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设计成果补偿</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CF9007A">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不补偿</w:t>
            </w:r>
          </w:p>
          <w:p w14:paraId="5B6C8F0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rFonts w:hint="eastAsia"/>
                <w:color w:val="auto"/>
                <w:sz w:val="24"/>
                <w:szCs w:val="24"/>
                <w:lang w:eastAsia="zh-CN"/>
              </w:rPr>
              <w:t>□</w:t>
            </w:r>
            <w:r>
              <w:rPr>
                <w:color w:val="auto"/>
                <w:sz w:val="24"/>
                <w:szCs w:val="24"/>
              </w:rPr>
              <w:t>补偿，补偿标准：</w:t>
            </w:r>
            <w:r>
              <w:rPr>
                <w:rFonts w:hint="eastAsia"/>
                <w:color w:val="auto"/>
                <w:sz w:val="24"/>
                <w:szCs w:val="24"/>
                <w:u w:val="single"/>
                <w:lang w:val="en-US" w:eastAsia="zh-CN"/>
              </w:rPr>
              <w:t xml:space="preserve"> / </w:t>
            </w:r>
            <w:r>
              <w:rPr>
                <w:rFonts w:hint="eastAsia"/>
                <w:color w:val="auto"/>
                <w:sz w:val="24"/>
                <w:szCs w:val="24"/>
                <w:u w:val="none"/>
                <w:lang w:val="en-US" w:eastAsia="zh-CN"/>
              </w:rPr>
              <w:t xml:space="preserve">。 </w:t>
            </w:r>
          </w:p>
        </w:tc>
      </w:tr>
      <w:tr w14:paraId="0D066180">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113FCB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1.9.1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99FEE7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踏勘现场</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103BC8C">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color w:val="auto"/>
                <w:sz w:val="24"/>
                <w:szCs w:val="24"/>
                <w:lang w:eastAsia="zh-CN"/>
              </w:rPr>
            </w:pPr>
            <w:r>
              <w:rPr>
                <w:color w:val="auto"/>
                <w:sz w:val="24"/>
                <w:szCs w:val="24"/>
              </w:rPr>
              <w:sym w:font="Wingdings 2" w:char="00A3"/>
            </w:r>
            <w:r>
              <w:rPr>
                <w:rFonts w:hint="eastAsia"/>
                <w:color w:val="auto"/>
                <w:sz w:val="24"/>
                <w:szCs w:val="24"/>
                <w:lang w:eastAsia="zh-CN"/>
              </w:rPr>
              <w:t>不踏勘。</w:t>
            </w:r>
          </w:p>
          <w:p w14:paraId="585F4950">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sym w:font="Wingdings 2" w:char="0052"/>
            </w:r>
            <w:r>
              <w:rPr>
                <w:color w:val="auto"/>
                <w:sz w:val="24"/>
                <w:szCs w:val="24"/>
              </w:rPr>
              <w:t>投标人自行踏勘。</w:t>
            </w:r>
          </w:p>
          <w:p w14:paraId="4F2CACE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由招标人组织，时间和地点：</w:t>
            </w:r>
            <w:r>
              <w:rPr>
                <w:color w:val="auto"/>
                <w:sz w:val="24"/>
                <w:szCs w:val="24"/>
                <w:u w:val="single"/>
              </w:rPr>
              <w:t xml:space="preserve"> </w:t>
            </w:r>
            <w:r>
              <w:rPr>
                <w:rFonts w:hint="eastAsia"/>
                <w:color w:val="auto"/>
                <w:sz w:val="24"/>
                <w:szCs w:val="24"/>
                <w:u w:val="single"/>
                <w:lang w:val="en-US" w:eastAsia="zh-CN"/>
              </w:rPr>
              <w:t>/</w:t>
            </w:r>
            <w:r>
              <w:rPr>
                <w:color w:val="auto"/>
                <w:sz w:val="24"/>
                <w:szCs w:val="24"/>
                <w:u w:val="single"/>
              </w:rPr>
              <w:t xml:space="preserve"> </w:t>
            </w:r>
            <w:r>
              <w:rPr>
                <w:color w:val="auto"/>
                <w:sz w:val="24"/>
                <w:szCs w:val="24"/>
              </w:rPr>
              <w:t xml:space="preserve">。 </w:t>
            </w:r>
          </w:p>
          <w:p w14:paraId="2FD82A67">
            <w:pPr>
              <w:keepNext w:val="0"/>
              <w:keepLines w:val="0"/>
              <w:pageBreakBefore w:val="0"/>
              <w:widowControl w:val="0"/>
              <w:kinsoku/>
              <w:wordWrap w:val="0"/>
              <w:overflowPunct/>
              <w:bidi w:val="0"/>
              <w:adjustRightInd/>
              <w:snapToGrid/>
              <w:spacing w:line="400" w:lineRule="exact"/>
              <w:ind w:left="0" w:leftChars="0" w:right="0" w:rightChars="0" w:firstLine="240" w:firstLineChars="100"/>
              <w:textAlignment w:val="auto"/>
              <w:outlineLvl w:val="9"/>
              <w:rPr>
                <w:color w:val="auto"/>
                <w:sz w:val="24"/>
                <w:szCs w:val="24"/>
              </w:rPr>
            </w:pPr>
            <w:r>
              <w:rPr>
                <w:color w:val="auto"/>
                <w:sz w:val="24"/>
                <w:szCs w:val="24"/>
              </w:rPr>
              <w:t>联系人和联系电话：</w:t>
            </w:r>
            <w:r>
              <w:rPr>
                <w:color w:val="auto"/>
                <w:sz w:val="24"/>
                <w:szCs w:val="24"/>
                <w:u w:val="single"/>
              </w:rPr>
              <w:t xml:space="preserve"> </w:t>
            </w:r>
            <w:r>
              <w:rPr>
                <w:rFonts w:hint="eastAsia"/>
                <w:color w:val="auto"/>
                <w:sz w:val="24"/>
                <w:szCs w:val="24"/>
                <w:u w:val="single"/>
                <w:lang w:val="en-US" w:eastAsia="zh-CN"/>
              </w:rPr>
              <w:t>/</w:t>
            </w:r>
            <w:r>
              <w:rPr>
                <w:color w:val="auto"/>
                <w:sz w:val="24"/>
                <w:szCs w:val="24"/>
                <w:u w:val="single"/>
              </w:rPr>
              <w:t xml:space="preserve"> </w:t>
            </w:r>
            <w:r>
              <w:rPr>
                <w:color w:val="auto"/>
                <w:sz w:val="24"/>
                <w:szCs w:val="24"/>
              </w:rPr>
              <w:t>。</w:t>
            </w:r>
          </w:p>
        </w:tc>
      </w:tr>
      <w:tr w14:paraId="21A73D87">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C1192D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1.10.1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9E71D7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投标预备会</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832EC5D">
            <w:pPr>
              <w:keepNext w:val="0"/>
              <w:keepLines w:val="0"/>
              <w:pageBreakBefore w:val="0"/>
              <w:widowControl w:val="0"/>
              <w:kinsoku/>
              <w:overflowPunct/>
              <w:bidi w:val="0"/>
              <w:adjustRightInd/>
              <w:snapToGrid/>
              <w:spacing w:line="400" w:lineRule="exact"/>
              <w:ind w:left="0" w:leftChars="0" w:firstLine="0" w:firstLineChars="0"/>
              <w:textAlignment w:val="auto"/>
              <w:rPr>
                <w:rFonts w:hint="eastAsia"/>
                <w:color w:val="auto"/>
                <w:sz w:val="24"/>
                <w:szCs w:val="24"/>
                <w:lang w:val="en-US" w:eastAsia="zh-CN"/>
              </w:rPr>
            </w:pPr>
            <w:r>
              <w:rPr>
                <w:color w:val="auto"/>
                <w:sz w:val="24"/>
                <w:szCs w:val="24"/>
                <w:lang w:val="en-US" w:eastAsia="zh-CN"/>
              </w:rPr>
              <w:sym w:font="Wingdings 2" w:char="0052"/>
            </w:r>
            <w:r>
              <w:rPr>
                <w:rFonts w:hint="eastAsia"/>
                <w:color w:val="auto"/>
                <w:sz w:val="24"/>
                <w:szCs w:val="24"/>
                <w:lang w:val="en-US" w:eastAsia="zh-CN"/>
              </w:rPr>
              <w:t>不召开。</w:t>
            </w:r>
          </w:p>
          <w:p w14:paraId="16EB191D">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color w:val="auto"/>
                <w:sz w:val="24"/>
                <w:szCs w:val="24"/>
              </w:rPr>
              <w:sym w:font="Wingdings 2" w:char="00A3"/>
            </w:r>
            <w:r>
              <w:rPr>
                <w:color w:val="auto"/>
                <w:sz w:val="24"/>
                <w:szCs w:val="24"/>
              </w:rPr>
              <w:t>召开，召开时间：</w:t>
            </w:r>
            <w:r>
              <w:rPr>
                <w:rFonts w:hint="eastAsia"/>
                <w:color w:val="auto"/>
                <w:sz w:val="24"/>
                <w:szCs w:val="24"/>
                <w:u w:val="single"/>
                <w:lang w:val="en-US" w:eastAsia="zh-CN"/>
              </w:rPr>
              <w:t xml:space="preserve"> / </w:t>
            </w:r>
            <w:r>
              <w:rPr>
                <w:rFonts w:hint="eastAsia"/>
                <w:color w:val="auto"/>
                <w:sz w:val="24"/>
                <w:szCs w:val="24"/>
                <w:u w:val="none"/>
                <w:lang w:val="en-US" w:eastAsia="zh-CN"/>
              </w:rPr>
              <w:t>；</w:t>
            </w:r>
            <w:r>
              <w:rPr>
                <w:color w:val="auto"/>
                <w:sz w:val="24"/>
                <w:szCs w:val="24"/>
              </w:rPr>
              <w:t>召开地点：</w:t>
            </w:r>
            <w:r>
              <w:rPr>
                <w:rFonts w:hint="eastAsia"/>
                <w:color w:val="auto"/>
                <w:sz w:val="24"/>
                <w:szCs w:val="24"/>
                <w:u w:val="single"/>
                <w:lang w:val="en-US" w:eastAsia="zh-CN"/>
              </w:rPr>
              <w:t xml:space="preserve"> / </w:t>
            </w:r>
            <w:r>
              <w:rPr>
                <w:rFonts w:hint="eastAsia"/>
                <w:color w:val="auto"/>
                <w:sz w:val="24"/>
                <w:szCs w:val="24"/>
                <w:u w:val="none"/>
                <w:lang w:val="en-US" w:eastAsia="zh-CN"/>
              </w:rPr>
              <w:t>。</w:t>
            </w:r>
          </w:p>
        </w:tc>
      </w:tr>
      <w:tr w14:paraId="70519067">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E5931A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1.10.2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53415E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投标人提出</w:t>
            </w:r>
            <w:r>
              <w:rPr>
                <w:rFonts w:hint="eastAsia"/>
                <w:color w:val="auto"/>
                <w:sz w:val="24"/>
                <w:szCs w:val="24"/>
                <w:lang w:eastAsia="zh-CN"/>
              </w:rPr>
              <w:t>异议</w:t>
            </w:r>
            <w:r>
              <w:rPr>
                <w:color w:val="auto"/>
                <w:sz w:val="24"/>
                <w:szCs w:val="24"/>
              </w:rPr>
              <w:t>的截止时间</w:t>
            </w:r>
            <w:r>
              <w:rPr>
                <w:rFonts w:hint="eastAsia"/>
                <w:color w:val="auto"/>
                <w:sz w:val="24"/>
                <w:szCs w:val="24"/>
                <w:lang w:eastAsia="zh-CN"/>
              </w:rPr>
              <w:t>及提交</w:t>
            </w:r>
            <w:r>
              <w:rPr>
                <w:color w:val="auto"/>
                <w:sz w:val="24"/>
                <w:szCs w:val="24"/>
              </w:rPr>
              <w:t>方式</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50985D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截止时间：</w:t>
            </w:r>
            <w:r>
              <w:rPr>
                <w:rFonts w:hint="eastAsia"/>
                <w:color w:val="auto"/>
                <w:sz w:val="24"/>
                <w:szCs w:val="24"/>
                <w:u w:val="single"/>
                <w:lang w:val="en-US" w:eastAsia="zh-CN"/>
              </w:rPr>
              <w:t>2025</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r>
              <w:rPr>
                <w:rFonts w:hint="eastAsia"/>
                <w:color w:val="auto"/>
                <w:sz w:val="24"/>
                <w:szCs w:val="24"/>
                <w:u w:val="single"/>
                <w:lang w:val="en-US" w:eastAsia="zh-CN"/>
              </w:rPr>
              <w:t>09</w:t>
            </w:r>
            <w:r>
              <w:rPr>
                <w:color w:val="auto"/>
                <w:sz w:val="24"/>
                <w:szCs w:val="24"/>
              </w:rPr>
              <w:t>时</w:t>
            </w:r>
          </w:p>
          <w:p w14:paraId="41D7D68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u w:val="single"/>
              </w:rPr>
            </w:pPr>
            <w:r>
              <w:rPr>
                <w:color w:val="auto"/>
                <w:sz w:val="24"/>
                <w:szCs w:val="24"/>
              </w:rPr>
              <w:t>提交方式：</w:t>
            </w:r>
            <w:r>
              <w:rPr>
                <w:rFonts w:hint="eastAsia"/>
                <w:color w:val="auto"/>
                <w:sz w:val="24"/>
                <w:szCs w:val="24"/>
                <w:u w:val="single"/>
                <w:lang w:val="en-US" w:eastAsia="zh-CN"/>
              </w:rPr>
              <w:t>通过</w:t>
            </w:r>
            <w:r>
              <w:rPr>
                <w:rFonts w:hint="eastAsia"/>
                <w:color w:val="auto"/>
                <w:sz w:val="24"/>
                <w:szCs w:val="24"/>
                <w:u w:val="single"/>
              </w:rPr>
              <w:t>河北省公共资源交易服务平台-辛集市公共资源电子交易系统在线提出或向招标人或招标代理机构提出</w:t>
            </w:r>
          </w:p>
          <w:p w14:paraId="771F991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联系</w:t>
            </w:r>
            <w:r>
              <w:rPr>
                <w:rFonts w:hint="eastAsia"/>
                <w:color w:val="auto"/>
                <w:sz w:val="24"/>
                <w:szCs w:val="24"/>
                <w:lang w:eastAsia="zh-CN"/>
              </w:rPr>
              <w:t>人</w:t>
            </w:r>
            <w:r>
              <w:rPr>
                <w:color w:val="auto"/>
                <w:sz w:val="24"/>
                <w:szCs w:val="24"/>
              </w:rPr>
              <w:t>：</w:t>
            </w:r>
            <w:r>
              <w:rPr>
                <w:rFonts w:hint="eastAsia"/>
                <w:color w:val="auto"/>
                <w:sz w:val="24"/>
                <w:szCs w:val="24"/>
                <w:lang w:val="en-US" w:eastAsia="zh-CN"/>
              </w:rPr>
              <w:t xml:space="preserve">    </w:t>
            </w:r>
            <w:r>
              <w:rPr>
                <w:color w:val="auto"/>
                <w:sz w:val="24"/>
                <w:szCs w:val="24"/>
              </w:rPr>
              <w:t>；联系</w:t>
            </w:r>
            <w:r>
              <w:rPr>
                <w:rFonts w:hint="eastAsia"/>
                <w:color w:val="auto"/>
                <w:sz w:val="24"/>
                <w:szCs w:val="24"/>
                <w:lang w:eastAsia="zh-CN"/>
              </w:rPr>
              <w:t>方式</w:t>
            </w:r>
            <w:r>
              <w:rPr>
                <w:color w:val="auto"/>
                <w:sz w:val="24"/>
                <w:szCs w:val="24"/>
              </w:rPr>
              <w:t>：</w:t>
            </w:r>
            <w:r>
              <w:rPr>
                <w:rFonts w:hint="eastAsia"/>
                <w:color w:val="auto"/>
                <w:sz w:val="24"/>
                <w:szCs w:val="24"/>
                <w:lang w:val="en-US" w:eastAsia="zh-CN"/>
              </w:rPr>
              <w:t xml:space="preserve">   </w:t>
            </w:r>
            <w:r>
              <w:rPr>
                <w:color w:val="auto"/>
                <w:sz w:val="24"/>
                <w:szCs w:val="24"/>
              </w:rPr>
              <w:t>。</w:t>
            </w:r>
          </w:p>
        </w:tc>
      </w:tr>
      <w:tr w14:paraId="1E3356DE">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32FC042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1.10.3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C34619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招标文件的</w:t>
            </w:r>
            <w:r>
              <w:rPr>
                <w:rFonts w:hint="eastAsia"/>
                <w:color w:val="auto"/>
                <w:sz w:val="24"/>
                <w:szCs w:val="24"/>
                <w:lang w:eastAsia="zh-CN"/>
              </w:rPr>
              <w:t>澄清和</w:t>
            </w:r>
            <w:r>
              <w:rPr>
                <w:color w:val="auto"/>
                <w:sz w:val="24"/>
                <w:szCs w:val="24"/>
              </w:rPr>
              <w:t>修改</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3A1FB27">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hint="eastAsia" w:eastAsia="宋体"/>
                <w:i/>
                <w:iCs/>
                <w:color w:val="auto"/>
                <w:sz w:val="24"/>
                <w:szCs w:val="24"/>
                <w:u w:val="single"/>
                <w:lang w:eastAsia="zh-CN"/>
              </w:rPr>
            </w:pPr>
            <w:r>
              <w:rPr>
                <w:rFonts w:hint="eastAsia"/>
                <w:color w:val="auto"/>
                <w:sz w:val="24"/>
                <w:szCs w:val="24"/>
                <w:lang w:val="en-US" w:eastAsia="zh-CN"/>
              </w:rPr>
              <w:t>1.</w:t>
            </w:r>
            <w:r>
              <w:rPr>
                <w:color w:val="auto"/>
                <w:sz w:val="24"/>
                <w:szCs w:val="24"/>
              </w:rPr>
              <w:t>公布网址：</w:t>
            </w:r>
            <w:r>
              <w:rPr>
                <w:rFonts w:hint="eastAsia"/>
                <w:color w:val="auto"/>
                <w:sz w:val="24"/>
                <w:szCs w:val="24"/>
                <w:u w:val="single"/>
              </w:rPr>
              <w:t>河北省公共资源交易服务平台-辛集市公共资源电子交易系统</w:t>
            </w:r>
            <w:r>
              <w:rPr>
                <w:rFonts w:hint="eastAsia"/>
                <w:color w:val="auto"/>
                <w:sz w:val="24"/>
                <w:szCs w:val="24"/>
                <w:u w:val="single"/>
                <w:lang w:eastAsia="zh-CN"/>
              </w:rPr>
              <w:t>（http://120.211.111.200:88/XJTPBidderF9/memberframe/FrameAll）</w:t>
            </w:r>
          </w:p>
          <w:p w14:paraId="68FD586F">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hint="eastAsia"/>
                <w:color w:val="auto"/>
                <w:sz w:val="24"/>
                <w:szCs w:val="24"/>
                <w:lang w:val="en-US" w:eastAsia="zh-CN"/>
              </w:rPr>
            </w:pPr>
            <w:r>
              <w:rPr>
                <w:rFonts w:hint="eastAsia"/>
                <w:color w:val="auto"/>
                <w:sz w:val="24"/>
                <w:szCs w:val="24"/>
                <w:lang w:val="en-US" w:eastAsia="zh-CN"/>
              </w:rPr>
              <w:t>2.时间</w:t>
            </w:r>
          </w:p>
          <w:p w14:paraId="4ED94EC2">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rPr>
            </w:pPr>
            <w:r>
              <w:rPr>
                <w:color w:val="auto"/>
                <w:sz w:val="24"/>
                <w:szCs w:val="24"/>
              </w:rPr>
              <w:t>澄清</w:t>
            </w:r>
            <w:r>
              <w:rPr>
                <w:rFonts w:hint="eastAsia"/>
                <w:color w:val="auto"/>
                <w:sz w:val="24"/>
                <w:szCs w:val="24"/>
                <w:lang w:eastAsia="zh-CN"/>
              </w:rPr>
              <w:t>和</w:t>
            </w:r>
            <w:r>
              <w:rPr>
                <w:color w:val="auto"/>
                <w:sz w:val="24"/>
                <w:szCs w:val="24"/>
              </w:rPr>
              <w:t>修改的内容影响投标文件编制的，招标人将在投标截止时间15日前</w:t>
            </w:r>
            <w:r>
              <w:rPr>
                <w:rFonts w:hint="eastAsia"/>
                <w:color w:val="auto"/>
                <w:sz w:val="24"/>
                <w:szCs w:val="24"/>
                <w:lang w:eastAsia="zh-CN"/>
              </w:rPr>
              <w:t>发布，</w:t>
            </w:r>
            <w:r>
              <w:rPr>
                <w:color w:val="auto"/>
                <w:sz w:val="24"/>
                <w:szCs w:val="24"/>
              </w:rPr>
              <w:t>不足15日的，将顺延递交投标文件的截止时间。</w:t>
            </w:r>
          </w:p>
          <w:p w14:paraId="7EFB44E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val="en-US" w:eastAsia="zh-CN"/>
              </w:rPr>
              <w:t>3.</w:t>
            </w:r>
            <w:r>
              <w:rPr>
                <w:color w:val="auto"/>
                <w:sz w:val="24"/>
                <w:szCs w:val="24"/>
              </w:rPr>
              <w:t>注：</w:t>
            </w:r>
            <w:r>
              <w:rPr>
                <w:rFonts w:hint="eastAsia"/>
                <w:color w:val="auto"/>
                <w:sz w:val="24"/>
                <w:szCs w:val="24"/>
                <w:u w:val="single"/>
                <w:lang w:val="en-US" w:eastAsia="zh-CN"/>
              </w:rPr>
              <w:t xml:space="preserve"> / </w:t>
            </w:r>
            <w:r>
              <w:rPr>
                <w:color w:val="auto"/>
                <w:sz w:val="24"/>
                <w:szCs w:val="24"/>
              </w:rPr>
              <w:t>。</w:t>
            </w:r>
          </w:p>
        </w:tc>
      </w:tr>
      <w:tr w14:paraId="20766412">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1B8F90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70EEFC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投标人拟分包的工作</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6F8891A9">
            <w:pPr>
              <w:keepNext w:val="0"/>
              <w:keepLines w:val="0"/>
              <w:pageBreakBefore w:val="0"/>
              <w:widowControl w:val="0"/>
              <w:kinsoku/>
              <w:overflowPunct/>
              <w:bidi w:val="0"/>
              <w:adjustRightInd/>
              <w:snapToGrid/>
              <w:spacing w:line="400" w:lineRule="exact"/>
              <w:ind w:left="0" w:leftChars="0" w:firstLine="0" w:firstLineChars="0"/>
              <w:jc w:val="left"/>
              <w:textAlignment w:val="auto"/>
              <w:rPr>
                <w:color w:val="auto"/>
                <w:sz w:val="24"/>
                <w:szCs w:val="24"/>
              </w:rPr>
            </w:pPr>
            <w:r>
              <w:rPr>
                <w:rFonts w:hint="eastAsia"/>
                <w:color w:val="auto"/>
                <w:sz w:val="24"/>
                <w:szCs w:val="24"/>
                <w:lang w:eastAsia="zh-CN"/>
              </w:rPr>
              <w:t>□</w:t>
            </w:r>
            <w:r>
              <w:rPr>
                <w:color w:val="auto"/>
                <w:sz w:val="24"/>
                <w:szCs w:val="24"/>
              </w:rPr>
              <w:t>不允许</w:t>
            </w:r>
          </w:p>
          <w:p w14:paraId="3DF681E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允许，分包的工程内容：</w:t>
            </w:r>
            <w:r>
              <w:rPr>
                <w:rFonts w:hint="eastAsia"/>
                <w:color w:val="auto"/>
                <w:sz w:val="24"/>
                <w:szCs w:val="24"/>
                <w:u w:val="single"/>
              </w:rPr>
              <w:t>工程总承包单位应当自行完成其承包工程范围内的主体工作，其承包工程范围内的非主体、非关键工作符合法律、法规规定属于可以分包情形的，可分包给具有相应资质的分包单位。总承包单位所有的分包须经招标人同意，并做好对分包单位的管理工作，确保不拖欠分包单位工程款</w:t>
            </w:r>
            <w:r>
              <w:rPr>
                <w:color w:val="auto"/>
                <w:sz w:val="24"/>
                <w:szCs w:val="24"/>
              </w:rPr>
              <w:t>。</w:t>
            </w:r>
          </w:p>
        </w:tc>
      </w:tr>
      <w:tr w14:paraId="4BD17238">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CD74537">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0AC0C3D">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color w:val="auto"/>
                <w:sz w:val="24"/>
                <w:szCs w:val="24"/>
              </w:rPr>
              <w:t>偏</w:t>
            </w:r>
            <w:r>
              <w:rPr>
                <w:rFonts w:hint="eastAsia"/>
                <w:color w:val="auto"/>
                <w:sz w:val="24"/>
                <w:szCs w:val="24"/>
                <w:lang w:eastAsia="zh-CN"/>
              </w:rPr>
              <w:t>差</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3FA5BA2">
            <w:pPr>
              <w:keepNext w:val="0"/>
              <w:keepLines w:val="0"/>
              <w:pageBreakBefore w:val="0"/>
              <w:widowControl w:val="0"/>
              <w:kinsoku/>
              <w:overflowPunct/>
              <w:bidi w:val="0"/>
              <w:adjustRightInd/>
              <w:snapToGrid/>
              <w:spacing w:line="400" w:lineRule="exact"/>
              <w:ind w:left="0" w:leftChars="0" w:firstLine="0" w:firstLineChars="0"/>
              <w:textAlignment w:val="auto"/>
              <w:rPr>
                <w:color w:val="auto"/>
                <w:sz w:val="24"/>
                <w:szCs w:val="24"/>
              </w:rPr>
            </w:pPr>
            <w:r>
              <w:rPr>
                <w:rFonts w:hint="eastAsia"/>
                <w:color w:val="auto"/>
                <w:sz w:val="24"/>
                <w:szCs w:val="24"/>
                <w:lang w:eastAsia="zh-CN"/>
              </w:rPr>
              <w:t>□</w:t>
            </w:r>
            <w:r>
              <w:rPr>
                <w:color w:val="auto"/>
                <w:sz w:val="24"/>
                <w:szCs w:val="24"/>
              </w:rPr>
              <w:t>不允许</w:t>
            </w:r>
          </w:p>
          <w:p w14:paraId="4EEB2045">
            <w:pPr>
              <w:keepNext w:val="0"/>
              <w:keepLines w:val="0"/>
              <w:pageBreakBefore w:val="0"/>
              <w:widowControl w:val="0"/>
              <w:kinsoku/>
              <w:overflowPunct/>
              <w:bidi w:val="0"/>
              <w:adjustRightInd/>
              <w:snapToGrid/>
              <w:spacing w:line="400" w:lineRule="exact"/>
              <w:ind w:left="0" w:leftChars="0" w:firstLine="0" w:firstLineChars="0"/>
              <w:textAlignment w:val="auto"/>
              <w:rPr>
                <w:rFonts w:hint="default" w:ascii="Times New Roman" w:eastAsia="宋体"/>
                <w:color w:val="auto"/>
                <w:sz w:val="24"/>
                <w:szCs w:val="24"/>
                <w:lang w:val="en-US" w:eastAsia="zh-CN"/>
              </w:rPr>
            </w:pPr>
            <w:r>
              <w:rPr>
                <w:rFonts w:hint="eastAsia"/>
                <w:color w:val="auto"/>
                <w:sz w:val="24"/>
                <w:szCs w:val="24"/>
                <w:lang w:eastAsia="zh-CN"/>
              </w:rPr>
              <w:t>☑</w:t>
            </w:r>
            <w:r>
              <w:rPr>
                <w:color w:val="auto"/>
                <w:sz w:val="24"/>
                <w:szCs w:val="24"/>
              </w:rPr>
              <w:t>允许，允许偏</w:t>
            </w:r>
            <w:r>
              <w:rPr>
                <w:rFonts w:hint="eastAsia"/>
                <w:color w:val="auto"/>
                <w:sz w:val="24"/>
                <w:szCs w:val="24"/>
                <w:lang w:eastAsia="zh-CN"/>
              </w:rPr>
              <w:t>差</w:t>
            </w:r>
            <w:r>
              <w:rPr>
                <w:color w:val="auto"/>
                <w:sz w:val="24"/>
                <w:szCs w:val="24"/>
              </w:rPr>
              <w:t>的内容、偏</w:t>
            </w:r>
            <w:r>
              <w:rPr>
                <w:rFonts w:hint="eastAsia"/>
                <w:color w:val="auto"/>
                <w:sz w:val="24"/>
                <w:szCs w:val="24"/>
                <w:lang w:eastAsia="zh-CN"/>
              </w:rPr>
              <w:t>差</w:t>
            </w:r>
            <w:r>
              <w:rPr>
                <w:color w:val="auto"/>
                <w:sz w:val="24"/>
                <w:szCs w:val="24"/>
              </w:rPr>
              <w:t>范围和幅度</w:t>
            </w:r>
            <w:r>
              <w:rPr>
                <w:rFonts w:hint="eastAsia"/>
                <w:color w:val="auto"/>
                <w:sz w:val="24"/>
                <w:szCs w:val="24"/>
                <w:lang w:eastAsia="zh-CN"/>
              </w:rPr>
              <w:t>：</w:t>
            </w:r>
            <w:r>
              <w:rPr>
                <w:rFonts w:hint="eastAsia"/>
                <w:color w:val="auto"/>
                <w:sz w:val="24"/>
                <w:szCs w:val="24"/>
                <w:u w:val="single"/>
                <w:lang w:eastAsia="zh-CN"/>
              </w:rPr>
              <w:t>实质性内容允许正偏离</w:t>
            </w:r>
            <w:r>
              <w:rPr>
                <w:rFonts w:hint="eastAsia"/>
                <w:color w:val="auto"/>
                <w:sz w:val="24"/>
                <w:szCs w:val="24"/>
                <w:lang w:val="en-US" w:eastAsia="zh-CN"/>
              </w:rPr>
              <w:t>。</w:t>
            </w:r>
          </w:p>
        </w:tc>
      </w:tr>
      <w:tr w14:paraId="09DEA6DF">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B782938">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2.1.1（8）</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5BBDFB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构成招标文件的其他资料</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7639EA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s="Times New Roman"/>
                <w:color w:val="auto"/>
                <w:sz w:val="24"/>
                <w:szCs w:val="24"/>
                <w:lang w:val="en-US" w:eastAsia="zh-CN"/>
              </w:rPr>
            </w:pPr>
            <w:r>
              <w:rPr>
                <w:rFonts w:hint="eastAsia" w:cs="Times New Roman"/>
                <w:color w:val="auto"/>
                <w:sz w:val="24"/>
                <w:szCs w:val="24"/>
                <w:lang w:val="en-US" w:eastAsia="zh-CN"/>
              </w:rPr>
              <w:t>1.招标人在规定时间前对招标文件作出的澄清和修改。</w:t>
            </w:r>
          </w:p>
          <w:p w14:paraId="5A89027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rPr>
            </w:pPr>
            <w:r>
              <w:rPr>
                <w:rFonts w:cs="Times New Roman"/>
                <w:color w:val="auto"/>
                <w:sz w:val="24"/>
                <w:szCs w:val="24"/>
              </w:rPr>
              <w:t>2.其他：</w:t>
            </w:r>
            <w:r>
              <w:rPr>
                <w:rFonts w:hint="eastAsia"/>
                <w:color w:val="auto"/>
                <w:sz w:val="24"/>
                <w:u w:val="single"/>
                <w:lang w:val="en-US" w:eastAsia="zh-CN"/>
              </w:rPr>
              <w:t>见本招标文件第六章发包人提供的资料</w:t>
            </w:r>
            <w:r>
              <w:rPr>
                <w:rFonts w:cs="Times New Roman"/>
                <w:color w:val="auto"/>
                <w:sz w:val="24"/>
                <w:szCs w:val="24"/>
              </w:rPr>
              <w:t>。</w:t>
            </w:r>
          </w:p>
        </w:tc>
      </w:tr>
      <w:tr w14:paraId="1C127441">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05E90D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2.2.1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87DFF2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投标人要求澄清招标文件的截止时间</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B3CEFF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color w:val="auto"/>
                <w:sz w:val="24"/>
                <w:szCs w:val="24"/>
                <w:lang w:eastAsia="zh-CN"/>
              </w:rPr>
            </w:pPr>
            <w:r>
              <w:rPr>
                <w:color w:val="auto"/>
                <w:sz w:val="24"/>
                <w:szCs w:val="24"/>
              </w:rPr>
              <w:t>同投标人须知前附表第1.10.2项</w:t>
            </w:r>
            <w:r>
              <w:rPr>
                <w:rFonts w:hint="eastAsia"/>
                <w:color w:val="auto"/>
                <w:sz w:val="24"/>
                <w:szCs w:val="24"/>
                <w:lang w:eastAsia="zh-CN"/>
              </w:rPr>
              <w:t>。</w:t>
            </w:r>
          </w:p>
        </w:tc>
      </w:tr>
      <w:tr w14:paraId="076FC091">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6CD2894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2.2.2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B80ACA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投标截止时间</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2F7C2D7">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rFonts w:hint="eastAsia"/>
                <w:color w:val="auto"/>
                <w:sz w:val="24"/>
                <w:szCs w:val="24"/>
                <w:u w:val="single"/>
                <w:lang w:val="en-US" w:eastAsia="zh-CN"/>
              </w:rPr>
              <w:t>2025</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r>
              <w:rPr>
                <w:rFonts w:hint="eastAsia"/>
                <w:color w:val="auto"/>
                <w:sz w:val="24"/>
                <w:szCs w:val="24"/>
                <w:u w:val="single"/>
                <w:lang w:val="en-US" w:eastAsia="zh-CN"/>
              </w:rPr>
              <w:t>09</w:t>
            </w:r>
            <w:r>
              <w:rPr>
                <w:color w:val="auto"/>
                <w:sz w:val="24"/>
                <w:szCs w:val="24"/>
              </w:rPr>
              <w:t>时</w:t>
            </w:r>
            <w:r>
              <w:rPr>
                <w:rFonts w:hint="eastAsia"/>
                <w:color w:val="auto"/>
                <w:sz w:val="24"/>
                <w:szCs w:val="24"/>
                <w:u w:val="single"/>
                <w:lang w:val="en-US" w:eastAsia="zh-CN"/>
              </w:rPr>
              <w:t>00</w:t>
            </w:r>
            <w:r>
              <w:rPr>
                <w:rFonts w:hint="eastAsia"/>
                <w:color w:val="auto"/>
                <w:sz w:val="24"/>
                <w:szCs w:val="24"/>
                <w:lang w:val="en-US" w:eastAsia="zh-CN"/>
              </w:rPr>
              <w:t>分</w:t>
            </w:r>
          </w:p>
        </w:tc>
      </w:tr>
      <w:tr w14:paraId="0CDF78E7">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6A87FF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2.2.3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2288CA7">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投标人确认收到招标文件澄清时间</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F74AF1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ascii="宋体" w:hAnsi="宋体" w:eastAsia="宋体" w:cs="宋体"/>
                <w:color w:val="auto"/>
                <w:sz w:val="24"/>
                <w:szCs w:val="24"/>
              </w:rPr>
              <w:t>投标人应自行关注</w:t>
            </w:r>
            <w:r>
              <w:rPr>
                <w:rFonts w:hint="eastAsia" w:ascii="宋体" w:hAnsi="宋体" w:cs="宋体"/>
                <w:color w:val="auto"/>
                <w:sz w:val="24"/>
                <w:szCs w:val="24"/>
                <w:lang w:eastAsia="zh-CN"/>
              </w:rPr>
              <w:t>电子</w:t>
            </w:r>
            <w:r>
              <w:rPr>
                <w:rFonts w:hint="eastAsia" w:ascii="宋体" w:hAnsi="宋体" w:eastAsia="宋体" w:cs="宋体"/>
                <w:color w:val="auto"/>
                <w:sz w:val="24"/>
                <w:szCs w:val="24"/>
              </w:rPr>
              <w:t>招投标交易平台发布的</w:t>
            </w:r>
            <w:r>
              <w:rPr>
                <w:rFonts w:hint="eastAsia" w:ascii="宋体" w:hAnsi="宋体" w:cs="宋体"/>
                <w:color w:val="auto"/>
                <w:sz w:val="24"/>
                <w:szCs w:val="24"/>
                <w:lang w:eastAsia="zh-CN"/>
              </w:rPr>
              <w:t>澄清和修改文件</w:t>
            </w:r>
            <w:r>
              <w:rPr>
                <w:rFonts w:hint="eastAsia" w:ascii="宋体" w:hAnsi="宋体" w:eastAsia="宋体" w:cs="宋体"/>
                <w:color w:val="auto"/>
                <w:sz w:val="24"/>
                <w:szCs w:val="24"/>
              </w:rPr>
              <w:t>信息，招标人不再逐一通知。投标人因自身贻误行为导致投标失败的，责任自负。</w:t>
            </w:r>
          </w:p>
        </w:tc>
      </w:tr>
      <w:tr w14:paraId="4347EB18">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D206F9D">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3.1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1A6085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rFonts w:hint="eastAsia"/>
                <w:color w:val="auto"/>
                <w:sz w:val="24"/>
                <w:szCs w:val="24"/>
                <w:lang w:eastAsia="zh-CN"/>
              </w:rPr>
              <w:t>投标文件的组成</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B9C69A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i w:val="0"/>
                <w:iCs w:val="0"/>
                <w:color w:val="auto"/>
                <w:sz w:val="24"/>
                <w:szCs w:val="24"/>
                <w:lang w:val="en-US" w:eastAsia="zh-CN"/>
              </w:rPr>
            </w:pPr>
            <w:r>
              <w:rPr>
                <w:rFonts w:hint="eastAsia" w:cs="Times New Roman"/>
                <w:i w:val="0"/>
                <w:iCs w:val="0"/>
                <w:color w:val="auto"/>
                <w:sz w:val="24"/>
                <w:szCs w:val="24"/>
                <w:lang w:val="en-US" w:eastAsia="zh-CN"/>
              </w:rPr>
              <w:t>3.1.1投标文件商务标主要包括下列内容：</w:t>
            </w:r>
          </w:p>
          <w:p w14:paraId="4B651907">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eastAsia" w:cs="Times New Roman"/>
                <w:i w:val="0"/>
                <w:iCs w:val="0"/>
                <w:color w:val="auto"/>
                <w:sz w:val="24"/>
                <w:szCs w:val="24"/>
                <w:lang w:val="en-US" w:eastAsia="zh-CN"/>
              </w:rPr>
            </w:pPr>
            <w:r>
              <w:rPr>
                <w:rFonts w:hint="eastAsia" w:cs="Times New Roman"/>
                <w:i w:val="0"/>
                <w:iCs w:val="0"/>
                <w:color w:val="auto"/>
                <w:sz w:val="24"/>
                <w:szCs w:val="24"/>
                <w:lang w:val="en-US" w:eastAsia="zh-CN"/>
              </w:rPr>
              <w:t>投标函及投标函附录</w:t>
            </w:r>
          </w:p>
          <w:p w14:paraId="53B78D5D">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法定代表人身份证明或授权委托书</w:t>
            </w:r>
          </w:p>
          <w:p w14:paraId="42CB5CD2">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联合体协议书</w:t>
            </w:r>
          </w:p>
          <w:p w14:paraId="218DB523">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投标保证金</w:t>
            </w:r>
          </w:p>
          <w:p w14:paraId="7A709F63">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价格清单</w:t>
            </w:r>
          </w:p>
          <w:p w14:paraId="06C47BEC">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资格审查资料</w:t>
            </w:r>
          </w:p>
          <w:p w14:paraId="1B68DDA7">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其他资料</w:t>
            </w:r>
          </w:p>
          <w:p w14:paraId="2B1241B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cs="Times New Roman"/>
                <w:i w:val="0"/>
                <w:iCs w:val="0"/>
                <w:color w:val="auto"/>
                <w:sz w:val="24"/>
                <w:szCs w:val="24"/>
                <w:lang w:val="en-US" w:eastAsia="zh-CN"/>
              </w:rPr>
            </w:pPr>
            <w:r>
              <w:rPr>
                <w:rFonts w:hint="eastAsia" w:cs="Times New Roman"/>
                <w:i w:val="0"/>
                <w:iCs w:val="0"/>
                <w:color w:val="auto"/>
                <w:sz w:val="24"/>
                <w:szCs w:val="24"/>
                <w:lang w:val="en-US" w:eastAsia="zh-CN"/>
              </w:rPr>
              <w:t>3.1.2投标文件技术标主要包括下列内容：</w:t>
            </w:r>
          </w:p>
          <w:p w14:paraId="2BD070C0">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总体项目管理方案</w:t>
            </w:r>
          </w:p>
          <w:p w14:paraId="256430AF">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设计方案</w:t>
            </w:r>
          </w:p>
          <w:p w14:paraId="61761E23">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采购方案（如有）</w:t>
            </w:r>
          </w:p>
          <w:p w14:paraId="2095AD2B">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施工方案</w:t>
            </w:r>
          </w:p>
          <w:p w14:paraId="7B2D5FE5">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拟分包项目的管理方案（如有）</w:t>
            </w:r>
          </w:p>
          <w:p w14:paraId="74CF9A9F">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BIM工作方案</w:t>
            </w:r>
          </w:p>
          <w:p w14:paraId="6E3F4240">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其他资料</w:t>
            </w:r>
          </w:p>
          <w:p w14:paraId="7C8CAA8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s="Times New Roman"/>
                <w:i/>
                <w:iCs/>
                <w:color w:val="auto"/>
                <w:sz w:val="24"/>
                <w:szCs w:val="24"/>
                <w:lang w:val="en-US" w:eastAsia="zh-CN"/>
              </w:rPr>
            </w:pPr>
            <w:r>
              <w:rPr>
                <w:rFonts w:hint="eastAsia" w:cs="Times New Roman"/>
                <w:i w:val="0"/>
                <w:iCs w:val="0"/>
                <w:color w:val="auto"/>
                <w:sz w:val="24"/>
                <w:szCs w:val="24"/>
              </w:rPr>
              <w:t>3.1.</w:t>
            </w:r>
            <w:r>
              <w:rPr>
                <w:rFonts w:hint="eastAsia" w:cs="Times New Roman"/>
                <w:i w:val="0"/>
                <w:iCs w:val="0"/>
                <w:color w:val="auto"/>
                <w:sz w:val="24"/>
                <w:szCs w:val="24"/>
                <w:lang w:val="en-US" w:eastAsia="zh-CN"/>
              </w:rPr>
              <w:t>3</w:t>
            </w:r>
            <w:r>
              <w:rPr>
                <w:rFonts w:hint="eastAsia" w:cs="Times New Roman"/>
                <w:i w:val="0"/>
                <w:iCs w:val="0"/>
                <w:color w:val="auto"/>
                <w:sz w:val="24"/>
                <w:szCs w:val="24"/>
              </w:rPr>
              <w:t>招标公告（或投标邀请书）规定不接受联合体投标的，或投标人没有组成联合体的，投标文件不包括联合体协议书。</w:t>
            </w:r>
          </w:p>
        </w:tc>
      </w:tr>
      <w:tr w14:paraId="66A7239E">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34D86C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3.1.4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3C4AD4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构成投标文件的其他资料</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66C11FD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rPr>
              <w:t>投标人认为有必要提供的其他相关文件</w:t>
            </w:r>
          </w:p>
        </w:tc>
      </w:tr>
      <w:tr w14:paraId="2FEAF58F">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2DAFE5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3.2.4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180CA62">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最高投标限价或其计算方法</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6B3AAB1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i w:val="0"/>
                <w:iCs w:val="0"/>
                <w:color w:val="auto"/>
                <w:sz w:val="24"/>
                <w:szCs w:val="24"/>
              </w:rPr>
            </w:pPr>
            <w:r>
              <w:rPr>
                <w:rFonts w:hint="eastAsia" w:cs="Times New Roman"/>
                <w:color w:val="auto"/>
                <w:sz w:val="24"/>
                <w:szCs w:val="24"/>
                <w:lang w:eastAsia="zh-CN"/>
              </w:rPr>
              <w:t>☑</w:t>
            </w:r>
            <w:r>
              <w:rPr>
                <w:rFonts w:cs="Times New Roman"/>
                <w:color w:val="auto"/>
                <w:sz w:val="24"/>
                <w:szCs w:val="24"/>
              </w:rPr>
              <w:t>1.</w:t>
            </w:r>
            <w:r>
              <w:rPr>
                <w:rFonts w:hint="eastAsia" w:cs="Times New Roman"/>
                <w:i w:val="0"/>
                <w:iCs w:val="0"/>
                <w:color w:val="auto"/>
                <w:sz w:val="24"/>
                <w:szCs w:val="24"/>
                <w:lang w:val="en-US" w:eastAsia="zh-CN"/>
              </w:rPr>
              <w:t>一标段：</w:t>
            </w:r>
            <w:r>
              <w:rPr>
                <w:rFonts w:cs="Times New Roman"/>
                <w:i w:val="0"/>
                <w:iCs w:val="0"/>
                <w:color w:val="auto"/>
                <w:sz w:val="24"/>
                <w:szCs w:val="24"/>
              </w:rPr>
              <w:t>最高投标限价</w:t>
            </w:r>
            <w:r>
              <w:rPr>
                <w:rFonts w:hint="eastAsia" w:cs="Times New Roman"/>
                <w:i w:val="0"/>
                <w:iCs w:val="0"/>
                <w:color w:val="auto"/>
                <w:sz w:val="24"/>
                <w:szCs w:val="24"/>
                <w:u w:val="single"/>
                <w:lang w:val="en-US" w:eastAsia="zh-CN"/>
              </w:rPr>
              <w:t>28852.17</w:t>
            </w:r>
            <w:r>
              <w:rPr>
                <w:rFonts w:cs="Times New Roman"/>
                <w:i w:val="0"/>
                <w:iCs w:val="0"/>
                <w:color w:val="auto"/>
                <w:sz w:val="24"/>
                <w:szCs w:val="24"/>
              </w:rPr>
              <w:t>万元，其中设计费限价</w:t>
            </w:r>
            <w:r>
              <w:rPr>
                <w:rFonts w:hint="eastAsia" w:cs="Times New Roman"/>
                <w:i w:val="0"/>
                <w:iCs w:val="0"/>
                <w:color w:val="auto"/>
                <w:sz w:val="24"/>
                <w:szCs w:val="24"/>
                <w:u w:val="single"/>
                <w:lang w:val="en-US" w:eastAsia="zh-CN"/>
              </w:rPr>
              <w:t>230.50</w:t>
            </w:r>
            <w:r>
              <w:rPr>
                <w:rFonts w:cs="Times New Roman"/>
                <w:i w:val="0"/>
                <w:iCs w:val="0"/>
                <w:color w:val="auto"/>
                <w:sz w:val="24"/>
                <w:szCs w:val="24"/>
              </w:rPr>
              <w:t>万元，建安工程费限价</w:t>
            </w:r>
            <w:r>
              <w:rPr>
                <w:rFonts w:hint="eastAsia" w:cs="Times New Roman"/>
                <w:i w:val="0"/>
                <w:iCs w:val="0"/>
                <w:color w:val="auto"/>
                <w:sz w:val="24"/>
                <w:szCs w:val="24"/>
                <w:u w:val="single"/>
                <w:lang w:val="en-US" w:eastAsia="zh-CN"/>
              </w:rPr>
              <w:t>28479.27</w:t>
            </w:r>
            <w:r>
              <w:rPr>
                <w:rFonts w:cs="Times New Roman"/>
                <w:i w:val="0"/>
                <w:iCs w:val="0"/>
                <w:color w:val="auto"/>
                <w:sz w:val="24"/>
                <w:szCs w:val="24"/>
              </w:rPr>
              <w:t>万元，设备购置费限价</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万元，工程总承包其他费限价</w:t>
            </w:r>
            <w:r>
              <w:rPr>
                <w:rFonts w:hint="eastAsia" w:cs="Times New Roman"/>
                <w:i w:val="0"/>
                <w:iCs w:val="0"/>
                <w:color w:val="auto"/>
                <w:sz w:val="24"/>
                <w:szCs w:val="24"/>
                <w:u w:val="single"/>
              </w:rPr>
              <w:t>建设项目场地准备及建设单位临时设施费限价</w:t>
            </w:r>
            <w:r>
              <w:rPr>
                <w:rFonts w:hint="eastAsia" w:cs="Times New Roman"/>
                <w:i w:val="0"/>
                <w:iCs w:val="0"/>
                <w:color w:val="auto"/>
                <w:sz w:val="24"/>
                <w:szCs w:val="24"/>
                <w:u w:val="single"/>
                <w:lang w:val="en-US" w:eastAsia="zh-CN"/>
              </w:rPr>
              <w:t>142.40</w:t>
            </w:r>
            <w:r>
              <w:rPr>
                <w:rFonts w:cs="Times New Roman"/>
                <w:i w:val="0"/>
                <w:iCs w:val="0"/>
                <w:color w:val="auto"/>
                <w:sz w:val="24"/>
                <w:szCs w:val="24"/>
              </w:rPr>
              <w:t>万元</w:t>
            </w:r>
            <w:r>
              <w:rPr>
                <w:rFonts w:cs="Times New Roman"/>
                <w:i w:val="0"/>
                <w:iCs w:val="0"/>
                <w:color w:val="auto"/>
                <w:sz w:val="24"/>
                <w:szCs w:val="24"/>
                <w:highlight w:val="none"/>
              </w:rPr>
              <w:t>，暂列金额</w:t>
            </w:r>
            <w:r>
              <w:rPr>
                <w:rFonts w:cs="Times New Roman"/>
                <w:i w:val="0"/>
                <w:iCs w:val="0"/>
                <w:color w:val="auto"/>
                <w:sz w:val="24"/>
                <w:szCs w:val="24"/>
                <w:highlight w:val="none"/>
                <w:u w:val="single"/>
              </w:rPr>
              <w:t xml:space="preserve"> </w:t>
            </w:r>
            <w:r>
              <w:rPr>
                <w:rFonts w:hint="eastAsia" w:cs="Times New Roman"/>
                <w:i w:val="0"/>
                <w:iCs w:val="0"/>
                <w:color w:val="auto"/>
                <w:sz w:val="24"/>
                <w:szCs w:val="24"/>
                <w:highlight w:val="none"/>
                <w:u w:val="single"/>
                <w:lang w:val="en-US" w:eastAsia="zh-CN"/>
              </w:rPr>
              <w:t>/</w:t>
            </w:r>
            <w:r>
              <w:rPr>
                <w:rFonts w:cs="Times New Roman"/>
                <w:i w:val="0"/>
                <w:iCs w:val="0"/>
                <w:color w:val="auto"/>
                <w:sz w:val="24"/>
                <w:szCs w:val="24"/>
                <w:highlight w:val="none"/>
                <w:u w:val="single"/>
              </w:rPr>
              <w:t xml:space="preserve"> </w:t>
            </w:r>
            <w:r>
              <w:rPr>
                <w:rFonts w:cs="Times New Roman"/>
                <w:i w:val="0"/>
                <w:iCs w:val="0"/>
                <w:color w:val="auto"/>
                <w:sz w:val="24"/>
                <w:szCs w:val="24"/>
                <w:highlight w:val="none"/>
              </w:rPr>
              <w:t>万元；</w:t>
            </w:r>
          </w:p>
          <w:p w14:paraId="2DAB921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i w:val="0"/>
                <w:iCs w:val="0"/>
                <w:color w:val="auto"/>
                <w:sz w:val="24"/>
                <w:szCs w:val="24"/>
              </w:rPr>
            </w:pPr>
            <w:r>
              <w:rPr>
                <w:rFonts w:hint="eastAsia" w:cs="Times New Roman"/>
                <w:i w:val="0"/>
                <w:iCs w:val="0"/>
                <w:color w:val="auto"/>
                <w:sz w:val="24"/>
                <w:szCs w:val="24"/>
                <w:lang w:val="en-US" w:eastAsia="zh-CN"/>
              </w:rPr>
              <w:t>二标段：</w:t>
            </w:r>
            <w:r>
              <w:rPr>
                <w:rFonts w:cs="Times New Roman"/>
                <w:i w:val="0"/>
                <w:iCs w:val="0"/>
                <w:color w:val="auto"/>
                <w:sz w:val="24"/>
                <w:szCs w:val="24"/>
              </w:rPr>
              <w:t>最高投标限价</w:t>
            </w:r>
            <w:r>
              <w:rPr>
                <w:rFonts w:hint="eastAsia" w:cs="Times New Roman"/>
                <w:i w:val="0"/>
                <w:iCs w:val="0"/>
                <w:color w:val="auto"/>
                <w:sz w:val="24"/>
                <w:szCs w:val="24"/>
                <w:u w:val="single"/>
                <w:lang w:val="en-US" w:eastAsia="zh-CN"/>
              </w:rPr>
              <w:t>33155.20</w:t>
            </w:r>
            <w:r>
              <w:rPr>
                <w:rFonts w:cs="Times New Roman"/>
                <w:i w:val="0"/>
                <w:iCs w:val="0"/>
                <w:color w:val="auto"/>
                <w:sz w:val="24"/>
                <w:szCs w:val="24"/>
              </w:rPr>
              <w:t>万元，其中设计费限价</w:t>
            </w:r>
            <w:r>
              <w:rPr>
                <w:rFonts w:hint="eastAsia" w:cs="Times New Roman"/>
                <w:i w:val="0"/>
                <w:iCs w:val="0"/>
                <w:color w:val="auto"/>
                <w:sz w:val="24"/>
                <w:szCs w:val="24"/>
                <w:u w:val="single"/>
                <w:lang w:val="en-US" w:eastAsia="zh-CN"/>
              </w:rPr>
              <w:t>264.88</w:t>
            </w:r>
            <w:r>
              <w:rPr>
                <w:rFonts w:cs="Times New Roman"/>
                <w:i w:val="0"/>
                <w:iCs w:val="0"/>
                <w:color w:val="auto"/>
                <w:sz w:val="24"/>
                <w:szCs w:val="24"/>
              </w:rPr>
              <w:t>万元，建安工程费限价</w:t>
            </w:r>
            <w:r>
              <w:rPr>
                <w:rFonts w:hint="eastAsia" w:cs="Times New Roman"/>
                <w:i w:val="0"/>
                <w:iCs w:val="0"/>
                <w:color w:val="auto"/>
                <w:sz w:val="24"/>
                <w:szCs w:val="24"/>
                <w:u w:val="single"/>
                <w:lang w:val="en-US" w:eastAsia="zh-CN"/>
              </w:rPr>
              <w:t>32726.69</w:t>
            </w:r>
            <w:r>
              <w:rPr>
                <w:rFonts w:cs="Times New Roman"/>
                <w:i w:val="0"/>
                <w:iCs w:val="0"/>
                <w:color w:val="auto"/>
                <w:sz w:val="24"/>
                <w:szCs w:val="24"/>
              </w:rPr>
              <w:t>万元，设备购置费限价</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万元，工程总承包其他费限价</w:t>
            </w:r>
            <w:r>
              <w:rPr>
                <w:rFonts w:hint="eastAsia" w:cs="Times New Roman"/>
                <w:i w:val="0"/>
                <w:iCs w:val="0"/>
                <w:color w:val="auto"/>
                <w:sz w:val="24"/>
                <w:szCs w:val="24"/>
                <w:u w:val="single"/>
              </w:rPr>
              <w:t>建设项目场地准备及建设单位临时设施费限价</w:t>
            </w:r>
            <w:r>
              <w:rPr>
                <w:rFonts w:hint="eastAsia" w:cs="Times New Roman"/>
                <w:i w:val="0"/>
                <w:iCs w:val="0"/>
                <w:color w:val="auto"/>
                <w:sz w:val="24"/>
                <w:szCs w:val="24"/>
                <w:u w:val="single"/>
                <w:lang w:val="en-US" w:eastAsia="zh-CN"/>
              </w:rPr>
              <w:t>163.63</w:t>
            </w:r>
            <w:r>
              <w:rPr>
                <w:rFonts w:cs="Times New Roman"/>
                <w:i w:val="0"/>
                <w:iCs w:val="0"/>
                <w:color w:val="auto"/>
                <w:sz w:val="24"/>
                <w:szCs w:val="24"/>
              </w:rPr>
              <w:t>万元，暂列金额</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w:t>
            </w:r>
          </w:p>
          <w:p w14:paraId="5E7DC18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i w:val="0"/>
                <w:iCs w:val="0"/>
                <w:color w:val="auto"/>
                <w:sz w:val="24"/>
                <w:szCs w:val="24"/>
              </w:rPr>
            </w:pPr>
            <w:r>
              <w:rPr>
                <w:rFonts w:hint="eastAsia" w:cs="Times New Roman"/>
                <w:i w:val="0"/>
                <w:iCs w:val="0"/>
                <w:color w:val="auto"/>
                <w:sz w:val="24"/>
                <w:szCs w:val="24"/>
                <w:lang w:val="en-US" w:eastAsia="zh-CN"/>
              </w:rPr>
              <w:t>三标段：</w:t>
            </w:r>
            <w:r>
              <w:rPr>
                <w:rFonts w:cs="Times New Roman"/>
                <w:i w:val="0"/>
                <w:iCs w:val="0"/>
                <w:color w:val="auto"/>
                <w:sz w:val="24"/>
                <w:szCs w:val="24"/>
              </w:rPr>
              <w:t>最高投标</w:t>
            </w:r>
            <w:r>
              <w:rPr>
                <w:rFonts w:cs="Times New Roman"/>
                <w:i w:val="0"/>
                <w:iCs w:val="0"/>
                <w:color w:val="auto"/>
                <w:sz w:val="24"/>
                <w:szCs w:val="24"/>
                <w:highlight w:val="none"/>
              </w:rPr>
              <w:t>限价</w:t>
            </w:r>
            <w:r>
              <w:rPr>
                <w:rFonts w:hint="eastAsia" w:cs="Times New Roman"/>
                <w:i w:val="0"/>
                <w:iCs w:val="0"/>
                <w:color w:val="auto"/>
                <w:sz w:val="24"/>
                <w:szCs w:val="24"/>
                <w:highlight w:val="none"/>
                <w:u w:val="single"/>
                <w:lang w:val="en-US" w:eastAsia="zh-CN"/>
              </w:rPr>
              <w:t>30475.14</w:t>
            </w:r>
            <w:r>
              <w:rPr>
                <w:rFonts w:cs="Times New Roman"/>
                <w:i w:val="0"/>
                <w:iCs w:val="0"/>
                <w:color w:val="auto"/>
                <w:sz w:val="24"/>
                <w:szCs w:val="24"/>
                <w:highlight w:val="none"/>
              </w:rPr>
              <w:t>万元，</w:t>
            </w:r>
            <w:r>
              <w:rPr>
                <w:rFonts w:cs="Times New Roman"/>
                <w:i w:val="0"/>
                <w:iCs w:val="0"/>
                <w:color w:val="auto"/>
                <w:sz w:val="24"/>
                <w:szCs w:val="24"/>
              </w:rPr>
              <w:t>其中设计费限价</w:t>
            </w:r>
            <w:r>
              <w:rPr>
                <w:rFonts w:hint="eastAsia" w:cs="Times New Roman"/>
                <w:i w:val="0"/>
                <w:iCs w:val="0"/>
                <w:color w:val="auto"/>
                <w:sz w:val="24"/>
                <w:szCs w:val="24"/>
                <w:u w:val="single"/>
                <w:lang w:val="en-US" w:eastAsia="zh-CN"/>
              </w:rPr>
              <w:t>243.47</w:t>
            </w:r>
            <w:r>
              <w:rPr>
                <w:rFonts w:cs="Times New Roman"/>
                <w:i w:val="0"/>
                <w:iCs w:val="0"/>
                <w:color w:val="auto"/>
                <w:sz w:val="24"/>
                <w:szCs w:val="24"/>
              </w:rPr>
              <w:t>万元，建安工程费限价</w:t>
            </w:r>
            <w:r>
              <w:rPr>
                <w:rFonts w:hint="eastAsia" w:cs="Times New Roman"/>
                <w:i w:val="0"/>
                <w:iCs w:val="0"/>
                <w:color w:val="auto"/>
                <w:sz w:val="24"/>
                <w:szCs w:val="24"/>
                <w:u w:val="single"/>
                <w:lang w:val="en-US" w:eastAsia="zh-CN"/>
              </w:rPr>
              <w:t>30081.26</w:t>
            </w:r>
            <w:r>
              <w:rPr>
                <w:rFonts w:cs="Times New Roman"/>
                <w:i w:val="0"/>
                <w:iCs w:val="0"/>
                <w:color w:val="auto"/>
                <w:sz w:val="24"/>
                <w:szCs w:val="24"/>
              </w:rPr>
              <w:t>万元，设备购置费限价</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万元，工程总承包其他费限价</w:t>
            </w:r>
            <w:r>
              <w:rPr>
                <w:rFonts w:hint="eastAsia" w:cs="Times New Roman"/>
                <w:i w:val="0"/>
                <w:iCs w:val="0"/>
                <w:color w:val="auto"/>
                <w:sz w:val="24"/>
                <w:szCs w:val="24"/>
                <w:u w:val="single"/>
              </w:rPr>
              <w:t>建设项目场地准备及建设单位临时设施费限价</w:t>
            </w:r>
            <w:r>
              <w:rPr>
                <w:rFonts w:hint="eastAsia" w:cs="Times New Roman"/>
                <w:i w:val="0"/>
                <w:iCs w:val="0"/>
                <w:color w:val="auto"/>
                <w:sz w:val="24"/>
                <w:szCs w:val="24"/>
                <w:u w:val="single"/>
                <w:lang w:val="en-US" w:eastAsia="zh-CN"/>
              </w:rPr>
              <w:t>150.41</w:t>
            </w:r>
            <w:r>
              <w:rPr>
                <w:rFonts w:cs="Times New Roman"/>
                <w:i w:val="0"/>
                <w:iCs w:val="0"/>
                <w:color w:val="auto"/>
                <w:sz w:val="24"/>
                <w:szCs w:val="24"/>
              </w:rPr>
              <w:t>万元，暂列金额</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w:t>
            </w:r>
          </w:p>
          <w:p w14:paraId="74FFBA5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eastAsia="宋体" w:cs="Times New Roman"/>
                <w:i w:val="0"/>
                <w:iCs w:val="0"/>
                <w:color w:val="auto"/>
                <w:sz w:val="24"/>
                <w:szCs w:val="24"/>
                <w:lang w:val="en-US" w:eastAsia="zh-CN"/>
              </w:rPr>
            </w:pPr>
            <w:r>
              <w:rPr>
                <w:rFonts w:hint="eastAsia" w:cs="Times New Roman"/>
                <w:i w:val="0"/>
                <w:iCs w:val="0"/>
                <w:color w:val="auto"/>
                <w:sz w:val="24"/>
                <w:szCs w:val="24"/>
                <w:lang w:val="en-US" w:eastAsia="zh-CN"/>
              </w:rPr>
              <w:t>四标段：</w:t>
            </w:r>
            <w:r>
              <w:rPr>
                <w:rFonts w:cs="Times New Roman"/>
                <w:i w:val="0"/>
                <w:iCs w:val="0"/>
                <w:color w:val="auto"/>
                <w:sz w:val="24"/>
                <w:szCs w:val="24"/>
              </w:rPr>
              <w:t>最高投标限价</w:t>
            </w:r>
            <w:r>
              <w:rPr>
                <w:rFonts w:hint="eastAsia" w:cs="Times New Roman"/>
                <w:i w:val="0"/>
                <w:iCs w:val="0"/>
                <w:color w:val="auto"/>
                <w:sz w:val="24"/>
                <w:szCs w:val="24"/>
                <w:u w:val="single"/>
                <w:lang w:val="en-US" w:eastAsia="zh-CN"/>
              </w:rPr>
              <w:t>18281.60</w:t>
            </w:r>
            <w:r>
              <w:rPr>
                <w:rFonts w:cs="Times New Roman"/>
                <w:i w:val="0"/>
                <w:iCs w:val="0"/>
                <w:color w:val="auto"/>
                <w:sz w:val="24"/>
                <w:szCs w:val="24"/>
              </w:rPr>
              <w:t>万元，其中设计费限价</w:t>
            </w:r>
            <w:r>
              <w:rPr>
                <w:rFonts w:hint="eastAsia" w:cs="Times New Roman"/>
                <w:i w:val="0"/>
                <w:iCs w:val="0"/>
                <w:color w:val="auto"/>
                <w:sz w:val="24"/>
                <w:szCs w:val="24"/>
                <w:u w:val="single"/>
                <w:lang w:val="en-US" w:eastAsia="zh-CN"/>
              </w:rPr>
              <w:t>146.05</w:t>
            </w:r>
            <w:r>
              <w:rPr>
                <w:rFonts w:cs="Times New Roman"/>
                <w:i w:val="0"/>
                <w:iCs w:val="0"/>
                <w:color w:val="auto"/>
                <w:sz w:val="24"/>
                <w:szCs w:val="24"/>
              </w:rPr>
              <w:t>万元，建安工程费限价</w:t>
            </w:r>
            <w:r>
              <w:rPr>
                <w:rFonts w:hint="eastAsia" w:cs="Times New Roman"/>
                <w:i w:val="0"/>
                <w:iCs w:val="0"/>
                <w:color w:val="auto"/>
                <w:sz w:val="24"/>
                <w:szCs w:val="24"/>
                <w:u w:val="single"/>
                <w:lang w:val="en-US" w:eastAsia="zh-CN"/>
              </w:rPr>
              <w:t>18045.32</w:t>
            </w:r>
            <w:r>
              <w:rPr>
                <w:rFonts w:cs="Times New Roman"/>
                <w:i w:val="0"/>
                <w:iCs w:val="0"/>
                <w:color w:val="auto"/>
                <w:sz w:val="24"/>
                <w:szCs w:val="24"/>
              </w:rPr>
              <w:t>万元，设备购置费限价</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万元，工程总承包其他费限价</w:t>
            </w:r>
            <w:r>
              <w:rPr>
                <w:rFonts w:hint="eastAsia" w:cs="Times New Roman"/>
                <w:i w:val="0"/>
                <w:iCs w:val="0"/>
                <w:color w:val="auto"/>
                <w:sz w:val="24"/>
                <w:szCs w:val="24"/>
                <w:u w:val="single"/>
              </w:rPr>
              <w:t>建设项目场地准备及建设单位临时设施费限价</w:t>
            </w:r>
            <w:r>
              <w:rPr>
                <w:rFonts w:hint="eastAsia" w:cs="Times New Roman"/>
                <w:i w:val="0"/>
                <w:iCs w:val="0"/>
                <w:color w:val="auto"/>
                <w:sz w:val="24"/>
                <w:szCs w:val="24"/>
                <w:u w:val="single"/>
                <w:lang w:val="en-US" w:eastAsia="zh-CN"/>
              </w:rPr>
              <w:t>90.23</w:t>
            </w:r>
            <w:r>
              <w:rPr>
                <w:rFonts w:cs="Times New Roman"/>
                <w:i w:val="0"/>
                <w:iCs w:val="0"/>
                <w:color w:val="auto"/>
                <w:sz w:val="24"/>
                <w:szCs w:val="24"/>
              </w:rPr>
              <w:t>万元，暂列金额</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w:t>
            </w:r>
          </w:p>
          <w:p w14:paraId="29521BC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rPr>
            </w:pPr>
            <w:r>
              <w:rPr>
                <w:rFonts w:hint="eastAsia" w:cs="Times New Roman"/>
                <w:color w:val="auto"/>
                <w:sz w:val="24"/>
                <w:szCs w:val="24"/>
                <w:lang w:eastAsia="zh-CN"/>
              </w:rPr>
              <w:t>□</w:t>
            </w:r>
            <w:r>
              <w:rPr>
                <w:rFonts w:cs="Times New Roman"/>
                <w:color w:val="auto"/>
                <w:sz w:val="24"/>
                <w:szCs w:val="24"/>
              </w:rPr>
              <w:t>2.最高投标限价在招标文件澄清或修改文件中发布；</w:t>
            </w:r>
          </w:p>
          <w:p w14:paraId="3F2C4CF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highlight w:val="none"/>
              </w:rPr>
            </w:pPr>
            <w:r>
              <w:rPr>
                <w:rFonts w:hint="eastAsia" w:cs="Times New Roman"/>
                <w:color w:val="auto"/>
                <w:sz w:val="24"/>
                <w:szCs w:val="24"/>
                <w:lang w:eastAsia="zh-CN"/>
              </w:rPr>
              <w:t>□</w:t>
            </w:r>
            <w:r>
              <w:rPr>
                <w:rFonts w:hint="eastAsia" w:cs="Times New Roman"/>
                <w:color w:val="auto"/>
                <w:sz w:val="24"/>
                <w:szCs w:val="24"/>
                <w:highlight w:val="none"/>
                <w:lang w:val="en-US" w:eastAsia="zh-CN"/>
              </w:rPr>
              <w:t>3</w:t>
            </w:r>
            <w:r>
              <w:rPr>
                <w:rFonts w:cs="Times New Roman"/>
                <w:color w:val="auto"/>
                <w:sz w:val="24"/>
                <w:szCs w:val="24"/>
                <w:highlight w:val="none"/>
              </w:rPr>
              <w:t>.最高投标限价的计算方法：最高投标限价=</w:t>
            </w:r>
            <w:r>
              <w:rPr>
                <w:rFonts w:hint="eastAsia" w:cs="Times New Roman"/>
                <w:i/>
                <w:iCs/>
                <w:color w:val="auto"/>
                <w:sz w:val="24"/>
                <w:szCs w:val="24"/>
                <w:highlight w:val="none"/>
                <w:u w:val="single"/>
                <w:lang w:val="en" w:eastAsia="zh-CN"/>
              </w:rPr>
              <w:t>（投标限价的计算方法）</w:t>
            </w:r>
            <w:r>
              <w:rPr>
                <w:rFonts w:cs="Times New Roman"/>
                <w:color w:val="auto"/>
                <w:sz w:val="24"/>
                <w:szCs w:val="24"/>
                <w:highlight w:val="none"/>
              </w:rPr>
              <w:t>。</w:t>
            </w:r>
          </w:p>
          <w:p w14:paraId="424608D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rFonts w:hint="eastAsia"/>
                <w:color w:val="auto"/>
                <w:sz w:val="24"/>
                <w:szCs w:val="24"/>
                <w:lang w:val="en-US" w:eastAsia="zh-CN"/>
              </w:rPr>
              <w:t>4.其他：/</w:t>
            </w:r>
          </w:p>
        </w:tc>
      </w:tr>
      <w:tr w14:paraId="345DECD6">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B96C8F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3.2.5</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F1A76D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投标报价的其他要求</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1894AB7">
            <w:pPr>
              <w:keepNext w:val="0"/>
              <w:keepLines w:val="0"/>
              <w:pageBreakBefore w:val="0"/>
              <w:widowControl w:val="0"/>
              <w:kinsoku/>
              <w:wordWrap w:val="0"/>
              <w:overflowPunct/>
              <w:bidi w:val="0"/>
              <w:adjustRightInd/>
              <w:snapToGrid/>
              <w:spacing w:line="400" w:lineRule="exact"/>
              <w:ind w:left="0" w:leftChars="0" w:right="0" w:rightChars="0" w:firstLine="0" w:firstLineChars="0"/>
              <w:jc w:val="both"/>
              <w:textAlignment w:val="auto"/>
              <w:outlineLvl w:val="9"/>
              <w:rPr>
                <w:rFonts w:hint="eastAsia"/>
                <w:color w:val="auto"/>
                <w:sz w:val="24"/>
                <w:szCs w:val="24"/>
              </w:rPr>
            </w:pPr>
            <w:r>
              <w:rPr>
                <w:rFonts w:hint="eastAsia"/>
                <w:color w:val="auto"/>
                <w:sz w:val="24"/>
                <w:szCs w:val="24"/>
              </w:rPr>
              <w:t>1.投标人可依据项目</w:t>
            </w:r>
            <w:r>
              <w:rPr>
                <w:rFonts w:hint="eastAsia"/>
                <w:color w:val="auto"/>
                <w:sz w:val="24"/>
                <w:szCs w:val="24"/>
                <w:lang w:eastAsia="zh-CN"/>
              </w:rPr>
              <w:t>建设内容</w:t>
            </w:r>
            <w:r>
              <w:rPr>
                <w:rFonts w:hint="eastAsia"/>
                <w:color w:val="auto"/>
                <w:sz w:val="24"/>
                <w:szCs w:val="24"/>
              </w:rPr>
              <w:t>及招标文件中总承包所承担的工作范围和工作界面明确报价费用。</w:t>
            </w:r>
          </w:p>
          <w:p w14:paraId="46976E9E">
            <w:pPr>
              <w:keepNext w:val="0"/>
              <w:keepLines w:val="0"/>
              <w:pageBreakBefore w:val="0"/>
              <w:widowControl w:val="0"/>
              <w:kinsoku/>
              <w:wordWrap w:val="0"/>
              <w:overflowPunct/>
              <w:bidi w:val="0"/>
              <w:adjustRightInd/>
              <w:snapToGrid/>
              <w:spacing w:line="400" w:lineRule="exact"/>
              <w:ind w:left="0" w:leftChars="0" w:right="0" w:rightChars="0" w:firstLine="0" w:firstLineChars="0"/>
              <w:jc w:val="both"/>
              <w:textAlignment w:val="auto"/>
              <w:outlineLvl w:val="9"/>
              <w:rPr>
                <w:rFonts w:hint="eastAsia"/>
                <w:color w:val="auto"/>
                <w:sz w:val="24"/>
                <w:szCs w:val="24"/>
              </w:rPr>
            </w:pPr>
            <w:r>
              <w:rPr>
                <w:rFonts w:hint="eastAsia"/>
                <w:color w:val="auto"/>
                <w:sz w:val="24"/>
                <w:szCs w:val="24"/>
              </w:rPr>
              <w:t>2.其他：</w:t>
            </w:r>
            <w:r>
              <w:rPr>
                <w:rFonts w:hint="eastAsia"/>
                <w:color w:val="auto"/>
                <w:sz w:val="24"/>
                <w:szCs w:val="24"/>
                <w:u w:val="single"/>
              </w:rPr>
              <w:t>本项目设计费、建安工程费均不能超过其各</w:t>
            </w:r>
            <w:r>
              <w:rPr>
                <w:rFonts w:hint="eastAsia"/>
                <w:color w:val="auto"/>
                <w:sz w:val="24"/>
                <w:szCs w:val="24"/>
                <w:u w:val="single"/>
                <w:lang w:val="en-US" w:eastAsia="zh-CN"/>
              </w:rPr>
              <w:t>标段</w:t>
            </w:r>
            <w:r>
              <w:rPr>
                <w:rFonts w:hint="eastAsia"/>
                <w:color w:val="auto"/>
                <w:sz w:val="24"/>
                <w:szCs w:val="24"/>
                <w:u w:val="single"/>
              </w:rPr>
              <w:t>的最高限价，投标人按安全文明施工相关规定足额计取安全文明施工费</w:t>
            </w:r>
            <w:r>
              <w:rPr>
                <w:rFonts w:hint="eastAsia"/>
                <w:color w:val="auto"/>
                <w:sz w:val="24"/>
                <w:szCs w:val="24"/>
                <w:u w:val="single"/>
                <w:lang w:eastAsia="zh-CN"/>
              </w:rPr>
              <w:t>。</w:t>
            </w:r>
            <w:r>
              <w:rPr>
                <w:rFonts w:hint="eastAsia" w:ascii="宋体" w:hAnsi="宋体" w:cs="宋体"/>
                <w:color w:val="auto"/>
                <w:sz w:val="24"/>
                <w:szCs w:val="24"/>
                <w:highlight w:val="none"/>
                <w:u w:val="single"/>
                <w:lang w:val="en-US" w:eastAsia="zh-CN"/>
              </w:rPr>
              <w:t>投标</w:t>
            </w:r>
            <w:r>
              <w:rPr>
                <w:rFonts w:hint="eastAsia" w:ascii="宋体" w:hAnsi="宋体" w:eastAsia="宋体" w:cs="宋体"/>
                <w:color w:val="auto"/>
                <w:sz w:val="24"/>
                <w:szCs w:val="24"/>
                <w:highlight w:val="none"/>
                <w:u w:val="single"/>
              </w:rPr>
              <w:t>报价是由投标人参考所有前期资料，结合投标人自身对本项目的理解、认识、设计以及施工组织设计或施工方案</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采用的施工技术</w:t>
            </w:r>
            <w:r>
              <w:rPr>
                <w:rFonts w:hint="eastAsia" w:ascii="宋体" w:hAnsi="宋体" w:eastAsia="宋体" w:cs="宋体"/>
                <w:color w:val="auto"/>
                <w:sz w:val="24"/>
                <w:szCs w:val="24"/>
                <w:highlight w:val="none"/>
                <w:u w:val="single"/>
              </w:rPr>
              <w:t>等，在最高投标限价范围内自主报价。投标人在报价时应充分考虑到任何可能导致调价的因素以及应承担的风险</w:t>
            </w:r>
            <w:r>
              <w:rPr>
                <w:rFonts w:hint="eastAsia"/>
                <w:color w:val="auto"/>
                <w:sz w:val="24"/>
                <w:szCs w:val="24"/>
              </w:rPr>
              <w:t>。</w:t>
            </w:r>
          </w:p>
        </w:tc>
      </w:tr>
      <w:tr w14:paraId="62D87957">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9F99CE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3.3.1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78A9310">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jc w:val="center"/>
              <w:textAlignment w:val="auto"/>
              <w:outlineLvl w:val="9"/>
              <w:rPr>
                <w:b w:val="0"/>
                <w:bCs w:val="0"/>
                <w:color w:val="auto"/>
                <w:sz w:val="24"/>
                <w:szCs w:val="24"/>
              </w:rPr>
            </w:pPr>
            <w:r>
              <w:rPr>
                <w:b w:val="0"/>
                <w:bCs w:val="0"/>
                <w:color w:val="auto"/>
                <w:kern w:val="0"/>
                <w:sz w:val="24"/>
                <w:szCs w:val="24"/>
              </w:rPr>
              <w:t>投标有效期</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9A46618">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b w:val="0"/>
                <w:bCs w:val="0"/>
                <w:color w:val="auto"/>
                <w:sz w:val="24"/>
                <w:szCs w:val="24"/>
              </w:rPr>
            </w:pPr>
            <w:r>
              <w:rPr>
                <w:rFonts w:hint="eastAsia"/>
                <w:b w:val="0"/>
                <w:bCs w:val="0"/>
                <w:color w:val="auto"/>
                <w:sz w:val="24"/>
                <w:szCs w:val="24"/>
                <w:u w:val="single"/>
                <w:lang w:val="en-US" w:eastAsia="zh-CN"/>
              </w:rPr>
              <w:t>120</w:t>
            </w:r>
            <w:r>
              <w:rPr>
                <w:b w:val="0"/>
                <w:bCs w:val="0"/>
                <w:color w:val="auto"/>
                <w:sz w:val="24"/>
                <w:szCs w:val="24"/>
                <w:u w:val="none"/>
              </w:rPr>
              <w:t>日</w:t>
            </w:r>
            <w:r>
              <w:rPr>
                <w:b w:val="0"/>
                <w:bCs w:val="0"/>
                <w:color w:val="auto"/>
                <w:kern w:val="0"/>
                <w:sz w:val="24"/>
                <w:szCs w:val="24"/>
              </w:rPr>
              <w:t>历天（从投标截止之日起算）</w:t>
            </w:r>
          </w:p>
        </w:tc>
      </w:tr>
      <w:tr w14:paraId="05655238">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027B3E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3.4.1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3A3525B">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jc w:val="center"/>
              <w:textAlignment w:val="auto"/>
              <w:outlineLvl w:val="9"/>
              <w:rPr>
                <w:b w:val="0"/>
                <w:bCs w:val="0"/>
                <w:color w:val="auto"/>
                <w:sz w:val="24"/>
                <w:szCs w:val="24"/>
              </w:rPr>
            </w:pPr>
            <w:r>
              <w:rPr>
                <w:b w:val="0"/>
                <w:bCs w:val="0"/>
                <w:color w:val="auto"/>
                <w:kern w:val="0"/>
                <w:sz w:val="24"/>
                <w:szCs w:val="24"/>
                <w:highlight w:val="none"/>
              </w:rPr>
              <w:t>投标保证金</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00BF040">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cs="Times New Roman"/>
                <w:color w:val="auto"/>
                <w:sz w:val="24"/>
                <w:szCs w:val="24"/>
                <w:lang w:eastAsia="zh-CN"/>
              </w:rPr>
            </w:pPr>
            <w:r>
              <w:rPr>
                <w:rFonts w:hint="eastAsia" w:cs="Times New Roman"/>
                <w:color w:val="auto"/>
                <w:sz w:val="24"/>
                <w:szCs w:val="24"/>
                <w:lang w:eastAsia="zh-CN"/>
              </w:rPr>
              <w:t>□不要求提交投标保证金</w:t>
            </w:r>
          </w:p>
          <w:p w14:paraId="67D6FEF9">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cs="Times New Roman"/>
                <w:color w:val="auto"/>
                <w:sz w:val="24"/>
                <w:szCs w:val="24"/>
                <w:lang w:eastAsia="zh-CN"/>
              </w:rPr>
            </w:pPr>
            <w:r>
              <w:rPr>
                <w:rFonts w:hint="eastAsia" w:cs="Times New Roman"/>
                <w:color w:val="auto"/>
                <w:sz w:val="24"/>
                <w:szCs w:val="24"/>
                <w:lang w:eastAsia="zh-CN"/>
              </w:rPr>
              <w:t>☑要求提交投标保证金</w:t>
            </w:r>
          </w:p>
          <w:p w14:paraId="5F3C3A39">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b w:val="0"/>
                <w:bCs w:val="0"/>
                <w:i w:val="0"/>
                <w:iCs w:val="0"/>
                <w:color w:val="auto"/>
                <w:sz w:val="24"/>
                <w:szCs w:val="24"/>
              </w:rPr>
            </w:pPr>
            <w:r>
              <w:rPr>
                <w:b w:val="0"/>
                <w:bCs w:val="0"/>
                <w:i w:val="0"/>
                <w:iCs w:val="0"/>
                <w:color w:val="auto"/>
                <w:sz w:val="24"/>
                <w:szCs w:val="24"/>
              </w:rPr>
              <w:t>1.金额：人民币</w:t>
            </w:r>
            <w:r>
              <w:rPr>
                <w:rFonts w:hint="eastAsia"/>
                <w:b w:val="0"/>
                <w:bCs w:val="0"/>
                <w:i w:val="0"/>
                <w:iCs w:val="0"/>
                <w:color w:val="auto"/>
                <w:sz w:val="24"/>
                <w:szCs w:val="24"/>
                <w:u w:val="single"/>
                <w:lang w:val="en-US" w:eastAsia="zh-CN"/>
              </w:rPr>
              <w:t>50</w:t>
            </w:r>
            <w:r>
              <w:rPr>
                <w:b w:val="0"/>
                <w:bCs w:val="0"/>
                <w:i w:val="0"/>
                <w:iCs w:val="0"/>
                <w:color w:val="auto"/>
                <w:sz w:val="24"/>
                <w:szCs w:val="24"/>
              </w:rPr>
              <w:t>万元（不得超过项目估算价的2%，且最高不得超过50万元）</w:t>
            </w:r>
          </w:p>
          <w:p w14:paraId="61ADAC24">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b w:val="0"/>
                <w:bCs w:val="0"/>
                <w:i w:val="0"/>
                <w:iCs w:val="0"/>
                <w:color w:val="auto"/>
                <w:sz w:val="24"/>
                <w:szCs w:val="24"/>
              </w:rPr>
              <w:t>2.缴纳方式：</w:t>
            </w:r>
            <w:r>
              <w:rPr>
                <w:rFonts w:hint="default" w:cs="Times New Roman"/>
                <w:b w:val="0"/>
                <w:bCs w:val="0"/>
                <w:i w:val="0"/>
                <w:iCs w:val="0"/>
                <w:color w:val="auto"/>
                <w:sz w:val="24"/>
                <w:szCs w:val="24"/>
              </w:rPr>
              <w:t>银行汇票、银行电汇、支票、银行保函</w:t>
            </w:r>
            <w:r>
              <w:rPr>
                <w:rFonts w:hint="eastAsia" w:cs="Times New Roman"/>
                <w:b w:val="0"/>
                <w:bCs w:val="0"/>
                <w:i w:val="0"/>
                <w:iCs w:val="0"/>
                <w:color w:val="auto"/>
                <w:sz w:val="24"/>
                <w:szCs w:val="24"/>
                <w:lang w:eastAsia="zh-CN"/>
              </w:rPr>
              <w:t>、</w:t>
            </w:r>
            <w:r>
              <w:rPr>
                <w:rFonts w:hint="default" w:cs="Times New Roman"/>
                <w:b w:val="0"/>
                <w:bCs w:val="0"/>
                <w:i w:val="0"/>
                <w:iCs w:val="0"/>
                <w:color w:val="auto"/>
                <w:sz w:val="24"/>
                <w:szCs w:val="24"/>
              </w:rPr>
              <w:t>保证保险形式</w:t>
            </w:r>
            <w:r>
              <w:rPr>
                <w:rFonts w:hint="eastAsia" w:cs="Times New Roman"/>
                <w:b w:val="0"/>
                <w:bCs w:val="0"/>
                <w:i w:val="0"/>
                <w:iCs w:val="0"/>
                <w:color w:val="auto"/>
                <w:sz w:val="24"/>
                <w:szCs w:val="24"/>
                <w:lang w:eastAsia="zh-CN"/>
              </w:rPr>
              <w:t>均可。（境内投标单位以现金或者支票形式提交的投标保证金应当从其基本账户转出）</w:t>
            </w:r>
          </w:p>
          <w:p w14:paraId="559D5D36">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w:t>
            </w:r>
            <w:r>
              <w:rPr>
                <w:rFonts w:hint="eastAsia" w:eastAsia="STHeiti"/>
                <w:b w:val="0"/>
                <w:bCs w:val="0"/>
                <w:i w:val="0"/>
                <w:iCs w:val="0"/>
                <w:color w:val="auto"/>
                <w:sz w:val="24"/>
                <w:szCs w:val="24"/>
                <w:lang w:val="en-US" w:eastAsia="zh-CN"/>
              </w:rPr>
              <w:t>1</w:t>
            </w:r>
            <w:r>
              <w:rPr>
                <w:rFonts w:hint="eastAsia" w:eastAsia="STHeiti"/>
                <w:b w:val="0"/>
                <w:bCs w:val="0"/>
                <w:i w:val="0"/>
                <w:iCs w:val="0"/>
                <w:color w:val="auto"/>
                <w:sz w:val="24"/>
                <w:szCs w:val="24"/>
                <w:lang w:eastAsia="zh-CN"/>
              </w:rPr>
              <w:t>）如采用银行汇票、银行电汇、支票形式：投标保证金必须保证在投标文件提交截止时间前（以到账时间为准）从基本账户汇入以下账户：</w:t>
            </w:r>
          </w:p>
          <w:p w14:paraId="73AB1CFB">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开户名称：辛集市公共资源交易中心</w:t>
            </w:r>
          </w:p>
          <w:p w14:paraId="23CDB9D1">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开户行：中国银行</w:t>
            </w:r>
          </w:p>
          <w:p w14:paraId="25F89D8D">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银行帐户：101926947908</w:t>
            </w:r>
          </w:p>
          <w:p w14:paraId="49922D65">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联系方式：0311-83183777</w:t>
            </w:r>
          </w:p>
          <w:p w14:paraId="69C568E4">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须注明项目名称、用途等信息（可简写）。</w:t>
            </w:r>
          </w:p>
          <w:p w14:paraId="4939A95E">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投标人应在投标文件中附投标保证金基本账户转出或出具的相关证明及开户许可证（或企业基本存款账户信息相关单据）扫描件。</w:t>
            </w:r>
          </w:p>
          <w:p w14:paraId="02F91598">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w:t>
            </w:r>
            <w:r>
              <w:rPr>
                <w:rFonts w:hint="eastAsia" w:eastAsia="STHeiti"/>
                <w:b w:val="0"/>
                <w:bCs w:val="0"/>
                <w:i w:val="0"/>
                <w:iCs w:val="0"/>
                <w:color w:val="auto"/>
                <w:sz w:val="24"/>
                <w:szCs w:val="24"/>
                <w:lang w:val="en-US" w:eastAsia="zh-CN"/>
              </w:rPr>
              <w:t>2</w:t>
            </w:r>
            <w:r>
              <w:rPr>
                <w:rFonts w:hint="eastAsia" w:eastAsia="STHeiti"/>
                <w:b w:val="0"/>
                <w:bCs w:val="0"/>
                <w:i w:val="0"/>
                <w:iCs w:val="0"/>
                <w:color w:val="auto"/>
                <w:sz w:val="24"/>
                <w:szCs w:val="24"/>
                <w:lang w:eastAsia="zh-CN"/>
              </w:rPr>
              <w:t>）如采用银行保函形式：投标人的银行保函应当从其基本账户的开户行出具,投标人应在投标文件中附银行保函、开户许可证（或企业基本存款账户信息相关单据）扫描件。</w:t>
            </w:r>
          </w:p>
          <w:p w14:paraId="148E099D">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w:t>
            </w:r>
            <w:r>
              <w:rPr>
                <w:rFonts w:hint="eastAsia" w:eastAsia="STHeiti"/>
                <w:b w:val="0"/>
                <w:bCs w:val="0"/>
                <w:i w:val="0"/>
                <w:iCs w:val="0"/>
                <w:color w:val="auto"/>
                <w:sz w:val="24"/>
                <w:szCs w:val="24"/>
                <w:lang w:val="en-US" w:eastAsia="zh-CN"/>
              </w:rPr>
              <w:t>3</w:t>
            </w:r>
            <w:r>
              <w:rPr>
                <w:rFonts w:hint="eastAsia" w:eastAsia="STHeiti"/>
                <w:b w:val="0"/>
                <w:bCs w:val="0"/>
                <w:i w:val="0"/>
                <w:iCs w:val="0"/>
                <w:color w:val="auto"/>
                <w:sz w:val="24"/>
                <w:szCs w:val="24"/>
                <w:lang w:eastAsia="zh-CN"/>
              </w:rPr>
              <w:t>）如采用电子保函形式：请登录辛集市公共资源电子交易平台，进入电子保函服务系统，按照提示完成相关操作。投标人应在投标文件中附通过投标人基本账户购买电子保函的相关证明、电子保函及开户许可证（或企业基本存款账户信息相关单据）扫描件。</w:t>
            </w:r>
          </w:p>
          <w:p w14:paraId="13779730">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w:t>
            </w:r>
            <w:r>
              <w:rPr>
                <w:rFonts w:hint="eastAsia" w:eastAsia="STHeiti"/>
                <w:b w:val="0"/>
                <w:bCs w:val="0"/>
                <w:i w:val="0"/>
                <w:iCs w:val="0"/>
                <w:color w:val="auto"/>
                <w:sz w:val="24"/>
                <w:szCs w:val="24"/>
                <w:lang w:val="en-US" w:eastAsia="zh-CN"/>
              </w:rPr>
              <w:t>4</w:t>
            </w:r>
            <w:r>
              <w:rPr>
                <w:rFonts w:hint="eastAsia" w:eastAsia="STHeiti"/>
                <w:b w:val="0"/>
                <w:bCs w:val="0"/>
                <w:i w:val="0"/>
                <w:iCs w:val="0"/>
                <w:color w:val="auto"/>
                <w:sz w:val="24"/>
                <w:szCs w:val="24"/>
                <w:lang w:eastAsia="zh-CN"/>
              </w:rPr>
              <w:t>）如采用担保保函形式：投标人应在投标文件中附担保保函扫描件及通过投标人基本账户购买担保保函的相关证明及开户许可证（或企业基本存款账户信息相关单据）扫描件。</w:t>
            </w:r>
          </w:p>
          <w:p w14:paraId="12EDC058">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w:t>
            </w:r>
            <w:r>
              <w:rPr>
                <w:rFonts w:hint="eastAsia" w:eastAsia="STHeiti"/>
                <w:b w:val="0"/>
                <w:bCs w:val="0"/>
                <w:i w:val="0"/>
                <w:iCs w:val="0"/>
                <w:color w:val="auto"/>
                <w:sz w:val="24"/>
                <w:szCs w:val="24"/>
                <w:lang w:val="en-US" w:eastAsia="zh-CN"/>
              </w:rPr>
              <w:t>5</w:t>
            </w:r>
            <w:r>
              <w:rPr>
                <w:rFonts w:hint="eastAsia" w:eastAsia="STHeiti"/>
                <w:b w:val="0"/>
                <w:bCs w:val="0"/>
                <w:i w:val="0"/>
                <w:iCs w:val="0"/>
                <w:color w:val="auto"/>
                <w:sz w:val="24"/>
                <w:szCs w:val="24"/>
                <w:lang w:eastAsia="zh-CN"/>
              </w:rPr>
              <w:t>）如采用投标保证保险形式：投标人应在投标文件中附通过投标人基本账户购买保险的相关证明及开户许可证（或企业基本存款账户信息相关单据）扫描件。</w:t>
            </w:r>
          </w:p>
          <w:p w14:paraId="2B3E8364">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val="en-US" w:eastAsia="zh-CN"/>
              </w:rPr>
              <w:t>（6）</w:t>
            </w:r>
            <w:r>
              <w:rPr>
                <w:rFonts w:hint="eastAsia" w:eastAsia="STHeiti"/>
                <w:b w:val="0"/>
                <w:bCs w:val="0"/>
                <w:i w:val="0"/>
                <w:iCs w:val="0"/>
                <w:color w:val="auto"/>
                <w:sz w:val="24"/>
                <w:szCs w:val="24"/>
                <w:lang w:eastAsia="zh-CN"/>
              </w:rPr>
              <w:t>保证金有效期不少于投标有效期。</w:t>
            </w:r>
          </w:p>
          <w:p w14:paraId="6DEB4698">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b w:val="0"/>
                <w:bCs w:val="0"/>
                <w:color w:val="auto"/>
                <w:sz w:val="24"/>
                <w:szCs w:val="24"/>
              </w:rPr>
            </w:pPr>
            <w:r>
              <w:rPr>
                <w:b w:val="0"/>
                <w:bCs w:val="0"/>
                <w:i w:val="0"/>
                <w:iCs w:val="0"/>
                <w:color w:val="auto"/>
                <w:sz w:val="24"/>
                <w:szCs w:val="24"/>
              </w:rPr>
              <w:t>注：重新招标项目，参与投标的投标人仍需按上述规定要求重新递交投标保证金。如联合体投标的，其投标保证金由牵头人递交。</w:t>
            </w:r>
          </w:p>
        </w:tc>
      </w:tr>
      <w:tr w14:paraId="44071DE6">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339EC2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3.4.3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5A9BA86">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jc w:val="center"/>
              <w:textAlignment w:val="auto"/>
              <w:outlineLvl w:val="9"/>
              <w:rPr>
                <w:rFonts w:hint="eastAsia" w:eastAsia="宋体"/>
                <w:b w:val="0"/>
                <w:bCs w:val="0"/>
                <w:color w:val="auto"/>
                <w:kern w:val="0"/>
                <w:sz w:val="24"/>
                <w:szCs w:val="24"/>
                <w:lang w:eastAsia="zh-CN"/>
              </w:rPr>
            </w:pPr>
            <w:r>
              <w:rPr>
                <w:rFonts w:hint="eastAsia"/>
                <w:b w:val="0"/>
                <w:bCs w:val="0"/>
                <w:color w:val="auto"/>
                <w:kern w:val="0"/>
                <w:sz w:val="24"/>
                <w:szCs w:val="24"/>
                <w:lang w:eastAsia="zh-CN"/>
              </w:rPr>
              <w:t>其他不予退还投标保证金的情形</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2506D2D">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eastAsia="宋体"/>
                <w:b w:val="0"/>
                <w:bCs w:val="0"/>
                <w:color w:val="auto"/>
                <w:sz w:val="24"/>
                <w:szCs w:val="24"/>
                <w:lang w:eastAsia="zh-CN"/>
              </w:rPr>
            </w:pPr>
            <w:r>
              <w:rPr>
                <w:rFonts w:hint="eastAsia"/>
                <w:b w:val="0"/>
                <w:bCs w:val="0"/>
                <w:color w:val="auto"/>
                <w:sz w:val="24"/>
                <w:szCs w:val="24"/>
                <w:lang w:val="en-US" w:eastAsia="zh-CN"/>
              </w:rPr>
              <w:t>1</w:t>
            </w:r>
            <w:r>
              <w:rPr>
                <w:b w:val="0"/>
                <w:bCs w:val="0"/>
                <w:color w:val="auto"/>
                <w:sz w:val="24"/>
                <w:szCs w:val="24"/>
              </w:rPr>
              <w:t>.其他：</w:t>
            </w:r>
            <w:r>
              <w:rPr>
                <w:b w:val="0"/>
                <w:bCs w:val="0"/>
                <w:color w:val="auto"/>
                <w:sz w:val="24"/>
                <w:szCs w:val="24"/>
                <w:u w:val="single"/>
              </w:rPr>
              <w:t xml:space="preserve"> </w:t>
            </w:r>
            <w:r>
              <w:rPr>
                <w:rFonts w:hint="eastAsia"/>
                <w:b w:val="0"/>
                <w:bCs w:val="0"/>
                <w:color w:val="auto"/>
                <w:sz w:val="24"/>
                <w:szCs w:val="24"/>
                <w:u w:val="single"/>
                <w:lang w:val="en-US" w:eastAsia="zh-CN"/>
              </w:rPr>
              <w:t>/</w:t>
            </w:r>
            <w:r>
              <w:rPr>
                <w:b w:val="0"/>
                <w:bCs w:val="0"/>
                <w:color w:val="auto"/>
                <w:sz w:val="24"/>
                <w:szCs w:val="24"/>
                <w:u w:val="single"/>
              </w:rPr>
              <w:t xml:space="preserve"> </w:t>
            </w:r>
            <w:r>
              <w:rPr>
                <w:b w:val="0"/>
                <w:bCs w:val="0"/>
                <w:color w:val="auto"/>
                <w:sz w:val="24"/>
                <w:szCs w:val="24"/>
              </w:rPr>
              <w:t>。</w:t>
            </w:r>
          </w:p>
          <w:p w14:paraId="250C55F5">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b w:val="0"/>
                <w:bCs w:val="0"/>
                <w:color w:val="auto"/>
                <w:sz w:val="24"/>
                <w:szCs w:val="24"/>
              </w:rPr>
            </w:pPr>
            <w:r>
              <w:rPr>
                <w:b w:val="0"/>
                <w:bCs w:val="0"/>
                <w:color w:val="auto"/>
                <w:sz w:val="24"/>
                <w:szCs w:val="24"/>
              </w:rPr>
              <w:t>注：本招标文件的“投标保证金不予退还”是指：</w:t>
            </w:r>
          </w:p>
          <w:p w14:paraId="53517A33">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b w:val="0"/>
                <w:bCs w:val="0"/>
                <w:color w:val="auto"/>
                <w:sz w:val="24"/>
                <w:szCs w:val="24"/>
              </w:rPr>
            </w:pPr>
            <w:r>
              <w:rPr>
                <w:b w:val="0"/>
                <w:bCs w:val="0"/>
                <w:color w:val="auto"/>
                <w:sz w:val="24"/>
                <w:szCs w:val="24"/>
              </w:rPr>
              <w:t>（1）以现金转账形式，转账现金不予退还。</w:t>
            </w:r>
          </w:p>
          <w:p w14:paraId="28CB8217">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b w:val="0"/>
                <w:bCs w:val="0"/>
                <w:color w:val="auto"/>
                <w:sz w:val="24"/>
                <w:szCs w:val="24"/>
              </w:rPr>
            </w:pPr>
            <w:r>
              <w:rPr>
                <w:b w:val="0"/>
                <w:bCs w:val="0"/>
                <w:color w:val="auto"/>
                <w:sz w:val="24"/>
                <w:szCs w:val="24"/>
              </w:rPr>
              <w:t>（2）以银行保函形式，招标人作为受益人向银行提起索赔。</w:t>
            </w:r>
          </w:p>
          <w:p w14:paraId="4204F045">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b w:val="0"/>
                <w:bCs w:val="0"/>
                <w:color w:val="auto"/>
                <w:sz w:val="24"/>
                <w:szCs w:val="24"/>
              </w:rPr>
            </w:pPr>
            <w:r>
              <w:rPr>
                <w:b w:val="0"/>
                <w:bCs w:val="0"/>
                <w:color w:val="auto"/>
                <w:sz w:val="24"/>
                <w:szCs w:val="24"/>
              </w:rPr>
              <w:t>（3）以保证保险形式，招标人作为被保险人（受益人）向保险人提起索赔。</w:t>
            </w:r>
          </w:p>
        </w:tc>
      </w:tr>
      <w:tr w14:paraId="6EC1567D">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9E9D0C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3.5</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046C91D">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jc w:val="center"/>
              <w:textAlignment w:val="auto"/>
              <w:outlineLvl w:val="9"/>
              <w:rPr>
                <w:rFonts w:hint="eastAsia"/>
                <w:b w:val="0"/>
                <w:bCs w:val="0"/>
                <w:color w:val="auto"/>
                <w:kern w:val="0"/>
                <w:sz w:val="24"/>
                <w:szCs w:val="24"/>
                <w:lang w:eastAsia="zh-CN"/>
              </w:rPr>
            </w:pPr>
            <w:r>
              <w:rPr>
                <w:rFonts w:hint="eastAsia"/>
                <w:b w:val="0"/>
                <w:bCs w:val="0"/>
                <w:color w:val="auto"/>
                <w:kern w:val="0"/>
                <w:sz w:val="24"/>
                <w:szCs w:val="24"/>
                <w:lang w:eastAsia="zh-CN"/>
              </w:rPr>
              <w:t>实质性响应招标文件资料</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6FC6F7CB">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color w:val="auto"/>
                <w:sz w:val="24"/>
                <w:szCs w:val="24"/>
                <w:lang w:eastAsia="zh-CN"/>
              </w:rPr>
            </w:pPr>
            <w:r>
              <w:rPr>
                <w:rFonts w:hint="eastAsia"/>
                <w:b w:val="0"/>
                <w:bCs w:val="0"/>
                <w:color w:val="auto"/>
                <w:sz w:val="24"/>
                <w:szCs w:val="24"/>
                <w:lang w:eastAsia="zh-CN"/>
              </w:rPr>
              <w:t>☑1.企业法人营业执照；</w:t>
            </w:r>
          </w:p>
          <w:p w14:paraId="16C95B11">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i w:val="0"/>
                <w:iCs w:val="0"/>
                <w:color w:val="auto"/>
                <w:sz w:val="24"/>
                <w:szCs w:val="24"/>
                <w:lang w:eastAsia="zh-CN"/>
              </w:rPr>
            </w:pPr>
            <w:r>
              <w:rPr>
                <w:rFonts w:hint="eastAsia"/>
                <w:b w:val="0"/>
                <w:bCs w:val="0"/>
                <w:color w:val="auto"/>
                <w:sz w:val="24"/>
                <w:szCs w:val="24"/>
                <w:lang w:eastAsia="zh-CN"/>
              </w:rPr>
              <w:t>☑2.法定代表人授权委托书</w:t>
            </w:r>
            <w:r>
              <w:rPr>
                <w:rFonts w:hint="eastAsia"/>
                <w:b w:val="0"/>
                <w:bCs w:val="0"/>
                <w:i w:val="0"/>
                <w:iCs w:val="0"/>
                <w:color w:val="auto"/>
                <w:sz w:val="24"/>
                <w:szCs w:val="24"/>
                <w:lang w:eastAsia="zh-CN"/>
              </w:rPr>
              <w:t>（投标文件委托代理人签字的提供）；</w:t>
            </w:r>
          </w:p>
          <w:p w14:paraId="30F10A56">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i w:val="0"/>
                <w:iCs w:val="0"/>
                <w:color w:val="auto"/>
                <w:sz w:val="24"/>
                <w:szCs w:val="24"/>
                <w:lang w:eastAsia="zh-CN"/>
              </w:rPr>
            </w:pPr>
            <w:r>
              <w:rPr>
                <w:rFonts w:hint="eastAsia"/>
                <w:b w:val="0"/>
                <w:bCs w:val="0"/>
                <w:i w:val="0"/>
                <w:iCs w:val="0"/>
                <w:color w:val="auto"/>
                <w:sz w:val="24"/>
                <w:szCs w:val="24"/>
                <w:lang w:eastAsia="zh-CN"/>
              </w:rPr>
              <w:t>☑3.联合体各方签订的联合体协议书（联合体投标的提供）；</w:t>
            </w:r>
          </w:p>
          <w:p w14:paraId="5F9FED37">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color w:val="auto"/>
                <w:sz w:val="24"/>
                <w:szCs w:val="24"/>
                <w:lang w:eastAsia="zh-CN"/>
              </w:rPr>
            </w:pPr>
            <w:r>
              <w:rPr>
                <w:rFonts w:hint="eastAsia"/>
                <w:b w:val="0"/>
                <w:bCs w:val="0"/>
                <w:color w:val="auto"/>
                <w:sz w:val="24"/>
                <w:szCs w:val="24"/>
                <w:lang w:eastAsia="zh-CN"/>
              </w:rPr>
              <w:t>☑4.建设行政部门核发的资质证书；</w:t>
            </w:r>
          </w:p>
          <w:p w14:paraId="62C94E32">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i w:val="0"/>
                <w:iCs w:val="0"/>
                <w:color w:val="auto"/>
                <w:sz w:val="24"/>
                <w:szCs w:val="24"/>
                <w:lang w:eastAsia="zh-CN"/>
              </w:rPr>
            </w:pPr>
            <w:r>
              <w:rPr>
                <w:rFonts w:hint="eastAsia"/>
                <w:b w:val="0"/>
                <w:bCs w:val="0"/>
                <w:color w:val="auto"/>
                <w:sz w:val="24"/>
                <w:szCs w:val="24"/>
                <w:lang w:eastAsia="zh-CN"/>
              </w:rPr>
              <w:t>☑5.企业安全生产许可证；□法定代表人、企业经理、企业分管安全生产的副经理的安全生产考核合格证书。</w:t>
            </w:r>
            <w:r>
              <w:rPr>
                <w:rFonts w:hint="eastAsia"/>
                <w:b w:val="0"/>
                <w:bCs w:val="0"/>
                <w:i w:val="0"/>
                <w:iCs w:val="0"/>
                <w:color w:val="auto"/>
                <w:sz w:val="24"/>
                <w:szCs w:val="24"/>
                <w:lang w:eastAsia="zh-CN"/>
              </w:rPr>
              <w:t>（联合体投标的，承担施工工作的所有联合体成员均需提供）；</w:t>
            </w:r>
          </w:p>
          <w:p w14:paraId="42342E19">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i w:val="0"/>
                <w:iCs w:val="0"/>
                <w:color w:val="auto"/>
                <w:sz w:val="24"/>
                <w:szCs w:val="24"/>
                <w:lang w:eastAsia="zh-CN"/>
              </w:rPr>
            </w:pPr>
            <w:r>
              <w:rPr>
                <w:rFonts w:hint="eastAsia"/>
                <w:b w:val="0"/>
                <w:bCs w:val="0"/>
                <w:color w:val="auto"/>
                <w:sz w:val="24"/>
                <w:szCs w:val="24"/>
                <w:lang w:eastAsia="zh-CN"/>
              </w:rPr>
              <w:t>☑6.施工负责人（建造师）的安全生产考核合格证书</w:t>
            </w:r>
            <w:r>
              <w:rPr>
                <w:rFonts w:hint="eastAsia"/>
                <w:b w:val="0"/>
                <w:bCs w:val="0"/>
                <w:i w:val="0"/>
                <w:iCs w:val="0"/>
                <w:color w:val="auto"/>
                <w:sz w:val="24"/>
                <w:szCs w:val="24"/>
                <w:lang w:eastAsia="zh-CN"/>
              </w:rPr>
              <w:t>（联合体投标的，承担施工工作的联合体成员均需提供）；</w:t>
            </w:r>
          </w:p>
          <w:p w14:paraId="1550189C">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color w:val="auto"/>
                <w:sz w:val="24"/>
                <w:szCs w:val="24"/>
                <w:lang w:eastAsia="zh-CN"/>
              </w:rPr>
            </w:pPr>
            <w:r>
              <w:rPr>
                <w:rFonts w:hint="eastAsia"/>
                <w:b w:val="0"/>
                <w:bCs w:val="0"/>
                <w:color w:val="auto"/>
                <w:sz w:val="24"/>
                <w:szCs w:val="24"/>
                <w:lang w:eastAsia="zh-CN"/>
              </w:rPr>
              <w:t>☑7.拟派项目经理、施工负责人、设计负责人的注册执业资格证书或专业技术职称证书；</w:t>
            </w:r>
          </w:p>
          <w:p w14:paraId="2B882F65">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color w:val="auto"/>
                <w:sz w:val="24"/>
                <w:szCs w:val="24"/>
                <w:lang w:eastAsia="zh-CN"/>
              </w:rPr>
            </w:pPr>
            <w:r>
              <w:rPr>
                <w:rFonts w:hint="eastAsia"/>
                <w:b w:val="0"/>
                <w:bCs w:val="0"/>
                <w:color w:val="auto"/>
                <w:sz w:val="24"/>
                <w:szCs w:val="24"/>
                <w:lang w:eastAsia="zh-CN"/>
              </w:rPr>
              <w:t>☑</w:t>
            </w:r>
            <w:r>
              <w:rPr>
                <w:rFonts w:hint="eastAsia"/>
                <w:b w:val="0"/>
                <w:bCs w:val="0"/>
                <w:color w:val="auto"/>
                <w:sz w:val="24"/>
                <w:szCs w:val="24"/>
                <w:lang w:val="en-US" w:eastAsia="zh-CN"/>
              </w:rPr>
              <w:t>8</w:t>
            </w:r>
            <w:r>
              <w:rPr>
                <w:rFonts w:hint="eastAsia"/>
                <w:b w:val="0"/>
                <w:bCs w:val="0"/>
                <w:color w:val="auto"/>
                <w:sz w:val="24"/>
                <w:szCs w:val="24"/>
                <w:lang w:eastAsia="zh-CN"/>
              </w:rPr>
              <w:t>.投标保证金缴纳证明资料</w:t>
            </w:r>
            <w:r>
              <w:rPr>
                <w:rFonts w:hint="eastAsia"/>
                <w:b w:val="0"/>
                <w:bCs w:val="0"/>
                <w:i w:val="0"/>
                <w:iCs w:val="0"/>
                <w:color w:val="auto"/>
                <w:sz w:val="24"/>
                <w:szCs w:val="24"/>
                <w:lang w:eastAsia="zh-CN"/>
              </w:rPr>
              <w:t>（银行转账记录或银行保函或投标保险保单或保证金联保证明或其他）</w:t>
            </w:r>
            <w:r>
              <w:rPr>
                <w:rFonts w:hint="eastAsia"/>
                <w:b w:val="0"/>
                <w:bCs w:val="0"/>
                <w:color w:val="auto"/>
                <w:sz w:val="24"/>
                <w:szCs w:val="24"/>
                <w:lang w:eastAsia="zh-CN"/>
              </w:rPr>
              <w:t>；</w:t>
            </w:r>
          </w:p>
          <w:p w14:paraId="053DB46E">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i w:val="0"/>
                <w:iCs w:val="0"/>
                <w:color w:val="auto"/>
                <w:sz w:val="24"/>
                <w:szCs w:val="24"/>
                <w:lang w:eastAsia="zh-CN"/>
              </w:rPr>
            </w:pPr>
            <w:r>
              <w:rPr>
                <w:rFonts w:hint="eastAsia"/>
                <w:b w:val="0"/>
                <w:bCs w:val="0"/>
                <w:color w:val="auto"/>
                <w:sz w:val="24"/>
                <w:szCs w:val="24"/>
                <w:lang w:eastAsia="zh-CN"/>
              </w:rPr>
              <w:t>☑</w:t>
            </w:r>
            <w:r>
              <w:rPr>
                <w:rFonts w:hint="eastAsia"/>
                <w:b w:val="0"/>
                <w:bCs w:val="0"/>
                <w:color w:val="auto"/>
                <w:sz w:val="24"/>
                <w:szCs w:val="24"/>
                <w:lang w:val="en-US" w:eastAsia="zh-CN"/>
              </w:rPr>
              <w:t>9</w:t>
            </w:r>
            <w:r>
              <w:rPr>
                <w:rFonts w:hint="eastAsia"/>
                <w:b w:val="0"/>
                <w:bCs w:val="0"/>
                <w:color w:val="auto"/>
                <w:sz w:val="24"/>
                <w:szCs w:val="24"/>
                <w:lang w:eastAsia="zh-CN"/>
              </w:rPr>
              <w:t>.专职安全生产管理人员的安全生产考核合格证书</w:t>
            </w:r>
            <w:r>
              <w:rPr>
                <w:rFonts w:hint="eastAsia"/>
                <w:b w:val="0"/>
                <w:bCs w:val="0"/>
                <w:i w:val="0"/>
                <w:iCs w:val="0"/>
                <w:color w:val="auto"/>
                <w:sz w:val="24"/>
                <w:szCs w:val="24"/>
                <w:lang w:eastAsia="zh-CN"/>
              </w:rPr>
              <w:t>（联合体投标的，承担施工工作的联合体成员均需提供）；</w:t>
            </w:r>
          </w:p>
          <w:p w14:paraId="63A42F2B">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color w:val="auto"/>
                <w:sz w:val="24"/>
                <w:szCs w:val="24"/>
                <w:lang w:eastAsia="zh-CN"/>
              </w:rPr>
            </w:pPr>
            <w:r>
              <w:rPr>
                <w:rFonts w:hint="eastAsia"/>
                <w:b w:val="0"/>
                <w:bCs w:val="0"/>
                <w:color w:val="auto"/>
                <w:sz w:val="24"/>
                <w:szCs w:val="24"/>
                <w:lang w:eastAsia="zh-CN"/>
              </w:rPr>
              <w:t>☑1</w:t>
            </w:r>
            <w:r>
              <w:rPr>
                <w:rFonts w:hint="eastAsia"/>
                <w:b w:val="0"/>
                <w:bCs w:val="0"/>
                <w:color w:val="auto"/>
                <w:sz w:val="24"/>
                <w:szCs w:val="24"/>
                <w:lang w:val="en-US" w:eastAsia="zh-CN"/>
              </w:rPr>
              <w:t>0</w:t>
            </w:r>
            <w:r>
              <w:rPr>
                <w:rFonts w:hint="eastAsia"/>
                <w:b w:val="0"/>
                <w:bCs w:val="0"/>
                <w:color w:val="auto"/>
                <w:sz w:val="24"/>
                <w:szCs w:val="24"/>
                <w:lang w:eastAsia="zh-CN"/>
              </w:rPr>
              <w:t>.符合招标公告要求的类似业绩证明材料；（</w:t>
            </w:r>
            <w:r>
              <w:rPr>
                <w:rFonts w:hint="eastAsia" w:cs="Times New Roman"/>
                <w:i w:val="0"/>
                <w:iCs w:val="0"/>
                <w:color w:val="auto"/>
                <w:kern w:val="0"/>
                <w:sz w:val="24"/>
                <w:szCs w:val="24"/>
                <w:u w:val="none"/>
                <w:lang w:eastAsia="zh-CN"/>
              </w:rPr>
              <w:t>投标人应在投标文件中提供中标通知书、合同协议书、竣工验收报告以及</w:t>
            </w:r>
            <w:r>
              <w:rPr>
                <w:rFonts w:hint="eastAsia" w:cs="Times New Roman"/>
                <w:i w:val="0"/>
                <w:iCs w:val="0"/>
                <w:color w:val="auto"/>
                <w:kern w:val="0"/>
                <w:sz w:val="24"/>
                <w:szCs w:val="24"/>
                <w:u w:val="single"/>
                <w:lang w:val="en-US" w:eastAsia="zh-CN"/>
              </w:rPr>
              <w:t xml:space="preserve"> / </w:t>
            </w:r>
            <w:r>
              <w:rPr>
                <w:rFonts w:hint="eastAsia" w:cs="Times New Roman"/>
                <w:i w:val="0"/>
                <w:iCs w:val="0"/>
                <w:color w:val="auto"/>
                <w:kern w:val="0"/>
                <w:sz w:val="24"/>
                <w:szCs w:val="24"/>
                <w:u w:val="none"/>
                <w:lang w:eastAsia="zh-CN"/>
              </w:rPr>
              <w:t>作为业绩证明材料；如出现载明信息不一致时，资料认定顺序为</w:t>
            </w:r>
            <w:r>
              <w:rPr>
                <w:rFonts w:hint="eastAsia" w:cs="Times New Roman"/>
                <w:i w:val="0"/>
                <w:iCs w:val="0"/>
                <w:color w:val="auto"/>
                <w:kern w:val="0"/>
                <w:sz w:val="24"/>
                <w:szCs w:val="24"/>
                <w:u w:val="single"/>
                <w:lang w:val="en-US" w:eastAsia="zh-CN"/>
              </w:rPr>
              <w:t xml:space="preserve"> / </w:t>
            </w:r>
            <w:r>
              <w:rPr>
                <w:rFonts w:hint="eastAsia"/>
                <w:b w:val="0"/>
                <w:bCs w:val="0"/>
                <w:color w:val="auto"/>
                <w:sz w:val="24"/>
                <w:szCs w:val="24"/>
                <w:lang w:eastAsia="zh-CN"/>
              </w:rPr>
              <w:t>）</w:t>
            </w:r>
          </w:p>
          <w:p w14:paraId="6BE0E697">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color w:val="auto"/>
                <w:sz w:val="24"/>
                <w:szCs w:val="24"/>
                <w:lang w:eastAsia="zh-CN"/>
              </w:rPr>
            </w:pPr>
            <w:r>
              <w:rPr>
                <w:rFonts w:hint="eastAsia"/>
                <w:b w:val="0"/>
                <w:bCs w:val="0"/>
                <w:color w:val="auto"/>
                <w:sz w:val="24"/>
                <w:szCs w:val="24"/>
                <w:lang w:eastAsia="zh-CN"/>
              </w:rPr>
              <w:t>☑1</w:t>
            </w:r>
            <w:r>
              <w:rPr>
                <w:rFonts w:hint="eastAsia"/>
                <w:b w:val="0"/>
                <w:bCs w:val="0"/>
                <w:color w:val="auto"/>
                <w:sz w:val="24"/>
                <w:szCs w:val="24"/>
                <w:lang w:val="en-US" w:eastAsia="zh-CN"/>
              </w:rPr>
              <w:t>1</w:t>
            </w:r>
            <w:r>
              <w:rPr>
                <w:rFonts w:hint="eastAsia"/>
                <w:b w:val="0"/>
                <w:bCs w:val="0"/>
                <w:color w:val="auto"/>
                <w:sz w:val="24"/>
                <w:szCs w:val="24"/>
                <w:lang w:eastAsia="zh-CN"/>
              </w:rPr>
              <w:t>.</w:t>
            </w:r>
            <w:r>
              <w:rPr>
                <w:rFonts w:hint="eastAsia"/>
                <w:b w:val="0"/>
                <w:bCs w:val="0"/>
                <w:color w:val="auto"/>
                <w:sz w:val="24"/>
                <w:szCs w:val="24"/>
                <w:u w:val="single"/>
                <w:lang w:val="en-US" w:eastAsia="zh-CN"/>
              </w:rPr>
              <w:t>中小企业声明函和分包意向承诺书。</w:t>
            </w:r>
          </w:p>
        </w:tc>
      </w:tr>
      <w:tr w14:paraId="436BE4C1">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414C72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3.6</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7AC92D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是否允许递交备选投标方案</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C105A0E">
            <w:pPr>
              <w:pStyle w:val="15"/>
              <w:keepNext w:val="0"/>
              <w:keepLines w:val="0"/>
              <w:pageBreakBefore w:val="0"/>
              <w:widowControl w:val="0"/>
              <w:kinsoku/>
              <w:wordWrap w:val="0"/>
              <w:overflowPunct/>
              <w:topLinePunct/>
              <w:bidi w:val="0"/>
              <w:adjustRightInd/>
              <w:snapToGrid/>
              <w:spacing w:line="400" w:lineRule="exact"/>
              <w:ind w:left="0" w:leftChars="0" w:right="0" w:rightChars="0" w:firstLine="0" w:firstLineChars="0"/>
              <w:textAlignment w:val="auto"/>
              <w:outlineLvl w:val="9"/>
              <w:rPr>
                <w:rFonts w:ascii="Times New Roman"/>
                <w:color w:val="auto"/>
                <w:sz w:val="24"/>
                <w:szCs w:val="24"/>
              </w:rPr>
            </w:pPr>
            <w:r>
              <w:rPr>
                <w:rFonts w:hint="eastAsia"/>
                <w:b w:val="0"/>
                <w:bCs w:val="0"/>
                <w:color w:val="auto"/>
                <w:sz w:val="24"/>
                <w:szCs w:val="24"/>
                <w:lang w:eastAsia="zh-CN"/>
              </w:rPr>
              <w:t>☑</w:t>
            </w:r>
            <w:r>
              <w:rPr>
                <w:color w:val="auto"/>
                <w:sz w:val="24"/>
                <w:szCs w:val="24"/>
              </w:rPr>
              <w:t>不允许</w:t>
            </w:r>
          </w:p>
          <w:p w14:paraId="2475DD8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b w:val="0"/>
                <w:bCs w:val="0"/>
                <w:color w:val="auto"/>
                <w:sz w:val="24"/>
                <w:szCs w:val="24"/>
                <w:lang w:eastAsia="zh-CN"/>
              </w:rPr>
              <w:t>□</w:t>
            </w:r>
            <w:r>
              <w:rPr>
                <w:color w:val="auto"/>
                <w:sz w:val="24"/>
                <w:szCs w:val="24"/>
              </w:rPr>
              <w:t>允许</w:t>
            </w:r>
          </w:p>
        </w:tc>
      </w:tr>
      <w:tr w14:paraId="4790989E">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484AB7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3.7.3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925872D">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val="en-US" w:eastAsia="zh-CN"/>
              </w:rPr>
            </w:pPr>
            <w:r>
              <w:rPr>
                <w:color w:val="auto"/>
                <w:sz w:val="24"/>
                <w:szCs w:val="24"/>
              </w:rPr>
              <w:t>签字或盖章要求</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B03B24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rPr>
            </w:pPr>
            <w:r>
              <w:rPr>
                <w:rFonts w:hint="eastAsia" w:cs="Times New Roman"/>
                <w:b w:val="0"/>
                <w:bCs w:val="0"/>
                <w:color w:val="auto"/>
                <w:sz w:val="24"/>
                <w:szCs w:val="24"/>
                <w:lang w:eastAsia="zh-CN"/>
              </w:rPr>
              <w:t>1.</w:t>
            </w:r>
            <w:r>
              <w:rPr>
                <w:rFonts w:hint="eastAsia" w:ascii="宋体" w:hAnsi="宋体" w:eastAsia="宋体" w:cs="宋体"/>
                <w:color w:val="auto"/>
                <w:sz w:val="24"/>
                <w:szCs w:val="24"/>
              </w:rPr>
              <w:t>招标文件提供的投标文件格式要求投标人盖章、法定代表人印章的地方，投标人均应</w:t>
            </w:r>
            <w:r>
              <w:rPr>
                <w:rFonts w:hint="eastAsia" w:ascii="宋体" w:hAnsi="宋体" w:eastAsia="宋体" w:cs="宋体"/>
                <w:color w:val="auto"/>
                <w:sz w:val="24"/>
                <w:szCs w:val="24"/>
                <w:highlight w:val="none"/>
              </w:rPr>
              <w:t>使用CA数字证书</w:t>
            </w:r>
            <w:r>
              <w:rPr>
                <w:rFonts w:hint="eastAsia" w:ascii="宋体" w:hAnsi="宋体" w:eastAsia="宋体" w:cs="宋体"/>
                <w:color w:val="auto"/>
                <w:sz w:val="24"/>
                <w:szCs w:val="24"/>
              </w:rPr>
              <w:t>加盖投标人的单位</w:t>
            </w:r>
            <w:r>
              <w:rPr>
                <w:rFonts w:hint="eastAsia" w:ascii="宋体" w:hAnsi="宋体" w:eastAsia="宋体" w:cs="宋体"/>
                <w:color w:val="auto"/>
                <w:sz w:val="24"/>
                <w:szCs w:val="24"/>
                <w:highlight w:val="none"/>
              </w:rPr>
              <w:t>电子印章、法定代表人个人电子印章</w:t>
            </w:r>
            <w:r>
              <w:rPr>
                <w:rFonts w:hint="eastAsia" w:ascii="宋体" w:hAnsi="宋体" w:eastAsia="宋体" w:cs="宋体"/>
                <w:color w:val="auto"/>
                <w:sz w:val="24"/>
                <w:szCs w:val="24"/>
              </w:rPr>
              <w:t>。联合体投标的，除联合体协议书格式之外的由联合体牵头人加盖单位电子印章、法定代表人个人电子印章；</w:t>
            </w:r>
          </w:p>
          <w:p w14:paraId="1EACA8A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Times New Roman"/>
                <w:b w:val="0"/>
                <w:bCs w:val="0"/>
                <w:color w:val="auto"/>
                <w:sz w:val="24"/>
                <w:szCs w:val="24"/>
                <w:lang w:eastAsia="zh-CN"/>
              </w:rPr>
              <w:t>2.</w:t>
            </w:r>
            <w:r>
              <w:rPr>
                <w:rFonts w:hint="eastAsia" w:ascii="宋体" w:hAnsi="宋体" w:eastAsia="宋体" w:cs="宋体"/>
                <w:color w:val="auto"/>
                <w:sz w:val="24"/>
                <w:szCs w:val="24"/>
              </w:rPr>
              <w:t>投标文件所附证书证件、业绩证明文件、投标保证金等证明材料用原件</w:t>
            </w:r>
            <w:r>
              <w:rPr>
                <w:rFonts w:hint="eastAsia" w:ascii="宋体" w:hAnsi="宋体" w:cs="宋体"/>
                <w:color w:val="auto"/>
                <w:sz w:val="24"/>
                <w:szCs w:val="24"/>
                <w:lang w:eastAsia="zh-CN"/>
              </w:rPr>
              <w:t>扫描件</w:t>
            </w:r>
            <w:r>
              <w:rPr>
                <w:rFonts w:hint="eastAsia" w:ascii="宋体" w:hAnsi="宋体" w:eastAsia="宋体" w:cs="宋体"/>
                <w:color w:val="auto"/>
                <w:sz w:val="24"/>
                <w:szCs w:val="24"/>
              </w:rPr>
              <w:t>加盖投标单位电子印章；</w:t>
            </w:r>
          </w:p>
          <w:p w14:paraId="2D46AFB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ascii="宋体" w:hAnsi="宋体" w:cs="宋体"/>
                <w:color w:val="auto"/>
                <w:sz w:val="24"/>
                <w:szCs w:val="24"/>
                <w:lang w:eastAsia="zh-CN"/>
              </w:rPr>
              <w:t>☑</w:t>
            </w:r>
            <w:r>
              <w:rPr>
                <w:rFonts w:hint="eastAsia" w:cs="Times New Roman"/>
                <w:b w:val="0"/>
                <w:bCs w:val="0"/>
                <w:color w:val="auto"/>
                <w:sz w:val="24"/>
                <w:szCs w:val="24"/>
                <w:lang w:eastAsia="zh-CN"/>
              </w:rPr>
              <w:t>3.</w:t>
            </w:r>
            <w:r>
              <w:rPr>
                <w:rFonts w:hint="eastAsia" w:ascii="宋体" w:hAnsi="宋体" w:eastAsia="宋体" w:cs="宋体"/>
                <w:color w:val="auto"/>
                <w:sz w:val="24"/>
                <w:szCs w:val="24"/>
              </w:rPr>
              <w:t>其它要求：</w:t>
            </w:r>
            <w:r>
              <w:rPr>
                <w:rFonts w:hint="eastAsia" w:ascii="宋体" w:hAnsi="宋体" w:cs="宋体"/>
                <w:color w:val="auto"/>
                <w:sz w:val="24"/>
                <w:szCs w:val="24"/>
                <w:highlight w:val="none"/>
                <w:u w:val="single"/>
                <w:lang w:val="en-US" w:eastAsia="zh-CN"/>
              </w:rPr>
              <w:t>要求签字的可提供签字后扫描件</w:t>
            </w:r>
            <w:r>
              <w:rPr>
                <w:rFonts w:hint="eastAsia" w:ascii="宋体" w:hAnsi="宋体" w:eastAsia="宋体" w:cs="宋体"/>
                <w:color w:val="auto"/>
                <w:sz w:val="24"/>
                <w:szCs w:val="24"/>
              </w:rPr>
              <w:t>。</w:t>
            </w:r>
          </w:p>
        </w:tc>
      </w:tr>
      <w:tr w14:paraId="4885CE1E">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8CD94B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3.7.4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EB7817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投标文件份数</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D4833D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1.电子加密投标文件一份</w:t>
            </w:r>
            <w:r>
              <w:rPr>
                <w:rFonts w:hint="eastAsia" w:ascii="宋体" w:hAnsi="宋体" w:eastAsia="宋体" w:cs="宋体"/>
                <w:i w:val="0"/>
                <w:iCs w:val="0"/>
                <w:color w:val="auto"/>
                <w:sz w:val="24"/>
                <w:szCs w:val="24"/>
              </w:rPr>
              <w:t>（釆用</w:t>
            </w:r>
            <w:r>
              <w:rPr>
                <w:rFonts w:hint="eastAsia" w:ascii="宋体" w:hAnsi="宋体" w:cs="宋体"/>
                <w:i w:val="0"/>
                <w:iCs w:val="0"/>
                <w:color w:val="auto"/>
                <w:sz w:val="24"/>
                <w:szCs w:val="24"/>
                <w:u w:val="single"/>
                <w:lang w:eastAsia="zh-CN"/>
              </w:rPr>
              <w:t>（</w:t>
            </w:r>
            <w:r>
              <w:rPr>
                <w:rFonts w:hint="eastAsia" w:ascii="宋体" w:hAnsi="宋体" w:eastAsia="宋体" w:cs="宋体"/>
                <w:i w:val="0"/>
                <w:iCs w:val="0"/>
                <w:color w:val="auto"/>
                <w:sz w:val="24"/>
                <w:szCs w:val="24"/>
                <w:u w:val="single"/>
              </w:rPr>
              <w:t>电子投标文件制作工具</w:t>
            </w:r>
            <w:r>
              <w:rPr>
                <w:rFonts w:hint="eastAsia" w:ascii="宋体" w:hAnsi="宋体" w:cs="宋体"/>
                <w:i w:val="0"/>
                <w:iCs w:val="0"/>
                <w:color w:val="auto"/>
                <w:sz w:val="24"/>
                <w:szCs w:val="24"/>
                <w:u w:val="single"/>
                <w:lang w:eastAsia="zh-CN"/>
              </w:rPr>
              <w:t>）</w:t>
            </w:r>
            <w:r>
              <w:rPr>
                <w:rFonts w:hint="eastAsia" w:ascii="宋体" w:hAnsi="宋体" w:eastAsia="宋体" w:cs="宋体"/>
                <w:i w:val="0"/>
                <w:iCs w:val="0"/>
                <w:color w:val="auto"/>
                <w:sz w:val="24"/>
                <w:szCs w:val="24"/>
              </w:rPr>
              <w:t>制作）</w:t>
            </w:r>
            <w:r>
              <w:rPr>
                <w:rFonts w:hint="eastAsia" w:ascii="宋体" w:hAnsi="宋体" w:eastAsia="宋体" w:cs="宋体"/>
                <w:color w:val="auto"/>
                <w:sz w:val="24"/>
                <w:szCs w:val="24"/>
              </w:rPr>
              <w:t>，作为投标文件正本。</w:t>
            </w:r>
          </w:p>
          <w:p w14:paraId="61458BF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ascii="宋体" w:hAnsi="宋体" w:eastAsia="宋体" w:cs="宋体"/>
                <w:color w:val="auto"/>
                <w:sz w:val="24"/>
                <w:szCs w:val="24"/>
              </w:rPr>
              <w:t>2.其他：</w:t>
            </w:r>
            <w:r>
              <w:rPr>
                <w:rFonts w:hint="eastAsia" w:ascii="宋体" w:hAnsi="宋体" w:eastAsia="宋体" w:cs="宋体"/>
                <w:color w:val="auto"/>
                <w:sz w:val="24"/>
                <w:szCs w:val="24"/>
                <w:u w:val="single"/>
              </w:rPr>
              <w:t>中标后，中标单位在领取中标通知书时需向代理公司提供纸质版投标文件</w:t>
            </w:r>
            <w:r>
              <w:rPr>
                <w:rFonts w:hint="eastAsia" w:ascii="宋体" w:hAnsi="宋体" w:cs="宋体"/>
                <w:color w:val="auto"/>
                <w:sz w:val="24"/>
                <w:szCs w:val="24"/>
                <w:u w:val="single"/>
                <w:lang w:val="en-US" w:eastAsia="zh-CN"/>
              </w:rPr>
              <w:t>七</w:t>
            </w:r>
            <w:r>
              <w:rPr>
                <w:rFonts w:hint="eastAsia" w:ascii="宋体" w:hAnsi="宋体" w:eastAsia="宋体" w:cs="宋体"/>
                <w:color w:val="auto"/>
                <w:sz w:val="24"/>
                <w:szCs w:val="24"/>
                <w:u w:val="single"/>
              </w:rPr>
              <w:t>份。注：纸质版投标文件必须与网上递交的电子文件一致</w:t>
            </w:r>
            <w:r>
              <w:rPr>
                <w:rFonts w:hint="eastAsia" w:ascii="宋体" w:hAnsi="宋体" w:eastAsia="宋体" w:cs="宋体"/>
                <w:color w:val="auto"/>
                <w:sz w:val="24"/>
                <w:szCs w:val="24"/>
              </w:rPr>
              <w:t>。</w:t>
            </w:r>
          </w:p>
        </w:tc>
      </w:tr>
      <w:tr w14:paraId="4343A112">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69FA9D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4.1.2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D0FC75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val="en-US" w:eastAsia="zh-CN"/>
              </w:rPr>
            </w:pPr>
            <w:r>
              <w:rPr>
                <w:rFonts w:hint="eastAsia" w:eastAsia="宋体"/>
                <w:color w:val="auto"/>
                <w:sz w:val="24"/>
                <w:szCs w:val="24"/>
                <w:lang w:val="en-US" w:eastAsia="zh-CN"/>
              </w:rPr>
              <w:t>投标文件</w:t>
            </w:r>
            <w:r>
              <w:rPr>
                <w:rFonts w:hint="eastAsia"/>
                <w:color w:val="auto"/>
                <w:sz w:val="24"/>
                <w:szCs w:val="24"/>
                <w:lang w:val="en-US" w:eastAsia="zh-CN"/>
              </w:rPr>
              <w:t>递交</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AA31A8D">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rFonts w:hint="eastAsia" w:ascii="宋体" w:hAnsi="宋体" w:eastAsia="宋体" w:cs="宋体"/>
                <w:color w:val="auto"/>
                <w:kern w:val="0"/>
                <w:sz w:val="24"/>
                <w:szCs w:val="24"/>
              </w:rPr>
              <w:t>投标人应在投标截止时间前通过</w:t>
            </w:r>
            <w:r>
              <w:rPr>
                <w:rFonts w:hint="eastAsia" w:ascii="宋体" w:hAnsi="宋体" w:eastAsia="宋体" w:cs="宋体"/>
                <w:color w:val="auto"/>
                <w:kern w:val="0"/>
                <w:sz w:val="24"/>
                <w:szCs w:val="24"/>
                <w:u w:val="single"/>
              </w:rPr>
              <w:t>河北省公共资源交易服务平台-辛集市公共资源电子交易系统（http://120.211.111.200:88/XJTPBidderF9/memberframe/FrameAll）</w:t>
            </w:r>
            <w:r>
              <w:rPr>
                <w:rFonts w:hint="eastAsia" w:ascii="宋体" w:hAnsi="宋体" w:eastAsia="宋体" w:cs="宋体"/>
                <w:color w:val="auto"/>
                <w:kern w:val="0"/>
                <w:sz w:val="24"/>
                <w:szCs w:val="24"/>
              </w:rPr>
              <w:t>递交电子投标文件</w:t>
            </w:r>
            <w:r>
              <w:rPr>
                <w:rFonts w:hint="eastAsia" w:ascii="方正黑体_GBK" w:hAnsi="方正黑体_GBK" w:eastAsia="方正黑体_GBK" w:cs="方正黑体_GBK"/>
                <w:color w:val="auto"/>
                <w:kern w:val="0"/>
                <w:sz w:val="24"/>
                <w:szCs w:val="24"/>
              </w:rPr>
              <w:t>。</w:t>
            </w:r>
          </w:p>
        </w:tc>
      </w:tr>
      <w:tr w14:paraId="579414C5">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7A4A48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4.1.3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970C8D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投标文件退还</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C403CF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highlight w:val="none"/>
                <w:lang w:val="en-US" w:eastAsia="zh-CN"/>
              </w:rPr>
            </w:pPr>
            <w:r>
              <w:rPr>
                <w:rFonts w:hint="eastAsia"/>
                <w:color w:val="auto"/>
                <w:sz w:val="24"/>
                <w:szCs w:val="24"/>
                <w:lang w:val="en-US" w:eastAsia="zh-CN"/>
              </w:rPr>
              <w:t>☑</w:t>
            </w:r>
            <w:r>
              <w:rPr>
                <w:rFonts w:hint="eastAsia"/>
                <w:color w:val="auto"/>
                <w:sz w:val="24"/>
                <w:szCs w:val="24"/>
                <w:highlight w:val="none"/>
                <w:lang w:val="en-US" w:eastAsia="zh-CN"/>
              </w:rPr>
              <w:t>不退还</w:t>
            </w:r>
          </w:p>
          <w:p w14:paraId="097170E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□退还。投标截止时间止，存在以下情形之一的，投标文件退还：</w:t>
            </w:r>
          </w:p>
          <w:p w14:paraId="059B8A68">
            <w:pPr>
              <w:keepNext w:val="0"/>
              <w:keepLines w:val="0"/>
              <w:pageBreakBefore w:val="0"/>
              <w:widowControl w:val="0"/>
              <w:numPr>
                <w:ilvl w:val="0"/>
                <w:numId w:val="0"/>
              </w:numPr>
              <w:kinsoku/>
              <w:wordWrap w:val="0"/>
              <w:overflowPunct/>
              <w:bidi w:val="0"/>
              <w:adjustRightInd/>
              <w:snapToGrid/>
              <w:spacing w:line="400" w:lineRule="exact"/>
              <w:ind w:leftChars="0" w:right="0" w:rightChars="0" w:firstLine="960" w:firstLineChars="400"/>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1.递交投标文件的投标人少于3个，不予开标的；</w:t>
            </w:r>
          </w:p>
          <w:p w14:paraId="76B99FB4">
            <w:pPr>
              <w:keepNext w:val="0"/>
              <w:keepLines w:val="0"/>
              <w:pageBreakBefore w:val="0"/>
              <w:widowControl w:val="0"/>
              <w:numPr>
                <w:ilvl w:val="0"/>
                <w:numId w:val="0"/>
              </w:numPr>
              <w:kinsoku/>
              <w:wordWrap w:val="0"/>
              <w:overflowPunct/>
              <w:bidi w:val="0"/>
              <w:adjustRightInd/>
              <w:snapToGrid/>
              <w:spacing w:line="400" w:lineRule="exact"/>
              <w:ind w:leftChars="0" w:right="0" w:rightChars="0" w:firstLine="960" w:firstLineChars="400"/>
              <w:textAlignment w:val="auto"/>
              <w:outlineLvl w:val="9"/>
              <w:rPr>
                <w:rFonts w:hint="eastAsia"/>
                <w:color w:val="auto"/>
                <w:sz w:val="24"/>
                <w:szCs w:val="24"/>
                <w:highlight w:val="lightGray"/>
                <w:lang w:val="en-US" w:eastAsia="zh-CN"/>
              </w:rPr>
            </w:pPr>
            <w:r>
              <w:rPr>
                <w:rFonts w:hint="eastAsia"/>
                <w:color w:val="auto"/>
                <w:sz w:val="24"/>
                <w:szCs w:val="24"/>
                <w:highlight w:val="none"/>
                <w:lang w:val="en-US" w:eastAsia="zh-CN"/>
              </w:rPr>
              <w:t>2.其他：</w:t>
            </w:r>
            <w:r>
              <w:rPr>
                <w:rFonts w:hint="eastAsia"/>
                <w:color w:val="auto"/>
                <w:sz w:val="24"/>
                <w:szCs w:val="24"/>
                <w:highlight w:val="none"/>
                <w:u w:val="single"/>
                <w:lang w:val="en-US" w:eastAsia="zh-CN"/>
              </w:rPr>
              <w:t xml:space="preserve"> / </w:t>
            </w:r>
            <w:r>
              <w:rPr>
                <w:rFonts w:hint="eastAsia"/>
                <w:color w:val="auto"/>
                <w:sz w:val="24"/>
                <w:szCs w:val="24"/>
                <w:highlight w:val="none"/>
                <w:lang w:val="en-US" w:eastAsia="zh-CN"/>
              </w:rPr>
              <w:t>。</w:t>
            </w:r>
          </w:p>
        </w:tc>
      </w:tr>
      <w:tr w14:paraId="6D6C8B6F">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B286A5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lang w:val="en-US" w:eastAsia="zh-CN"/>
              </w:rPr>
            </w:pPr>
            <w:r>
              <w:rPr>
                <w:rFonts w:hint="eastAsia"/>
                <w:color w:val="auto"/>
                <w:sz w:val="24"/>
                <w:szCs w:val="24"/>
                <w:lang w:val="en-US" w:eastAsia="zh-CN"/>
              </w:rPr>
              <w:t>4.1.5</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E8E9FA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val="en-US" w:eastAsia="zh-CN"/>
              </w:rPr>
            </w:pPr>
            <w:r>
              <w:rPr>
                <w:rFonts w:hint="eastAsia" w:eastAsia="宋体"/>
                <w:color w:val="auto"/>
                <w:sz w:val="24"/>
                <w:szCs w:val="24"/>
                <w:lang w:val="en-US" w:eastAsia="zh-CN"/>
              </w:rPr>
              <w:t>投标文件拒收</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315E77A">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lang w:val="en-US" w:eastAsia="zh-CN"/>
              </w:rPr>
            </w:pPr>
            <w:r>
              <w:rPr>
                <w:rFonts w:hint="eastAsia"/>
                <w:color w:val="auto"/>
                <w:sz w:val="24"/>
                <w:szCs w:val="24"/>
                <w:lang w:val="en-US" w:eastAsia="zh-CN"/>
              </w:rPr>
              <w:t>1.未按规定加密的投标文件。</w:t>
            </w:r>
          </w:p>
          <w:p w14:paraId="7E208A91">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lang w:val="en-US" w:eastAsia="zh-CN"/>
              </w:rPr>
            </w:pPr>
            <w:r>
              <w:rPr>
                <w:rFonts w:hint="eastAsia"/>
                <w:color w:val="auto"/>
                <w:sz w:val="24"/>
                <w:szCs w:val="24"/>
                <w:lang w:val="en-US" w:eastAsia="zh-CN"/>
              </w:rPr>
              <w:t>2.未在投标截止时间前完成传输递交的投标文件。</w:t>
            </w:r>
          </w:p>
          <w:p w14:paraId="6496EBD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lang w:val="en-US" w:eastAsia="zh-CN"/>
              </w:rPr>
            </w:pPr>
            <w:r>
              <w:rPr>
                <w:rFonts w:hint="eastAsia"/>
                <w:color w:val="auto"/>
                <w:sz w:val="24"/>
                <w:szCs w:val="24"/>
                <w:lang w:val="en-US" w:eastAsia="zh-CN"/>
              </w:rPr>
              <w:t>3.其他：</w:t>
            </w:r>
            <w:r>
              <w:rPr>
                <w:rFonts w:hint="eastAsia" w:ascii="宋体" w:hAnsi="宋体" w:cs="宋体"/>
                <w:color w:val="auto"/>
                <w:sz w:val="24"/>
                <w:szCs w:val="24"/>
                <w:highlight w:val="none"/>
                <w:u w:val="single"/>
                <w:lang w:val="en-US" w:eastAsia="zh-CN"/>
              </w:rPr>
              <w:t>未按规定时间完成解密的投标文件</w:t>
            </w:r>
            <w:r>
              <w:rPr>
                <w:rFonts w:hint="eastAsia"/>
                <w:color w:val="auto"/>
                <w:sz w:val="24"/>
                <w:szCs w:val="24"/>
                <w:lang w:val="en-US" w:eastAsia="zh-CN"/>
              </w:rPr>
              <w:t>。</w:t>
            </w:r>
          </w:p>
        </w:tc>
      </w:tr>
      <w:tr w14:paraId="348D7623">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F14CEE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5.1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8AC570C">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开标时间、开标地点、参加开标会议的要求</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729007E">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1.开标时间：同投标截止时间。</w:t>
            </w:r>
          </w:p>
          <w:p w14:paraId="73AB561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2.开标地点：</w:t>
            </w:r>
            <w:r>
              <w:rPr>
                <w:rFonts w:hint="eastAsia"/>
                <w:color w:val="auto"/>
                <w:sz w:val="24"/>
                <w:szCs w:val="24"/>
                <w:u w:val="single"/>
                <w:lang w:val="en-US" w:eastAsia="zh-CN"/>
              </w:rPr>
              <w:t>辛集市公共资源交易中心开标室</w:t>
            </w:r>
            <w:r>
              <w:rPr>
                <w:color w:val="auto"/>
                <w:sz w:val="24"/>
                <w:szCs w:val="24"/>
              </w:rPr>
              <w:t>。</w:t>
            </w:r>
          </w:p>
          <w:p w14:paraId="1BB2F61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i/>
                <w:iCs/>
                <w:color w:val="auto"/>
                <w:sz w:val="24"/>
                <w:szCs w:val="24"/>
                <w:u w:val="single"/>
                <w:lang w:eastAsia="zh-CN"/>
              </w:rPr>
            </w:pPr>
            <w:r>
              <w:rPr>
                <w:color w:val="auto"/>
                <w:sz w:val="24"/>
                <w:szCs w:val="24"/>
              </w:rPr>
              <w:t>3.开标平台：</w:t>
            </w:r>
            <w:r>
              <w:rPr>
                <w:rFonts w:hint="eastAsia" w:ascii="宋体" w:hAnsi="宋体" w:eastAsia="宋体" w:cs="宋体"/>
                <w:color w:val="auto"/>
                <w:kern w:val="0"/>
                <w:sz w:val="24"/>
                <w:szCs w:val="24"/>
                <w:u w:val="single"/>
              </w:rPr>
              <w:t>河北省公共资源交易服务平台-辛集市公共资源电子交易系统（http://120.211.111.200:88/XJTPBidderF9/memberframe/FrameAll）</w:t>
            </w:r>
          </w:p>
          <w:p w14:paraId="4CCBFE3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4.其他：</w:t>
            </w:r>
            <w:r>
              <w:rPr>
                <w:rFonts w:hint="eastAsia"/>
                <w:color w:val="auto"/>
                <w:sz w:val="24"/>
                <w:szCs w:val="24"/>
                <w:u w:val="single"/>
              </w:rPr>
              <w:t>开标当日，投标人不必抵达开标现场，登录河北省公共资源交易服务平台-辛集市公共资源电子交易系统，通过辛集市公共资源交易中心不见面开标大厅系统参加开标会议，并使用编制投标文件时所使用的CA数字证书对加密电子投标文件进行解密，如采用新点标证通扫码加密生成的投标文件则需通过新点标证通进行扫码解密</w:t>
            </w:r>
            <w:r>
              <w:rPr>
                <w:color w:val="auto"/>
                <w:sz w:val="24"/>
                <w:szCs w:val="24"/>
              </w:rPr>
              <w:t>。</w:t>
            </w:r>
          </w:p>
        </w:tc>
      </w:tr>
      <w:tr w14:paraId="49CDB6C1">
        <w:tblPrEx>
          <w:tblCellMar>
            <w:top w:w="0" w:type="dxa"/>
            <w:left w:w="108" w:type="dxa"/>
            <w:bottom w:w="0" w:type="dxa"/>
            <w:right w:w="108" w:type="dxa"/>
          </w:tblCellMar>
        </w:tblPrEx>
        <w:trPr>
          <w:trHeight w:val="222"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28EB2A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5.2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D8C7DEC">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rFonts w:hint="eastAsia"/>
                <w:color w:val="auto"/>
                <w:sz w:val="24"/>
                <w:szCs w:val="24"/>
                <w:lang w:eastAsia="zh-CN"/>
              </w:rPr>
              <w:t>开标程序</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F72021C">
            <w:pPr>
              <w:keepNext w:val="0"/>
              <w:keepLines w:val="0"/>
              <w:pageBreakBefore w:val="0"/>
              <w:widowControl w:val="0"/>
              <w:kinsoku/>
              <w:wordWrap w:val="0"/>
              <w:overflowPunct/>
              <w:bidi w:val="0"/>
              <w:adjustRightInd/>
              <w:snapToGrid/>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投标截止；</w:t>
            </w:r>
          </w:p>
          <w:p w14:paraId="6157E8A1">
            <w:pPr>
              <w:keepNext w:val="0"/>
              <w:keepLines w:val="0"/>
              <w:pageBreakBefore w:val="0"/>
              <w:widowControl w:val="0"/>
              <w:kinsoku/>
              <w:wordWrap w:val="0"/>
              <w:overflowPunct/>
              <w:bidi w:val="0"/>
              <w:adjustRightInd/>
              <w:snapToGrid/>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公布在投标截止时间前递交投标文件的投标人名称；</w:t>
            </w:r>
          </w:p>
          <w:p w14:paraId="007D2CF8">
            <w:pPr>
              <w:keepNext w:val="0"/>
              <w:keepLines w:val="0"/>
              <w:pageBreakBefore w:val="0"/>
              <w:widowControl w:val="0"/>
              <w:kinsoku/>
              <w:wordWrap w:val="0"/>
              <w:overflowPunct/>
              <w:bidi w:val="0"/>
              <w:adjustRightInd/>
              <w:snapToGrid/>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投标人通过电子招标投标交易平台对已递交的电子投标文件</w:t>
            </w:r>
            <w:r>
              <w:rPr>
                <w:rFonts w:hint="eastAsia" w:ascii="宋体" w:hAnsi="宋体" w:cs="宋体"/>
                <w:color w:val="auto"/>
                <w:sz w:val="24"/>
                <w:szCs w:val="24"/>
                <w:lang w:eastAsia="zh-CN"/>
              </w:rPr>
              <w:t>按时在线</w:t>
            </w:r>
            <w:r>
              <w:rPr>
                <w:rFonts w:hint="eastAsia" w:ascii="宋体" w:hAnsi="宋体" w:eastAsia="宋体" w:cs="宋体"/>
                <w:color w:val="auto"/>
                <w:sz w:val="24"/>
                <w:szCs w:val="24"/>
              </w:rPr>
              <w:t>解密；</w:t>
            </w:r>
          </w:p>
          <w:p w14:paraId="68E3DC83">
            <w:pPr>
              <w:keepNext w:val="0"/>
              <w:keepLines w:val="0"/>
              <w:pageBreakBefore w:val="0"/>
              <w:widowControl w:val="0"/>
              <w:kinsoku/>
              <w:wordWrap w:val="0"/>
              <w:overflowPunct/>
              <w:bidi w:val="0"/>
              <w:adjustRightInd/>
              <w:snapToGrid/>
              <w:spacing w:line="4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公布开标记录</w:t>
            </w:r>
            <w:r>
              <w:rPr>
                <w:rFonts w:hint="eastAsia" w:ascii="宋体" w:hAnsi="宋体" w:eastAsia="宋体" w:cs="宋体"/>
                <w:color w:val="auto"/>
                <w:sz w:val="24"/>
                <w:szCs w:val="24"/>
                <w:lang w:val="en-US" w:eastAsia="zh-CN"/>
              </w:rPr>
              <w:t>;</w:t>
            </w:r>
          </w:p>
          <w:p w14:paraId="6431EB30">
            <w:pPr>
              <w:keepNext w:val="0"/>
              <w:keepLines w:val="0"/>
              <w:pageBreakBefore w:val="0"/>
              <w:widowControl w:val="0"/>
              <w:kinsoku/>
              <w:wordWrap w:val="0"/>
              <w:overflowPunct/>
              <w:bidi w:val="0"/>
              <w:adjustRightInd/>
              <w:snapToGrid/>
              <w:spacing w:line="400" w:lineRule="exact"/>
              <w:ind w:left="0" w:leftChars="0" w:firstLine="0" w:firstLineChars="0"/>
              <w:textAlignment w:val="auto"/>
              <w:rPr>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开标结束。</w:t>
            </w:r>
          </w:p>
        </w:tc>
      </w:tr>
      <w:tr w14:paraId="5F1CCC38">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74A8E8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6.1.1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041C3C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评标委员会的组建</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A0CDC0E">
            <w:pPr>
              <w:keepNext w:val="0"/>
              <w:keepLines w:val="0"/>
              <w:pageBreakBefore w:val="0"/>
              <w:widowControl w:val="0"/>
              <w:kinsoku/>
              <w:wordWrap w:val="0"/>
              <w:overflowPunct/>
              <w:bidi w:val="0"/>
              <w:adjustRightInd/>
              <w:snapToGrid/>
              <w:spacing w:line="400" w:lineRule="exact"/>
              <w:ind w:left="0" w:leftChars="0" w:right="0" w:rightChars="0" w:firstLine="480" w:firstLineChars="200"/>
              <w:textAlignment w:val="auto"/>
              <w:outlineLvl w:val="9"/>
              <w:rPr>
                <w:rFonts w:hint="eastAsia"/>
                <w:color w:val="auto"/>
                <w:sz w:val="24"/>
                <w:szCs w:val="24"/>
                <w:lang w:eastAsia="zh-CN"/>
              </w:rPr>
            </w:pPr>
            <w:r>
              <w:rPr>
                <w:rFonts w:hint="eastAsia"/>
                <w:color w:val="auto"/>
                <w:sz w:val="24"/>
                <w:szCs w:val="24"/>
              </w:rPr>
              <w:t>评标委员会构成：</w:t>
            </w:r>
            <w:r>
              <w:rPr>
                <w:rFonts w:hint="eastAsia"/>
                <w:color w:val="auto"/>
                <w:sz w:val="24"/>
                <w:szCs w:val="24"/>
                <w:u w:val="single"/>
                <w:lang w:val="en-US" w:eastAsia="zh-CN"/>
              </w:rPr>
              <w:t>7</w:t>
            </w:r>
            <w:r>
              <w:rPr>
                <w:rFonts w:hint="eastAsia"/>
                <w:color w:val="auto"/>
                <w:sz w:val="24"/>
                <w:szCs w:val="24"/>
              </w:rPr>
              <w:t>人，其中招标人代表</w:t>
            </w:r>
            <w:r>
              <w:rPr>
                <w:rFonts w:hint="eastAsia"/>
                <w:color w:val="auto"/>
                <w:sz w:val="24"/>
                <w:szCs w:val="24"/>
                <w:u w:val="single"/>
                <w:lang w:val="en-US" w:eastAsia="zh-CN"/>
              </w:rPr>
              <w:t>1</w:t>
            </w:r>
            <w:r>
              <w:rPr>
                <w:rFonts w:hint="eastAsia"/>
                <w:color w:val="auto"/>
                <w:sz w:val="24"/>
                <w:szCs w:val="24"/>
              </w:rPr>
              <w:t>人</w:t>
            </w:r>
            <w:r>
              <w:rPr>
                <w:rFonts w:hint="eastAsia"/>
                <w:i/>
                <w:iCs/>
                <w:color w:val="auto"/>
                <w:sz w:val="24"/>
                <w:szCs w:val="24"/>
              </w:rPr>
              <w:t>（</w:t>
            </w:r>
            <w:r>
              <w:rPr>
                <w:rFonts w:hint="eastAsia"/>
                <w:i w:val="0"/>
                <w:iCs w:val="0"/>
                <w:color w:val="auto"/>
                <w:sz w:val="24"/>
                <w:szCs w:val="24"/>
              </w:rPr>
              <w:t>必须是招标项目单位的人员，招标人代表不再做职称、专业、工作年限等条件要求，持有单位授权委托书即可以参与评标</w:t>
            </w:r>
            <w:r>
              <w:rPr>
                <w:rFonts w:hint="eastAsia"/>
                <w:i/>
                <w:iCs/>
                <w:color w:val="auto"/>
                <w:sz w:val="24"/>
                <w:szCs w:val="24"/>
              </w:rPr>
              <w:t>）</w:t>
            </w:r>
            <w:r>
              <w:rPr>
                <w:rFonts w:hint="eastAsia"/>
                <w:color w:val="auto"/>
                <w:sz w:val="24"/>
                <w:szCs w:val="24"/>
              </w:rPr>
              <w:t>，</w:t>
            </w:r>
            <w:r>
              <w:rPr>
                <w:rFonts w:hint="eastAsia"/>
                <w:color w:val="auto"/>
                <w:sz w:val="24"/>
                <w:szCs w:val="24"/>
                <w:lang w:eastAsia="zh-CN"/>
              </w:rPr>
              <w:t>经济、技术</w:t>
            </w:r>
            <w:r>
              <w:rPr>
                <w:rFonts w:hint="eastAsia"/>
                <w:color w:val="auto"/>
                <w:sz w:val="24"/>
                <w:szCs w:val="24"/>
              </w:rPr>
              <w:t>专家</w:t>
            </w:r>
            <w:r>
              <w:rPr>
                <w:rFonts w:hint="eastAsia"/>
                <w:color w:val="auto"/>
                <w:sz w:val="24"/>
                <w:szCs w:val="24"/>
                <w:u w:val="single"/>
                <w:lang w:val="en-US" w:eastAsia="zh-CN"/>
              </w:rPr>
              <w:t>6</w:t>
            </w:r>
            <w:r>
              <w:rPr>
                <w:rFonts w:hint="eastAsia"/>
                <w:color w:val="auto"/>
                <w:sz w:val="24"/>
                <w:szCs w:val="24"/>
              </w:rPr>
              <w:t>人</w:t>
            </w:r>
            <w:r>
              <w:rPr>
                <w:rFonts w:hint="eastAsia"/>
                <w:color w:val="auto"/>
                <w:sz w:val="24"/>
                <w:szCs w:val="24"/>
                <w:lang w:eastAsia="zh-CN"/>
              </w:rPr>
              <w:t>。</w:t>
            </w:r>
            <w:r>
              <w:rPr>
                <w:rFonts w:hint="eastAsia"/>
                <w:i w:val="0"/>
                <w:iCs w:val="0"/>
                <w:color w:val="auto"/>
                <w:sz w:val="24"/>
                <w:szCs w:val="24"/>
                <w:lang w:eastAsia="zh-CN"/>
              </w:rPr>
              <w:t>（经济、技术专家不得少于评标委员会成员总数的2/3）。</w:t>
            </w:r>
          </w:p>
          <w:p w14:paraId="1E7BA79E">
            <w:pPr>
              <w:keepNext w:val="0"/>
              <w:keepLines w:val="0"/>
              <w:pageBreakBefore w:val="0"/>
              <w:widowControl w:val="0"/>
              <w:kinsoku/>
              <w:wordWrap w:val="0"/>
              <w:overflowPunct/>
              <w:bidi w:val="0"/>
              <w:adjustRightInd/>
              <w:snapToGrid/>
              <w:spacing w:line="400" w:lineRule="exact"/>
              <w:ind w:left="0" w:leftChars="0" w:right="0" w:rightChars="0" w:firstLine="480" w:firstLineChars="200"/>
              <w:textAlignment w:val="auto"/>
              <w:outlineLvl w:val="9"/>
              <w:rPr>
                <w:rFonts w:hint="eastAsia" w:eastAsia="宋体"/>
                <w:color w:val="auto"/>
                <w:sz w:val="24"/>
                <w:szCs w:val="24"/>
                <w:lang w:eastAsia="zh-CN"/>
              </w:rPr>
            </w:pPr>
            <w:r>
              <w:rPr>
                <w:rFonts w:hint="eastAsia"/>
                <w:color w:val="auto"/>
                <w:sz w:val="24"/>
                <w:szCs w:val="24"/>
                <w:lang w:eastAsia="zh-CN"/>
              </w:rPr>
              <w:t>经济、技术专家确定方式：</w:t>
            </w:r>
            <w:r>
              <w:rPr>
                <w:rFonts w:hint="eastAsia" w:cs="Times New Roman"/>
                <w:b w:val="0"/>
                <w:bCs w:val="0"/>
                <w:color w:val="auto"/>
                <w:sz w:val="24"/>
                <w:szCs w:val="24"/>
                <w:highlight w:val="none"/>
                <w:lang w:eastAsia="zh-CN"/>
              </w:rPr>
              <w:t>☑</w:t>
            </w:r>
            <w:r>
              <w:rPr>
                <w:rFonts w:hint="eastAsia"/>
                <w:color w:val="auto"/>
                <w:sz w:val="24"/>
                <w:szCs w:val="24"/>
                <w:lang w:eastAsia="zh-CN"/>
              </w:rPr>
              <w:t>由招标人从省统一评标专家库随机抽取。</w:t>
            </w:r>
            <w:r>
              <w:rPr>
                <w:rFonts w:hint="eastAsia" w:cs="Times New Roman"/>
                <w:b w:val="0"/>
                <w:bCs w:val="0"/>
                <w:color w:val="auto"/>
                <w:sz w:val="24"/>
                <w:szCs w:val="24"/>
                <w:highlight w:val="none"/>
                <w:lang w:eastAsia="zh-CN"/>
              </w:rPr>
              <w:t>□</w:t>
            </w:r>
            <w:r>
              <w:rPr>
                <w:rFonts w:hint="eastAsia"/>
                <w:color w:val="auto"/>
                <w:sz w:val="24"/>
                <w:szCs w:val="24"/>
                <w:lang w:eastAsia="zh-CN"/>
              </w:rPr>
              <w:t>技术复杂、专业性强或者国家有特殊要求的招标项目，采取随机抽取方式确定的专家难以保证胜任的，由招标人直接</w:t>
            </w:r>
            <w:r>
              <w:rPr>
                <w:rFonts w:hint="eastAsia"/>
                <w:color w:val="auto"/>
                <w:sz w:val="24"/>
                <w:szCs w:val="24"/>
                <w:lang w:val="en-US" w:eastAsia="zh-CN"/>
              </w:rPr>
              <w:t>确定</w:t>
            </w:r>
            <w:r>
              <w:rPr>
                <w:rFonts w:hint="eastAsia"/>
                <w:color w:val="auto"/>
                <w:sz w:val="24"/>
                <w:szCs w:val="24"/>
                <w:lang w:eastAsia="zh-CN"/>
              </w:rPr>
              <w:t>。</w:t>
            </w:r>
          </w:p>
        </w:tc>
      </w:tr>
      <w:tr w14:paraId="35D40810">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D918DE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6.3.1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5B4E46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highlight w:val="none"/>
              </w:rPr>
            </w:pPr>
            <w:r>
              <w:rPr>
                <w:color w:val="auto"/>
                <w:sz w:val="24"/>
                <w:szCs w:val="24"/>
                <w:highlight w:val="none"/>
              </w:rPr>
              <w:t>评标方法</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AD561D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olor w:val="auto"/>
                <w:sz w:val="24"/>
                <w:szCs w:val="24"/>
                <w:highlight w:val="none"/>
              </w:rPr>
            </w:pPr>
            <w:r>
              <w:rPr>
                <w:rFonts w:hint="eastAsia" w:cs="Times New Roman"/>
                <w:b w:val="0"/>
                <w:bCs w:val="0"/>
                <w:color w:val="auto"/>
                <w:sz w:val="24"/>
                <w:szCs w:val="24"/>
                <w:highlight w:val="none"/>
                <w:lang w:eastAsia="zh-CN"/>
              </w:rPr>
              <w:t>☑</w:t>
            </w:r>
            <w:r>
              <w:rPr>
                <w:rFonts w:hint="eastAsia"/>
                <w:color w:val="auto"/>
                <w:sz w:val="24"/>
                <w:szCs w:val="24"/>
                <w:highlight w:val="none"/>
              </w:rPr>
              <w:t>综合评估法</w:t>
            </w:r>
          </w:p>
          <w:p w14:paraId="26A4E18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olor w:val="auto"/>
                <w:sz w:val="24"/>
                <w:szCs w:val="24"/>
                <w:highlight w:val="none"/>
              </w:rPr>
            </w:pP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rPr>
              <w:t>经评审的最低投标价法</w:t>
            </w:r>
          </w:p>
        </w:tc>
      </w:tr>
      <w:tr w14:paraId="21DE055F">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310D57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6.3.2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1E4767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评标委员会推荐中标候选人</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97B1594">
            <w:pPr>
              <w:pStyle w:val="77"/>
              <w:keepNext w:val="0"/>
              <w:keepLines w:val="0"/>
              <w:pageBreakBefore w:val="0"/>
              <w:wordWrap/>
              <w:overflowPunct w:val="0"/>
              <w:topLinePunct w:val="0"/>
              <w:bidi w:val="0"/>
              <w:snapToGrid/>
              <w:spacing w:line="340" w:lineRule="exact"/>
              <w:ind w:left="0" w:leftChars="0" w:firstLine="0" w:firstLineChars="0"/>
              <w:textAlignment w:val="auto"/>
              <w:rPr>
                <w:rFonts w:hint="eastAsia" w:ascii="宋体" w:hAnsi="宋体" w:eastAsia="宋体" w:cs="宋体"/>
                <w:color w:val="auto"/>
                <w:sz w:val="24"/>
                <w:szCs w:val="24"/>
                <w:lang w:bidi="ar"/>
              </w:rPr>
            </w:pPr>
            <w:r>
              <w:rPr>
                <w:rFonts w:hint="eastAsia" w:cs="Times New Roman"/>
                <w:b w:val="0"/>
                <w:bCs w:val="0"/>
                <w:color w:val="auto"/>
                <w:sz w:val="24"/>
                <w:szCs w:val="24"/>
                <w:highlight w:val="none"/>
                <w:lang w:eastAsia="zh-CN"/>
              </w:rPr>
              <w:t>☑</w:t>
            </w:r>
            <w:r>
              <w:rPr>
                <w:rFonts w:hint="eastAsia" w:ascii="宋体" w:hAnsi="宋体" w:eastAsia="宋体" w:cs="宋体"/>
                <w:color w:val="auto"/>
                <w:sz w:val="24"/>
                <w:szCs w:val="24"/>
                <w:lang w:bidi="ar"/>
              </w:rPr>
              <w:t>推荐</w:t>
            </w:r>
            <w:r>
              <w:rPr>
                <w:rFonts w:hint="eastAsia" w:hAnsi="宋体" w:cs="宋体"/>
                <w:color w:val="auto"/>
                <w:sz w:val="24"/>
                <w:szCs w:val="24"/>
                <w:u w:val="single"/>
                <w:lang w:val="en-US" w:eastAsia="zh-CN" w:bidi="ar"/>
              </w:rPr>
              <w:t>3</w:t>
            </w:r>
            <w:r>
              <w:rPr>
                <w:rFonts w:hint="eastAsia" w:ascii="宋体" w:hAnsi="宋体" w:eastAsia="宋体" w:cs="宋体"/>
                <w:color w:val="auto"/>
                <w:sz w:val="24"/>
                <w:szCs w:val="24"/>
                <w:lang w:bidi="ar"/>
              </w:rPr>
              <w:t>名中标候选人</w:t>
            </w:r>
            <w:r>
              <w:rPr>
                <w:rFonts w:hint="eastAsia" w:ascii="宋体" w:hAnsi="宋体" w:eastAsia="宋体" w:cs="宋体"/>
                <w:color w:val="auto"/>
                <w:sz w:val="24"/>
                <w:szCs w:val="24"/>
                <w:lang w:val="en-US" w:eastAsia="zh-CN"/>
              </w:rPr>
              <w:t>并排序。</w:t>
            </w:r>
          </w:p>
          <w:p w14:paraId="482A706E">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s="Times New Roman"/>
                <w:b w:val="0"/>
                <w:bCs w:val="0"/>
                <w:color w:val="auto"/>
                <w:sz w:val="24"/>
                <w:szCs w:val="24"/>
                <w:highlight w:val="none"/>
                <w:lang w:eastAsia="zh-CN"/>
              </w:rPr>
              <w:t>□</w:t>
            </w:r>
            <w:r>
              <w:rPr>
                <w:rFonts w:hint="eastAsia" w:ascii="宋体" w:hAnsi="宋体" w:eastAsia="宋体" w:cs="宋体"/>
                <w:color w:val="auto"/>
                <w:sz w:val="24"/>
                <w:szCs w:val="24"/>
                <w:lang w:eastAsia="zh-CN"/>
              </w:rPr>
              <w:t>以不排序方式向招标人</w:t>
            </w:r>
            <w:r>
              <w:rPr>
                <w:rFonts w:hint="eastAsia" w:ascii="宋体" w:hAnsi="宋体" w:eastAsia="宋体" w:cs="宋体"/>
                <w:color w:val="auto"/>
                <w:sz w:val="24"/>
                <w:szCs w:val="24"/>
                <w:lang w:bidi="ar"/>
              </w:rPr>
              <w:t>推荐</w:t>
            </w:r>
            <w:r>
              <w:rPr>
                <w:rFonts w:hint="eastAsia" w:ascii="宋体" w:hAnsi="宋体" w:eastAsia="宋体" w:cs="宋体"/>
                <w:color w:val="auto"/>
                <w:sz w:val="24"/>
                <w:szCs w:val="24"/>
                <w:u w:val="single"/>
                <w:lang w:val="en-US" w:eastAsia="zh-CN" w:bidi="ar"/>
              </w:rPr>
              <w:t xml:space="preserve"> </w:t>
            </w:r>
            <w:r>
              <w:rPr>
                <w:rFonts w:hint="eastAsia" w:ascii="宋体" w:hAnsi="宋体" w:cs="宋体"/>
                <w:color w:val="auto"/>
                <w:sz w:val="24"/>
                <w:szCs w:val="24"/>
                <w:u w:val="single"/>
                <w:lang w:val="en-US" w:eastAsia="zh-CN" w:bidi="ar"/>
              </w:rPr>
              <w:t>/</w:t>
            </w:r>
            <w:r>
              <w:rPr>
                <w:rFonts w:hint="eastAsia" w:ascii="宋体" w:hAnsi="宋体" w:eastAsia="宋体" w:cs="宋体"/>
                <w:color w:val="auto"/>
                <w:sz w:val="24"/>
                <w:szCs w:val="24"/>
                <w:u w:val="single"/>
                <w:lang w:val="en-US" w:eastAsia="zh-CN" w:bidi="ar"/>
              </w:rPr>
              <w:t xml:space="preserve"> </w:t>
            </w:r>
            <w:r>
              <w:rPr>
                <w:rFonts w:hint="eastAsia" w:ascii="宋体" w:hAnsi="宋体" w:eastAsia="宋体" w:cs="宋体"/>
                <w:color w:val="auto"/>
                <w:sz w:val="24"/>
                <w:szCs w:val="24"/>
                <w:lang w:eastAsia="zh-CN" w:bidi="ar"/>
              </w:rPr>
              <w:t>名</w:t>
            </w:r>
            <w:r>
              <w:rPr>
                <w:rFonts w:hint="eastAsia" w:ascii="宋体" w:hAnsi="宋体" w:eastAsia="宋体" w:cs="宋体"/>
                <w:color w:val="auto"/>
                <w:sz w:val="24"/>
                <w:szCs w:val="24"/>
                <w:lang w:bidi="ar"/>
              </w:rPr>
              <w:t>中标候选人。</w:t>
            </w:r>
          </w:p>
        </w:tc>
      </w:tr>
      <w:tr w14:paraId="1887F1B4">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922556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6.4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8C0AA2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ascii="Times New Roman" w:hAnsi="Times New Roman" w:eastAsia="宋体"/>
                <w:color w:val="auto"/>
                <w:kern w:val="2"/>
                <w:sz w:val="24"/>
                <w:szCs w:val="24"/>
                <w:lang w:val="en-US" w:eastAsia="zh-CN" w:bidi="ar-SA"/>
              </w:rPr>
            </w:pPr>
            <w:r>
              <w:rPr>
                <w:rFonts w:hint="eastAsia" w:cs="Times New Roman"/>
                <w:b w:val="0"/>
                <w:bCs w:val="0"/>
                <w:color w:val="auto"/>
                <w:sz w:val="24"/>
                <w:szCs w:val="24"/>
                <w:highlight w:val="none"/>
                <w:lang w:val="en-US" w:eastAsia="zh-CN"/>
              </w:rPr>
              <w:t>中标候选人公示媒介及期限</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2420801">
            <w:pPr>
              <w:keepNext w:val="0"/>
              <w:keepLines w:val="0"/>
              <w:pageBreakBefore w:val="0"/>
              <w:widowControl w:val="0"/>
              <w:kinsoku/>
              <w:wordWrap w:val="0"/>
              <w:overflowPunct/>
              <w:bidi w:val="0"/>
              <w:adjustRightInd/>
              <w:snapToGrid/>
              <w:spacing w:line="400" w:lineRule="exact"/>
              <w:ind w:left="0" w:leftChars="0" w:right="0" w:rightChars="0" w:firstLine="0" w:firstLineChars="0"/>
              <w:jc w:val="left"/>
              <w:textAlignment w:val="auto"/>
              <w:outlineLvl w:val="9"/>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公示媒介：</w:t>
            </w:r>
            <w:r>
              <w:rPr>
                <w:rFonts w:hint="eastAsia"/>
                <w:color w:val="auto"/>
                <w:kern w:val="0"/>
                <w:sz w:val="24"/>
                <w:szCs w:val="24"/>
                <w:u w:val="single"/>
              </w:rPr>
              <w:t>河北省招标投标公共服务平台、河北省公共资源交易服务平台</w:t>
            </w:r>
          </w:p>
          <w:p w14:paraId="5ACD76D1">
            <w:pPr>
              <w:keepNext w:val="0"/>
              <w:keepLines w:val="0"/>
              <w:pageBreakBefore w:val="0"/>
              <w:widowControl w:val="0"/>
              <w:kinsoku/>
              <w:wordWrap w:val="0"/>
              <w:overflowPunct/>
              <w:bidi w:val="0"/>
              <w:adjustRightInd/>
              <w:snapToGrid/>
              <w:spacing w:line="400" w:lineRule="exact"/>
              <w:ind w:left="0" w:leftChars="0" w:right="0" w:rightChars="0" w:firstLine="0" w:firstLineChars="0"/>
              <w:jc w:val="left"/>
              <w:textAlignment w:val="auto"/>
              <w:outlineLvl w:val="9"/>
              <w:rPr>
                <w:rFonts w:ascii="Times New Roman" w:hAnsi="Times New Roman" w:eastAsia="宋体"/>
                <w:color w:val="auto"/>
                <w:kern w:val="2"/>
                <w:sz w:val="24"/>
                <w:szCs w:val="24"/>
                <w:lang w:val="en-US" w:eastAsia="zh-CN" w:bidi="ar-SA"/>
              </w:rPr>
            </w:pPr>
            <w:r>
              <w:rPr>
                <w:rFonts w:hint="eastAsia" w:cs="Times New Roman"/>
                <w:b w:val="0"/>
                <w:bCs w:val="0"/>
                <w:color w:val="auto"/>
                <w:sz w:val="24"/>
                <w:szCs w:val="24"/>
                <w:highlight w:val="none"/>
                <w:lang w:val="en-US" w:eastAsia="zh-CN"/>
              </w:rPr>
              <w:t>公示期限：不少于3日。如遇国家法定休假日，应顺延至法定休假日后第一个工作日。</w:t>
            </w:r>
          </w:p>
        </w:tc>
      </w:tr>
      <w:tr w14:paraId="1AEAFEBD">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7FDA6B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lang w:val="en-US" w:eastAsia="zh-CN"/>
              </w:rPr>
            </w:pPr>
            <w:r>
              <w:rPr>
                <w:rFonts w:hint="eastAsia"/>
                <w:color w:val="auto"/>
                <w:sz w:val="24"/>
                <w:szCs w:val="24"/>
                <w:lang w:val="en-US" w:eastAsia="zh-CN"/>
              </w:rPr>
              <w:t>7.1.1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DD33D4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确定中标人</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E6C60B2">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cs="Times New Roman"/>
                <w:b w:val="0"/>
                <w:bCs w:val="0"/>
                <w:color w:val="auto"/>
                <w:sz w:val="24"/>
                <w:szCs w:val="24"/>
              </w:rPr>
            </w:pPr>
            <w:r>
              <w:rPr>
                <w:rFonts w:hint="eastAsia" w:cs="Times New Roman"/>
                <w:b w:val="0"/>
                <w:bCs w:val="0"/>
                <w:color w:val="auto"/>
                <w:sz w:val="24"/>
                <w:szCs w:val="24"/>
                <w:lang w:eastAsia="zh-CN"/>
              </w:rPr>
              <w:t>□</w:t>
            </w:r>
            <w:r>
              <w:rPr>
                <w:rFonts w:cs="Times New Roman"/>
                <w:b w:val="0"/>
                <w:bCs w:val="0"/>
                <w:color w:val="auto"/>
                <w:sz w:val="24"/>
                <w:szCs w:val="24"/>
              </w:rPr>
              <w:t>授权评标委员会确定中标人。</w:t>
            </w:r>
          </w:p>
          <w:p w14:paraId="1B281720">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cs="Times New Roman"/>
                <w:b w:val="0"/>
                <w:bCs w:val="0"/>
                <w:color w:val="auto"/>
                <w:sz w:val="24"/>
                <w:szCs w:val="24"/>
              </w:rPr>
            </w:pPr>
            <w:r>
              <w:rPr>
                <w:rFonts w:hint="eastAsia" w:cs="Times New Roman"/>
                <w:b w:val="0"/>
                <w:bCs w:val="0"/>
                <w:color w:val="auto"/>
                <w:sz w:val="24"/>
                <w:szCs w:val="24"/>
                <w:lang w:eastAsia="zh-CN"/>
              </w:rPr>
              <w:t>☑</w:t>
            </w:r>
            <w:r>
              <w:rPr>
                <w:rFonts w:cs="Times New Roman"/>
                <w:b w:val="0"/>
                <w:bCs w:val="0"/>
                <w:color w:val="auto"/>
                <w:sz w:val="24"/>
                <w:szCs w:val="24"/>
              </w:rPr>
              <w:t>根据评标委员会推荐，由招标人确定</w:t>
            </w:r>
            <w:r>
              <w:rPr>
                <w:rFonts w:hint="eastAsia" w:ascii="宋体" w:hAnsi="宋体" w:eastAsia="宋体" w:cs="宋体"/>
                <w:color w:val="auto"/>
                <w:sz w:val="24"/>
                <w:szCs w:val="24"/>
              </w:rPr>
              <w:t>排名第一的中标候选人为中标人</w:t>
            </w:r>
            <w:r>
              <w:rPr>
                <w:rFonts w:cs="Times New Roman"/>
                <w:b w:val="0"/>
                <w:bCs w:val="0"/>
                <w:color w:val="auto"/>
                <w:sz w:val="24"/>
                <w:szCs w:val="24"/>
              </w:rPr>
              <w:t>。</w:t>
            </w:r>
          </w:p>
          <w:p w14:paraId="09B8B9B1">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cs="Times New Roman"/>
                <w:b w:val="0"/>
                <w:bCs w:val="0"/>
                <w:color w:val="auto"/>
                <w:sz w:val="24"/>
                <w:szCs w:val="24"/>
              </w:rPr>
            </w:pPr>
            <w:r>
              <w:rPr>
                <w:rFonts w:hint="eastAsia" w:cs="Times New Roman"/>
                <w:b w:val="0"/>
                <w:bCs w:val="0"/>
                <w:color w:val="auto"/>
                <w:sz w:val="24"/>
                <w:szCs w:val="24"/>
                <w:lang w:eastAsia="zh-CN"/>
              </w:rPr>
              <w:t>□</w:t>
            </w:r>
            <w:r>
              <w:rPr>
                <w:rFonts w:cs="Times New Roman"/>
                <w:b w:val="0"/>
                <w:bCs w:val="0"/>
                <w:color w:val="auto"/>
                <w:sz w:val="24"/>
                <w:szCs w:val="24"/>
              </w:rPr>
              <w:t>其他：</w:t>
            </w:r>
            <w:r>
              <w:rPr>
                <w:rFonts w:cs="Times New Roman"/>
                <w:b w:val="0"/>
                <w:bCs w:val="0"/>
                <w:color w:val="auto"/>
                <w:sz w:val="24"/>
                <w:szCs w:val="24"/>
                <w:u w:val="single"/>
              </w:rPr>
              <w:t xml:space="preserve"> </w:t>
            </w:r>
            <w:r>
              <w:rPr>
                <w:rFonts w:hint="eastAsia" w:cs="Times New Roman"/>
                <w:b w:val="0"/>
                <w:bCs w:val="0"/>
                <w:color w:val="auto"/>
                <w:sz w:val="24"/>
                <w:szCs w:val="24"/>
                <w:u w:val="single"/>
                <w:lang w:val="en-US" w:eastAsia="zh-CN"/>
              </w:rPr>
              <w:t>/</w:t>
            </w:r>
            <w:r>
              <w:rPr>
                <w:rFonts w:cs="Times New Roman"/>
                <w:b w:val="0"/>
                <w:bCs w:val="0"/>
                <w:color w:val="auto"/>
                <w:sz w:val="24"/>
                <w:szCs w:val="24"/>
                <w:u w:val="single"/>
              </w:rPr>
              <w:t xml:space="preserve"> </w:t>
            </w:r>
            <w:r>
              <w:rPr>
                <w:rFonts w:cs="Times New Roman"/>
                <w:b w:val="0"/>
                <w:bCs w:val="0"/>
                <w:color w:val="auto"/>
                <w:sz w:val="24"/>
                <w:szCs w:val="24"/>
              </w:rPr>
              <w:t>。</w:t>
            </w:r>
          </w:p>
          <w:p w14:paraId="3A3E42D6">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招标人授权评标委员会确定中标人或</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根据评标委员会推荐确定</w:t>
            </w:r>
            <w:r>
              <w:rPr>
                <w:rFonts w:hint="eastAsia" w:ascii="宋体" w:hAnsi="宋体" w:cs="宋体"/>
                <w:color w:val="auto"/>
                <w:sz w:val="24"/>
                <w:szCs w:val="24"/>
                <w:lang w:eastAsia="zh-CN"/>
              </w:rPr>
              <w:t>中标人</w:t>
            </w:r>
            <w:r>
              <w:rPr>
                <w:rFonts w:hint="eastAsia" w:ascii="宋体" w:hAnsi="宋体" w:eastAsia="宋体" w:cs="宋体"/>
                <w:color w:val="auto"/>
                <w:sz w:val="24"/>
                <w:szCs w:val="24"/>
              </w:rPr>
              <w:t>的</w:t>
            </w:r>
            <w:r>
              <w:rPr>
                <w:rFonts w:hint="eastAsia" w:ascii="宋体" w:hAnsi="宋体" w:cs="宋体"/>
                <w:color w:val="auto"/>
                <w:sz w:val="24"/>
                <w:szCs w:val="24"/>
                <w:lang w:eastAsia="zh-CN"/>
              </w:rPr>
              <w:t>，</w:t>
            </w:r>
            <w:r>
              <w:rPr>
                <w:rFonts w:hint="eastAsia" w:ascii="宋体" w:hAnsi="宋体" w:eastAsia="宋体" w:cs="宋体"/>
                <w:color w:val="auto"/>
                <w:sz w:val="24"/>
                <w:szCs w:val="24"/>
              </w:rPr>
              <w:t>招标人</w:t>
            </w:r>
            <w:r>
              <w:rPr>
                <w:rFonts w:hint="eastAsia" w:ascii="宋体" w:hAnsi="宋体" w:cs="宋体"/>
                <w:color w:val="auto"/>
                <w:sz w:val="24"/>
                <w:szCs w:val="24"/>
                <w:lang w:eastAsia="zh-CN"/>
              </w:rPr>
              <w:t>将</w:t>
            </w:r>
            <w:r>
              <w:rPr>
                <w:rFonts w:hint="eastAsia" w:ascii="宋体" w:hAnsi="宋体" w:eastAsia="宋体" w:cs="宋体"/>
                <w:color w:val="auto"/>
                <w:sz w:val="24"/>
                <w:szCs w:val="24"/>
              </w:rPr>
              <w:t>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ascii="宋体" w:hAnsi="宋体" w:cs="宋体"/>
                <w:color w:val="auto"/>
                <w:sz w:val="24"/>
                <w:szCs w:val="24"/>
                <w:lang w:eastAsia="zh-CN"/>
              </w:rPr>
              <w:t>：</w:t>
            </w:r>
          </w:p>
          <w:p w14:paraId="5CA450A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hint="eastAsia"/>
                <w:color w:val="auto"/>
                <w:sz w:val="24"/>
                <w:szCs w:val="24"/>
                <w:lang w:eastAsia="zh-CN"/>
              </w:rPr>
            </w:pPr>
            <w:r>
              <w:rPr>
                <w:rFonts w:hint="eastAsia"/>
                <w:color w:val="auto"/>
                <w:sz w:val="24"/>
                <w:szCs w:val="24"/>
                <w:highlight w:val="none"/>
                <w:lang w:eastAsia="zh-CN"/>
              </w:rPr>
              <w:t>☑</w:t>
            </w:r>
            <w:r>
              <w:rPr>
                <w:color w:val="auto"/>
                <w:sz w:val="24"/>
                <w:szCs w:val="24"/>
              </w:rPr>
              <w:t>招标人按照评标委员会提出的中标候选人名单排序依次确定其他中标候选人为中标人</w:t>
            </w:r>
            <w:r>
              <w:rPr>
                <w:rFonts w:hint="eastAsia"/>
                <w:color w:val="auto"/>
                <w:sz w:val="24"/>
                <w:szCs w:val="24"/>
                <w:lang w:eastAsia="zh-CN"/>
              </w:rPr>
              <w:t>。</w:t>
            </w:r>
          </w:p>
          <w:p w14:paraId="6B221E8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cs="Times New Roman"/>
                <w:b w:val="0"/>
                <w:bCs w:val="0"/>
                <w:color w:val="auto"/>
                <w:sz w:val="24"/>
                <w:szCs w:val="24"/>
              </w:rPr>
            </w:pPr>
            <w:r>
              <w:rPr>
                <w:rFonts w:hint="eastAsia"/>
                <w:color w:val="auto"/>
                <w:sz w:val="24"/>
                <w:szCs w:val="24"/>
                <w:highlight w:val="none"/>
                <w:lang w:eastAsia="zh-CN"/>
              </w:rPr>
              <w:t>☑</w:t>
            </w:r>
            <w:r>
              <w:rPr>
                <w:color w:val="auto"/>
                <w:sz w:val="24"/>
                <w:szCs w:val="24"/>
              </w:rPr>
              <w:t>招标人</w:t>
            </w:r>
            <w:r>
              <w:rPr>
                <w:rFonts w:hint="eastAsia"/>
                <w:color w:val="auto"/>
                <w:sz w:val="24"/>
                <w:szCs w:val="24"/>
                <w:lang w:eastAsia="zh-CN"/>
              </w:rPr>
              <w:t>组织</w:t>
            </w:r>
            <w:r>
              <w:rPr>
                <w:color w:val="auto"/>
                <w:sz w:val="24"/>
                <w:szCs w:val="24"/>
              </w:rPr>
              <w:t>重新招标。</w:t>
            </w:r>
          </w:p>
        </w:tc>
      </w:tr>
      <w:tr w14:paraId="414738E6">
        <w:tblPrEx>
          <w:tblCellMar>
            <w:top w:w="0" w:type="dxa"/>
            <w:left w:w="108" w:type="dxa"/>
            <w:bottom w:w="0" w:type="dxa"/>
            <w:right w:w="108" w:type="dxa"/>
          </w:tblCellMar>
        </w:tblPrEx>
        <w:trPr>
          <w:trHeight w:val="281"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50E9DF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7.1.3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1AE8F8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highlight w:val="none"/>
              </w:rPr>
            </w:pPr>
            <w:r>
              <w:rPr>
                <w:rFonts w:hint="eastAsia"/>
                <w:color w:val="auto"/>
                <w:sz w:val="24"/>
                <w:szCs w:val="24"/>
                <w:highlight w:val="none"/>
                <w:lang w:eastAsia="zh-CN"/>
              </w:rPr>
              <w:t>☑</w:t>
            </w:r>
            <w:r>
              <w:rPr>
                <w:color w:val="auto"/>
                <w:sz w:val="24"/>
                <w:szCs w:val="24"/>
                <w:highlight w:val="none"/>
              </w:rPr>
              <w:t>中标</w:t>
            </w:r>
            <w:r>
              <w:rPr>
                <w:rFonts w:hint="eastAsia"/>
                <w:color w:val="auto"/>
                <w:sz w:val="24"/>
                <w:szCs w:val="24"/>
                <w:highlight w:val="none"/>
                <w:lang w:eastAsia="zh-CN"/>
              </w:rPr>
              <w:t>结果公示</w:t>
            </w:r>
            <w:r>
              <w:rPr>
                <w:color w:val="auto"/>
                <w:sz w:val="24"/>
                <w:szCs w:val="24"/>
                <w:highlight w:val="none"/>
              </w:rPr>
              <w:t>媒介及期限</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38D5199">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cs="Times New Roman"/>
                <w:b w:val="0"/>
                <w:bCs w:val="0"/>
                <w:color w:val="auto"/>
                <w:sz w:val="24"/>
                <w:szCs w:val="24"/>
                <w:highlight w:val="none"/>
              </w:rPr>
            </w:pPr>
            <w:r>
              <w:rPr>
                <w:rFonts w:cs="Times New Roman"/>
                <w:b w:val="0"/>
                <w:bCs w:val="0"/>
                <w:color w:val="auto"/>
                <w:sz w:val="24"/>
                <w:szCs w:val="24"/>
                <w:highlight w:val="none"/>
              </w:rPr>
              <w:t>公告媒介：</w:t>
            </w:r>
            <w:r>
              <w:rPr>
                <w:rFonts w:hint="eastAsia" w:cs="Times New Roman"/>
                <w:b w:val="0"/>
                <w:bCs w:val="0"/>
                <w:color w:val="auto"/>
                <w:sz w:val="24"/>
                <w:szCs w:val="24"/>
                <w:highlight w:val="none"/>
                <w:u w:val="single"/>
              </w:rPr>
              <w:t>河北省招标投标公共服务平台、河北省公共资源交易服务平台、中国河北政府采购网</w:t>
            </w:r>
            <w:r>
              <w:rPr>
                <w:rFonts w:hint="eastAsia" w:cs="Times New Roman"/>
                <w:b w:val="0"/>
                <w:bCs w:val="0"/>
                <w:color w:val="auto"/>
                <w:sz w:val="24"/>
                <w:szCs w:val="24"/>
                <w:highlight w:val="none"/>
                <w:u w:val="none"/>
                <w:lang w:eastAsia="zh-CN"/>
              </w:rPr>
              <w:t>。</w:t>
            </w:r>
          </w:p>
          <w:p w14:paraId="01C52542">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cs="Times New Roman"/>
                <w:b w:val="0"/>
                <w:bCs w:val="0"/>
                <w:color w:val="auto"/>
                <w:sz w:val="24"/>
                <w:szCs w:val="24"/>
                <w:highlight w:val="none"/>
              </w:rPr>
            </w:pPr>
            <w:r>
              <w:rPr>
                <w:rFonts w:cs="Times New Roman"/>
                <w:b w:val="0"/>
                <w:bCs w:val="0"/>
                <w:color w:val="auto"/>
                <w:sz w:val="24"/>
                <w:szCs w:val="24"/>
                <w:highlight w:val="none"/>
              </w:rPr>
              <w:t>公告期限：不少于</w:t>
            </w:r>
            <w:r>
              <w:rPr>
                <w:rFonts w:hint="eastAsia" w:cs="Times New Roman"/>
                <w:b w:val="0"/>
                <w:bCs w:val="0"/>
                <w:i w:val="0"/>
                <w:iCs w:val="0"/>
                <w:color w:val="auto"/>
                <w:sz w:val="24"/>
                <w:szCs w:val="24"/>
                <w:highlight w:val="none"/>
                <w:u w:val="single"/>
                <w:lang w:val="en-US" w:eastAsia="zh-CN"/>
              </w:rPr>
              <w:t>1</w:t>
            </w:r>
            <w:r>
              <w:rPr>
                <w:rFonts w:hint="eastAsia" w:cs="Times New Roman"/>
                <w:b w:val="0"/>
                <w:bCs w:val="0"/>
                <w:color w:val="auto"/>
                <w:sz w:val="24"/>
                <w:szCs w:val="24"/>
                <w:highlight w:val="none"/>
                <w:u w:val="none"/>
                <w:lang w:eastAsia="zh-CN"/>
              </w:rPr>
              <w:t>个日历天</w:t>
            </w:r>
            <w:r>
              <w:rPr>
                <w:rFonts w:cs="Times New Roman"/>
                <w:b w:val="0"/>
                <w:bCs w:val="0"/>
                <w:color w:val="auto"/>
                <w:sz w:val="24"/>
                <w:szCs w:val="24"/>
                <w:highlight w:val="none"/>
              </w:rPr>
              <w:t>。</w:t>
            </w:r>
          </w:p>
        </w:tc>
      </w:tr>
      <w:tr w14:paraId="4B446FF2">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32AB4F9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lang w:val="en-US" w:eastAsia="zh-CN"/>
              </w:rPr>
            </w:pPr>
            <w:r>
              <w:rPr>
                <w:rFonts w:hint="eastAsia" w:cs="Times New Roman"/>
                <w:b w:val="0"/>
                <w:bCs w:val="0"/>
                <w:color w:val="auto"/>
                <w:sz w:val="24"/>
                <w:szCs w:val="24"/>
                <w:highlight w:val="none"/>
                <w:lang w:val="en-US" w:eastAsia="zh-CN"/>
              </w:rPr>
              <w:t>7.2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422A4B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rFonts w:hint="eastAsia"/>
                <w:color w:val="auto"/>
                <w:sz w:val="24"/>
                <w:szCs w:val="24"/>
                <w:lang w:eastAsia="zh-CN"/>
              </w:rPr>
              <w:t>发放中标通知书</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D61CCFA">
            <w:pPr>
              <w:keepNext w:val="0"/>
              <w:keepLines w:val="0"/>
              <w:pageBreakBefore w:val="0"/>
              <w:widowControl w:val="0"/>
              <w:kinsoku/>
              <w:wordWrap w:val="0"/>
              <w:overflowPunct/>
              <w:bidi w:val="0"/>
              <w:adjustRightInd/>
              <w:snapToGrid/>
              <w:spacing w:line="400" w:lineRule="exact"/>
              <w:ind w:left="0" w:leftChars="0" w:right="0" w:rightChars="0" w:firstLine="0" w:firstLineChars="0"/>
              <w:jc w:val="left"/>
              <w:textAlignment w:val="auto"/>
              <w:outlineLvl w:val="9"/>
              <w:rPr>
                <w:rFonts w:hint="eastAsia" w:eastAsia="宋体"/>
                <w:color w:val="auto"/>
                <w:sz w:val="24"/>
                <w:szCs w:val="24"/>
                <w:lang w:eastAsia="zh-CN"/>
              </w:rPr>
            </w:pPr>
            <w:r>
              <w:rPr>
                <w:rFonts w:hint="eastAsia" w:eastAsia="宋体"/>
                <w:color w:val="auto"/>
                <w:sz w:val="24"/>
                <w:szCs w:val="24"/>
                <w:lang w:eastAsia="zh-CN"/>
              </w:rPr>
              <w:t>通过电子招标投标交易平台以数据电文形式向中标人发出中标通知书，同时将中标结果通知未中标的投标人</w:t>
            </w:r>
            <w:r>
              <w:rPr>
                <w:rFonts w:hint="eastAsia"/>
                <w:color w:val="auto"/>
                <w:sz w:val="24"/>
                <w:szCs w:val="24"/>
                <w:lang w:eastAsia="zh-CN"/>
              </w:rPr>
              <w:t>。</w:t>
            </w:r>
          </w:p>
        </w:tc>
      </w:tr>
      <w:tr w14:paraId="154320A6">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F0BD2D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lang w:val="en-US" w:eastAsia="zh-CN"/>
              </w:rPr>
            </w:pPr>
            <w:r>
              <w:rPr>
                <w:rFonts w:hint="eastAsia"/>
                <w:color w:val="auto"/>
                <w:sz w:val="24"/>
                <w:szCs w:val="24"/>
                <w:lang w:val="en-US" w:eastAsia="zh-CN"/>
              </w:rPr>
              <w:t>7.3.1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BD4288C">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color w:val="auto"/>
                <w:sz w:val="24"/>
                <w:szCs w:val="24"/>
              </w:rPr>
              <w:t>履约</w:t>
            </w:r>
            <w:r>
              <w:rPr>
                <w:rFonts w:hint="eastAsia"/>
                <w:color w:val="auto"/>
                <w:sz w:val="24"/>
                <w:szCs w:val="24"/>
                <w:lang w:eastAsia="zh-CN"/>
              </w:rPr>
              <w:t>保证金</w:t>
            </w:r>
            <w:r>
              <w:rPr>
                <w:color w:val="auto"/>
                <w:sz w:val="24"/>
                <w:szCs w:val="24"/>
              </w:rPr>
              <w:t>及工程款支付担保</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F6FAF6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olor w:val="auto"/>
                <w:sz w:val="24"/>
                <w:szCs w:val="24"/>
              </w:rPr>
            </w:pPr>
            <w:r>
              <w:rPr>
                <w:rFonts w:hint="eastAsia"/>
                <w:color w:val="auto"/>
                <w:sz w:val="24"/>
                <w:szCs w:val="24"/>
                <w:lang w:val="en-US" w:eastAsia="zh-CN"/>
              </w:rPr>
              <w:t>1.</w:t>
            </w:r>
            <w:r>
              <w:rPr>
                <w:rFonts w:hint="eastAsia"/>
                <w:color w:val="auto"/>
                <w:sz w:val="24"/>
                <w:szCs w:val="24"/>
              </w:rPr>
              <w:t>履约</w:t>
            </w:r>
            <w:r>
              <w:rPr>
                <w:rFonts w:hint="eastAsia"/>
                <w:color w:val="auto"/>
                <w:sz w:val="24"/>
                <w:szCs w:val="24"/>
                <w:lang w:eastAsia="zh-CN"/>
              </w:rPr>
              <w:t>保证金</w:t>
            </w:r>
            <w:r>
              <w:rPr>
                <w:rFonts w:hint="eastAsia"/>
                <w:color w:val="auto"/>
                <w:sz w:val="24"/>
                <w:szCs w:val="24"/>
              </w:rPr>
              <w:t>的金额：</w:t>
            </w:r>
            <w:r>
              <w:rPr>
                <w:rFonts w:hint="eastAsia"/>
                <w:color w:val="auto"/>
                <w:sz w:val="24"/>
                <w:szCs w:val="24"/>
                <w:lang w:eastAsia="zh-CN"/>
              </w:rPr>
              <w:t>中标</w:t>
            </w:r>
            <w:r>
              <w:rPr>
                <w:rFonts w:hint="eastAsia"/>
                <w:color w:val="auto"/>
                <w:sz w:val="24"/>
                <w:szCs w:val="24"/>
              </w:rPr>
              <w:t>合同</w:t>
            </w:r>
            <w:r>
              <w:rPr>
                <w:rFonts w:hint="eastAsia"/>
                <w:color w:val="auto"/>
                <w:sz w:val="24"/>
                <w:szCs w:val="24"/>
                <w:lang w:eastAsia="zh-CN"/>
              </w:rPr>
              <w:t>金额</w:t>
            </w:r>
            <w:r>
              <w:rPr>
                <w:rFonts w:hint="eastAsia"/>
                <w:color w:val="auto"/>
                <w:sz w:val="24"/>
                <w:szCs w:val="24"/>
              </w:rPr>
              <w:t>的</w:t>
            </w:r>
            <w:r>
              <w:rPr>
                <w:rFonts w:hint="eastAsia"/>
                <w:i w:val="0"/>
                <w:iCs w:val="0"/>
                <w:color w:val="auto"/>
                <w:sz w:val="24"/>
                <w:szCs w:val="24"/>
                <w:u w:val="single"/>
              </w:rPr>
              <w:t xml:space="preserve"> </w:t>
            </w:r>
            <w:r>
              <w:rPr>
                <w:rFonts w:hint="eastAsia"/>
                <w:i w:val="0"/>
                <w:iCs w:val="0"/>
                <w:color w:val="auto"/>
                <w:sz w:val="24"/>
                <w:szCs w:val="24"/>
                <w:u w:val="single"/>
                <w:lang w:val="en-US" w:eastAsia="zh-CN"/>
              </w:rPr>
              <w:t>10</w:t>
            </w:r>
            <w:r>
              <w:rPr>
                <w:rFonts w:hint="eastAsia"/>
                <w:i w:val="0"/>
                <w:iCs w:val="0"/>
                <w:color w:val="auto"/>
                <w:sz w:val="24"/>
                <w:szCs w:val="24"/>
                <w:u w:val="single"/>
              </w:rPr>
              <w:t xml:space="preserve"> </w:t>
            </w:r>
            <w:r>
              <w:rPr>
                <w:rFonts w:hint="eastAsia"/>
                <w:color w:val="auto"/>
                <w:sz w:val="24"/>
                <w:szCs w:val="24"/>
              </w:rPr>
              <w:t>%。</w:t>
            </w:r>
          </w:p>
          <w:p w14:paraId="641B19E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工程款支付担保的金额：</w:t>
            </w:r>
            <w:r>
              <w:rPr>
                <w:rFonts w:hint="eastAsia"/>
                <w:color w:val="auto"/>
                <w:sz w:val="24"/>
                <w:szCs w:val="24"/>
                <w:highlight w:val="none"/>
                <w:lang w:eastAsia="zh-CN"/>
              </w:rPr>
              <w:t>中标合同金额的</w:t>
            </w:r>
            <w:r>
              <w:rPr>
                <w:rFonts w:hint="eastAsia"/>
                <w:i w:val="0"/>
                <w:iCs w:val="0"/>
                <w:color w:val="auto"/>
                <w:sz w:val="24"/>
                <w:szCs w:val="24"/>
                <w:highlight w:val="none"/>
                <w:u w:val="single"/>
              </w:rPr>
              <w:t xml:space="preserve"> </w:t>
            </w:r>
            <w:r>
              <w:rPr>
                <w:rFonts w:hint="eastAsia"/>
                <w:i w:val="0"/>
                <w:iCs w:val="0"/>
                <w:color w:val="auto"/>
                <w:sz w:val="24"/>
                <w:szCs w:val="24"/>
                <w:highlight w:val="none"/>
                <w:u w:val="single"/>
                <w:lang w:val="en-US" w:eastAsia="zh-CN"/>
              </w:rPr>
              <w:t>10</w:t>
            </w:r>
            <w:r>
              <w:rPr>
                <w:rFonts w:hint="eastAsia"/>
                <w:i w:val="0"/>
                <w:iCs w:val="0"/>
                <w:color w:val="auto"/>
                <w:sz w:val="24"/>
                <w:szCs w:val="24"/>
                <w:highlight w:val="none"/>
                <w:u w:val="single"/>
              </w:rPr>
              <w:t xml:space="preserve"> </w:t>
            </w:r>
            <w:r>
              <w:rPr>
                <w:rFonts w:hint="eastAsia"/>
                <w:color w:val="auto"/>
                <w:sz w:val="24"/>
                <w:szCs w:val="24"/>
                <w:highlight w:val="none"/>
                <w:lang w:val="en-US" w:eastAsia="zh-CN"/>
              </w:rPr>
              <w:t>%</w:t>
            </w:r>
            <w:r>
              <w:rPr>
                <w:rFonts w:hint="eastAsia"/>
                <w:color w:val="auto"/>
                <w:sz w:val="24"/>
                <w:szCs w:val="24"/>
                <w:highlight w:val="none"/>
              </w:rPr>
              <w:t>。</w:t>
            </w:r>
          </w:p>
          <w:p w14:paraId="0FA35F4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rFonts w:hint="eastAsia"/>
                <w:color w:val="auto"/>
                <w:sz w:val="24"/>
                <w:szCs w:val="24"/>
                <w:lang w:val="en-US" w:eastAsia="zh-CN"/>
              </w:rPr>
              <w:t>3.履约保证金的支付形式：保函、工程担保或保证保险。</w:t>
            </w:r>
          </w:p>
          <w:p w14:paraId="2106F96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olor w:val="auto"/>
                <w:sz w:val="24"/>
                <w:szCs w:val="24"/>
              </w:rPr>
            </w:pPr>
            <w:r>
              <w:rPr>
                <w:rFonts w:hint="eastAsia"/>
                <w:color w:val="auto"/>
                <w:sz w:val="24"/>
                <w:szCs w:val="24"/>
                <w:lang w:val="en-US" w:eastAsia="zh-CN"/>
              </w:rPr>
              <w:t>4.</w:t>
            </w:r>
            <w:r>
              <w:rPr>
                <w:rFonts w:hint="eastAsia"/>
                <w:color w:val="auto"/>
                <w:sz w:val="24"/>
                <w:szCs w:val="24"/>
              </w:rPr>
              <w:t>工程款支付担保的形式：</w:t>
            </w:r>
            <w:r>
              <w:rPr>
                <w:rFonts w:hint="eastAsia"/>
                <w:i w:val="0"/>
                <w:iCs w:val="0"/>
                <w:color w:val="auto"/>
                <w:sz w:val="24"/>
                <w:szCs w:val="24"/>
                <w:highlight w:val="none"/>
                <w:u w:val="single"/>
              </w:rPr>
              <w:t>根据《河北省房屋建筑和市政基础设施工程领域工程款支付担保管理实施办法（试行）》，可凭发包人出具的建设资金落实证明及相关资料替代工程款支付担保函件</w:t>
            </w:r>
            <w:r>
              <w:rPr>
                <w:rFonts w:hint="eastAsia"/>
                <w:color w:val="auto"/>
                <w:sz w:val="24"/>
                <w:szCs w:val="24"/>
              </w:rPr>
              <w:t>。</w:t>
            </w:r>
          </w:p>
          <w:p w14:paraId="29117D2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eastAsia="宋体"/>
                <w:color w:val="auto"/>
                <w:sz w:val="24"/>
                <w:szCs w:val="24"/>
                <w:lang w:eastAsia="zh-CN"/>
              </w:rPr>
            </w:pPr>
            <w:r>
              <w:rPr>
                <w:rFonts w:hint="eastAsia"/>
                <w:color w:val="auto"/>
                <w:sz w:val="24"/>
                <w:szCs w:val="24"/>
                <w:lang w:eastAsia="zh-CN"/>
              </w:rPr>
              <w:t>注：开具担保文书的金融机构应为具备在本省从事相关业务许可的商业银行或保险公司；保函应当为不可撤销见索即付的独立保函；保单条款应当经保险监督管理部门批准或备案；同一保证人不得同时为同一工程项目提供工程款支付担保和履约担保。</w:t>
            </w:r>
          </w:p>
        </w:tc>
      </w:tr>
      <w:tr w14:paraId="73BEB19A">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D955CF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8.1（3）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8E874B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重新招标的其他情形</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D26B76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rPr>
            </w:pPr>
            <w:r>
              <w:rPr>
                <w:rFonts w:hint="eastAsia"/>
                <w:color w:val="auto"/>
                <w:sz w:val="24"/>
                <w:szCs w:val="24"/>
                <w:highlight w:val="none"/>
                <w:lang w:eastAsia="zh-CN"/>
              </w:rPr>
              <w:t>☑</w:t>
            </w:r>
            <w:r>
              <w:rPr>
                <w:rFonts w:hint="eastAsia"/>
                <w:color w:val="auto"/>
                <w:sz w:val="24"/>
                <w:szCs w:val="24"/>
                <w:lang w:val="en-US" w:eastAsia="zh-CN"/>
              </w:rPr>
              <w:t>1.</w:t>
            </w:r>
            <w:r>
              <w:rPr>
                <w:color w:val="auto"/>
                <w:sz w:val="24"/>
                <w:szCs w:val="24"/>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color w:val="auto"/>
                <w:sz w:val="24"/>
                <w:szCs w:val="24"/>
                <w:lang w:eastAsia="zh-CN"/>
              </w:rPr>
              <w:t>，</w:t>
            </w:r>
            <w:r>
              <w:rPr>
                <w:color w:val="auto"/>
                <w:sz w:val="24"/>
                <w:szCs w:val="24"/>
              </w:rPr>
              <w:t>招标人</w:t>
            </w:r>
            <w:r>
              <w:rPr>
                <w:rFonts w:hint="eastAsia"/>
                <w:color w:val="auto"/>
                <w:sz w:val="24"/>
                <w:szCs w:val="24"/>
                <w:lang w:eastAsia="zh-CN"/>
              </w:rPr>
              <w:t>组织</w:t>
            </w:r>
            <w:r>
              <w:rPr>
                <w:color w:val="auto"/>
                <w:sz w:val="24"/>
                <w:szCs w:val="24"/>
              </w:rPr>
              <w:t>重新招标。</w:t>
            </w:r>
          </w:p>
          <w:p w14:paraId="6B34BEC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val="en-US" w:eastAsia="zh-CN"/>
              </w:rPr>
              <w:t>2</w:t>
            </w:r>
            <w:r>
              <w:rPr>
                <w:color w:val="auto"/>
                <w:sz w:val="24"/>
                <w:szCs w:val="24"/>
              </w:rPr>
              <w:t>.</w:t>
            </w:r>
            <w:r>
              <w:rPr>
                <w:rFonts w:hint="eastAsia"/>
                <w:color w:val="auto"/>
                <w:sz w:val="24"/>
                <w:szCs w:val="24"/>
                <w:lang w:eastAsia="zh-CN"/>
              </w:rPr>
              <w:t>其他：</w:t>
            </w:r>
            <w:r>
              <w:rPr>
                <w:rFonts w:hint="eastAsia"/>
                <w:i w:val="0"/>
                <w:iCs w:val="0"/>
                <w:color w:val="auto"/>
                <w:sz w:val="24"/>
                <w:szCs w:val="24"/>
                <w:highlight w:val="none"/>
                <w:u w:val="single"/>
              </w:rPr>
              <w:t xml:space="preserve"> </w:t>
            </w:r>
            <w:r>
              <w:rPr>
                <w:rFonts w:hint="eastAsia"/>
                <w:i w:val="0"/>
                <w:iCs w:val="0"/>
                <w:color w:val="auto"/>
                <w:sz w:val="24"/>
                <w:szCs w:val="24"/>
                <w:highlight w:val="none"/>
                <w:u w:val="single"/>
                <w:lang w:val="en-US" w:eastAsia="zh-CN"/>
              </w:rPr>
              <w:t>/</w:t>
            </w:r>
            <w:r>
              <w:rPr>
                <w:rFonts w:hint="eastAsia"/>
                <w:i w:val="0"/>
                <w:iCs w:val="0"/>
                <w:color w:val="auto"/>
                <w:sz w:val="24"/>
                <w:szCs w:val="24"/>
                <w:highlight w:val="none"/>
                <w:u w:val="single"/>
              </w:rPr>
              <w:t xml:space="preserve"> </w:t>
            </w:r>
            <w:r>
              <w:rPr>
                <w:color w:val="auto"/>
                <w:sz w:val="24"/>
                <w:szCs w:val="24"/>
              </w:rPr>
              <w:t>。</w:t>
            </w:r>
          </w:p>
        </w:tc>
      </w:tr>
      <w:tr w14:paraId="1FB9FBEF">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E5E6A1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8.2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0E2312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不再招标的情形</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599C46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重新招标后投标人仍少于3个的，属于必须审批、核准的工程建设项目，报经原审批、核准部门审批、核准后可以不再进行招标。</w:t>
            </w:r>
          </w:p>
        </w:tc>
      </w:tr>
      <w:tr w14:paraId="44461DD1">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D3DBAD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lang w:val="en-US" w:eastAsia="zh-CN"/>
              </w:rPr>
            </w:pPr>
            <w:r>
              <w:rPr>
                <w:rFonts w:hint="eastAsia"/>
                <w:color w:val="auto"/>
                <w:sz w:val="24"/>
                <w:szCs w:val="24"/>
                <w:lang w:val="en-US" w:eastAsia="zh-CN"/>
              </w:rPr>
              <w:t>10.1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49D3FA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color w:val="auto"/>
                <w:sz w:val="24"/>
                <w:szCs w:val="24"/>
              </w:rPr>
              <w:t>否决投标的情形</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3D8FFC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rPr>
              <w:t>投标文件出现下列情形之一的，由评标委员会初审后，应否决其投标：</w:t>
            </w:r>
          </w:p>
          <w:p w14:paraId="223A56E7">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1.</w:t>
            </w:r>
            <w:r>
              <w:rPr>
                <w:rFonts w:hint="eastAsia" w:cs="Times New Roman"/>
                <w:color w:val="auto"/>
                <w:sz w:val="24"/>
                <w:szCs w:val="24"/>
                <w:highlight w:val="none"/>
              </w:rPr>
              <w:t>投标文件有关内容未按规定要求加盖投标人印章或未经法定代表人或其委托代理人签字或盖章的。由委托代理人签字或盖章的，但未随投标文件一起提交有效的“授权委托书”原件的；</w:t>
            </w:r>
          </w:p>
          <w:p w14:paraId="6F0140A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2.</w:t>
            </w:r>
            <w:r>
              <w:rPr>
                <w:rFonts w:hint="eastAsia" w:cs="Times New Roman"/>
                <w:color w:val="auto"/>
                <w:sz w:val="24"/>
                <w:szCs w:val="24"/>
                <w:highlight w:val="none"/>
              </w:rPr>
              <w:t>投标人被本次招标项目所在地县级以上主管部门依法限制投标且在限制期内的；</w:t>
            </w:r>
          </w:p>
          <w:p w14:paraId="707BFBD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3.</w:t>
            </w:r>
            <w:r>
              <w:rPr>
                <w:rFonts w:hint="eastAsia" w:cs="Times New Roman"/>
                <w:color w:val="auto"/>
                <w:sz w:val="24"/>
                <w:szCs w:val="24"/>
                <w:highlight w:val="none"/>
              </w:rPr>
              <w:t>投标文件的内容不全或者关键内容字迹模糊、无法辨认的；</w:t>
            </w:r>
          </w:p>
          <w:p w14:paraId="5873C0C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4.</w:t>
            </w:r>
            <w:r>
              <w:rPr>
                <w:rFonts w:hint="eastAsia" w:cs="Times New Roman"/>
                <w:color w:val="auto"/>
                <w:sz w:val="24"/>
                <w:szCs w:val="24"/>
                <w:highlight w:val="none"/>
              </w:rPr>
              <w:t>投标人未按照招标文件的要求提交投标保证金的；</w:t>
            </w:r>
          </w:p>
          <w:p w14:paraId="739250D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5.</w:t>
            </w:r>
            <w:r>
              <w:rPr>
                <w:rFonts w:hint="eastAsia" w:cs="Times New Roman"/>
                <w:color w:val="auto"/>
                <w:sz w:val="24"/>
                <w:szCs w:val="24"/>
                <w:highlight w:val="none"/>
              </w:rPr>
              <w:t>联合体投标没有提交共同投标协议；</w:t>
            </w:r>
          </w:p>
          <w:p w14:paraId="361CA9A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6.</w:t>
            </w:r>
            <w:r>
              <w:rPr>
                <w:rFonts w:hint="eastAsia" w:cs="Times New Roman"/>
                <w:color w:val="auto"/>
                <w:sz w:val="24"/>
                <w:szCs w:val="24"/>
                <w:highlight w:val="none"/>
              </w:rPr>
              <w:t>投标人不符合国家或者招标文件规定的资格条件；</w:t>
            </w:r>
          </w:p>
          <w:p w14:paraId="41B56C1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7.</w:t>
            </w:r>
            <w:r>
              <w:rPr>
                <w:rFonts w:hint="eastAsia" w:cs="Times New Roman"/>
                <w:color w:val="auto"/>
                <w:sz w:val="24"/>
                <w:szCs w:val="24"/>
                <w:highlight w:val="none"/>
              </w:rPr>
              <w:t>同一投标人提交两个以上不同的投标文件或者投标报价，但招标文件要求提交备选投标的除外；</w:t>
            </w:r>
          </w:p>
          <w:p w14:paraId="29E4600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8.</w:t>
            </w:r>
            <w:r>
              <w:rPr>
                <w:rFonts w:hint="eastAsia" w:cs="Times New Roman"/>
                <w:color w:val="auto"/>
                <w:sz w:val="24"/>
                <w:szCs w:val="24"/>
                <w:highlight w:val="none"/>
              </w:rPr>
              <w:t>投标文件载明的招标项目完成期限超过招标文件规定的期限；</w:t>
            </w:r>
          </w:p>
          <w:p w14:paraId="0E8B6DE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9.</w:t>
            </w:r>
            <w:r>
              <w:rPr>
                <w:rFonts w:hint="eastAsia" w:cs="Times New Roman"/>
                <w:color w:val="auto"/>
                <w:sz w:val="24"/>
                <w:szCs w:val="24"/>
                <w:highlight w:val="none"/>
              </w:rPr>
              <w:t>投标文件附有招标人不能接受的条件；</w:t>
            </w:r>
          </w:p>
          <w:p w14:paraId="573154D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10.投标人的资质、人员、业绩等条件未满足招标文件实质性响应要求的（以投标人须知前附表3.5“实质性响应招标文件资料”内容为准）；</w:t>
            </w:r>
          </w:p>
          <w:p w14:paraId="6F9CEC1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s="Times New Roman"/>
                <w:color w:val="auto"/>
                <w:sz w:val="24"/>
                <w:szCs w:val="24"/>
                <w:highlight w:val="none"/>
                <w:u w:val="single"/>
                <w:lang w:val="en-US" w:eastAsia="zh-CN"/>
              </w:rPr>
            </w:pPr>
            <w:r>
              <w:rPr>
                <w:rFonts w:hint="eastAsia" w:cs="Times New Roman"/>
                <w:color w:val="auto"/>
                <w:sz w:val="24"/>
                <w:szCs w:val="24"/>
                <w:highlight w:val="none"/>
                <w:lang w:val="en-US" w:eastAsia="zh-CN"/>
              </w:rPr>
              <w:t>11.投标人未按以下要求进行报价的：</w:t>
            </w:r>
            <w:r>
              <w:rPr>
                <w:rFonts w:hint="eastAsia"/>
                <w:color w:val="auto"/>
                <w:sz w:val="24"/>
                <w:szCs w:val="24"/>
                <w:highlight w:val="none"/>
                <w:lang w:eastAsia="zh-CN"/>
              </w:rPr>
              <w:t>☑填报齐全；□项目内容明确；□价格构成合理；□其他：</w:t>
            </w:r>
            <w:r>
              <w:rPr>
                <w:rFonts w:hint="eastAsia"/>
                <w:color w:val="auto"/>
                <w:sz w:val="24"/>
                <w:szCs w:val="24"/>
                <w:highlight w:val="none"/>
                <w:u w:val="single"/>
                <w:lang w:val="en-US" w:eastAsia="zh-CN"/>
              </w:rPr>
              <w:t xml:space="preserve"> / </w:t>
            </w:r>
            <w:r>
              <w:rPr>
                <w:rFonts w:hint="eastAsia"/>
                <w:color w:val="auto"/>
                <w:sz w:val="24"/>
                <w:szCs w:val="24"/>
                <w:highlight w:val="none"/>
                <w:u w:val="none"/>
                <w:lang w:val="en-US" w:eastAsia="zh-CN"/>
              </w:rPr>
              <w:t>。</w:t>
            </w:r>
          </w:p>
          <w:p w14:paraId="1A500CF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12.投标报价有计算或表达上的错误，根据评标办法规定的修正错误原则进行修订后，投标人不接受的；</w:t>
            </w:r>
          </w:p>
          <w:p w14:paraId="0611DC5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13.评标委员会对投标报价和理性分析评审后认定为以低于成本报价竞标或不正当竞争，或者投标报价高于招标文件设定的最高限价的；</w:t>
            </w:r>
          </w:p>
          <w:p w14:paraId="0579EAA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14.资格审查未通过的；</w:t>
            </w:r>
          </w:p>
          <w:p w14:paraId="068BDEF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15.危大工程无明确相应的安全管理措施的；</w:t>
            </w:r>
          </w:p>
          <w:p w14:paraId="033ABB1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16.投标人存在招标文件投标人须知1.4.3项和投标人须知前附表第10.12款第2点规定情形的；</w:t>
            </w:r>
          </w:p>
          <w:p w14:paraId="006C48D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17.投标文件中暗标部分编制未满足前附表“10.10技术暗标编制说明”要求的；</w:t>
            </w:r>
          </w:p>
          <w:p w14:paraId="48D559C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18.</w:t>
            </w:r>
            <w:r>
              <w:rPr>
                <w:rFonts w:hint="eastAsia" w:cs="Times New Roman"/>
                <w:color w:val="auto"/>
                <w:sz w:val="24"/>
                <w:szCs w:val="24"/>
                <w:highlight w:val="none"/>
              </w:rPr>
              <w:t>投标人有串通投标、弄虚作假、行贿等违法行为。</w:t>
            </w:r>
          </w:p>
          <w:p w14:paraId="5DB841B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cs="Times New Roman"/>
                <w:i/>
                <w:iCs/>
                <w:color w:val="auto"/>
                <w:sz w:val="24"/>
                <w:szCs w:val="24"/>
                <w:highlight w:val="none"/>
                <w:u w:val="single"/>
                <w:lang w:val="en-US" w:eastAsia="zh-CN"/>
              </w:rPr>
            </w:pPr>
            <w:r>
              <w:rPr>
                <w:rFonts w:hint="eastAsia" w:cs="Times New Roman"/>
                <w:color w:val="auto"/>
                <w:sz w:val="24"/>
                <w:szCs w:val="24"/>
                <w:highlight w:val="none"/>
                <w:lang w:val="en-US" w:eastAsia="zh-CN"/>
              </w:rPr>
              <w:t>19.其他：</w:t>
            </w:r>
            <w:r>
              <w:rPr>
                <w:rFonts w:hint="eastAsia" w:cs="Times New Roman"/>
                <w:i/>
                <w:iCs/>
                <w:color w:val="auto"/>
                <w:sz w:val="24"/>
                <w:szCs w:val="24"/>
                <w:highlight w:val="none"/>
                <w:u w:val="single"/>
                <w:lang w:val="en-US" w:eastAsia="zh-CN"/>
              </w:rPr>
              <w:t xml:space="preserve"> / </w:t>
            </w:r>
          </w:p>
          <w:p w14:paraId="38BB3F9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cs="Times New Roman"/>
                <w:i/>
                <w:iCs/>
                <w:color w:val="auto"/>
                <w:sz w:val="24"/>
                <w:szCs w:val="24"/>
                <w:highlight w:val="none"/>
                <w:u w:val="single"/>
                <w:lang w:val="en-US" w:eastAsia="zh-CN"/>
              </w:rPr>
            </w:pPr>
            <w:r>
              <w:rPr>
                <w:rFonts w:hint="eastAsia" w:cs="Times New Roman"/>
                <w:i w:val="0"/>
                <w:iCs w:val="0"/>
                <w:color w:val="auto"/>
                <w:sz w:val="24"/>
                <w:szCs w:val="24"/>
                <w:highlight w:val="none"/>
                <w:u w:val="none"/>
                <w:lang w:val="en-US" w:eastAsia="zh-CN"/>
              </w:rPr>
              <w:t>注：</w:t>
            </w:r>
            <w:r>
              <w:rPr>
                <w:rFonts w:hint="default" w:cs="Times New Roman"/>
                <w:i w:val="0"/>
                <w:iCs w:val="0"/>
                <w:color w:val="auto"/>
                <w:sz w:val="24"/>
                <w:szCs w:val="24"/>
                <w:highlight w:val="none"/>
                <w:u w:val="none"/>
                <w:lang w:val="en-US" w:eastAsia="zh-CN"/>
              </w:rPr>
              <w:t>除本条规定以外，招标文件中其他条款均不得作为否决投标文件的依据。</w:t>
            </w:r>
          </w:p>
        </w:tc>
      </w:tr>
      <w:tr w14:paraId="200029A2">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378F6E5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BD5AF1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异议与投诉</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9AE3DC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1.异议：</w:t>
            </w:r>
          </w:p>
          <w:p w14:paraId="1EE63FF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（1）潜在投标人或者其他利害关系人对招标文件有异议的，应当在投标截止时间10日前以</w:t>
            </w:r>
            <w:r>
              <w:rPr>
                <w:rFonts w:hint="eastAsia"/>
                <w:color w:val="auto"/>
                <w:sz w:val="24"/>
                <w:szCs w:val="24"/>
                <w:highlight w:val="none"/>
                <w:lang w:eastAsia="zh-CN"/>
              </w:rPr>
              <w:t>电文</w:t>
            </w:r>
            <w:r>
              <w:rPr>
                <w:color w:val="auto"/>
                <w:sz w:val="24"/>
                <w:szCs w:val="24"/>
                <w:highlight w:val="none"/>
              </w:rPr>
              <w:t>形式向招标人提出。招标人将在收到异议之日起3日内作出答复；作出答复前，暂停招标投标活动；</w:t>
            </w:r>
          </w:p>
          <w:p w14:paraId="1BD6063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（2）投标人认为开标不符合有关规定的，应当在开标现场通过电子招投标交易平台向招标人提出异议。招标人</w:t>
            </w:r>
            <w:r>
              <w:rPr>
                <w:rFonts w:hint="eastAsia"/>
                <w:color w:val="auto"/>
                <w:sz w:val="24"/>
                <w:szCs w:val="24"/>
                <w:highlight w:val="none"/>
                <w:lang w:eastAsia="zh-CN"/>
              </w:rPr>
              <w:t>应当</w:t>
            </w:r>
            <w:r>
              <w:rPr>
                <w:color w:val="auto"/>
                <w:sz w:val="24"/>
                <w:szCs w:val="24"/>
                <w:highlight w:val="none"/>
              </w:rPr>
              <w:t>当场对异议</w:t>
            </w:r>
            <w:r>
              <w:rPr>
                <w:rFonts w:hint="eastAsia"/>
                <w:color w:val="auto"/>
                <w:sz w:val="24"/>
                <w:szCs w:val="24"/>
                <w:highlight w:val="none"/>
                <w:lang w:eastAsia="zh-CN"/>
              </w:rPr>
              <w:t>作出答复</w:t>
            </w:r>
            <w:r>
              <w:rPr>
                <w:color w:val="auto"/>
                <w:sz w:val="24"/>
                <w:szCs w:val="24"/>
                <w:highlight w:val="none"/>
              </w:rPr>
              <w:t>。异议和答复应记入开标记录或者制作专门记录以存档备查；</w:t>
            </w:r>
          </w:p>
          <w:p w14:paraId="6A4F2F6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（3）投标人及其他利害关系人对评标结果有异议的，应当在中标候选人公示期内以</w:t>
            </w:r>
            <w:r>
              <w:rPr>
                <w:rFonts w:hint="eastAsia"/>
                <w:color w:val="auto"/>
                <w:sz w:val="24"/>
                <w:szCs w:val="24"/>
                <w:highlight w:val="none"/>
                <w:lang w:eastAsia="zh-CN"/>
              </w:rPr>
              <w:t>电文</w:t>
            </w:r>
            <w:r>
              <w:rPr>
                <w:color w:val="auto"/>
                <w:sz w:val="24"/>
                <w:szCs w:val="24"/>
                <w:highlight w:val="none"/>
              </w:rPr>
              <w:t>形式向招标人提出。招标人将在收到异议之日起3日内作出答复；作出答复前，暂停招标投标活动。</w:t>
            </w:r>
          </w:p>
          <w:p w14:paraId="58FD9F1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（4）其他：</w:t>
            </w:r>
            <w:r>
              <w:rPr>
                <w:i/>
                <w:iCs/>
                <w:color w:val="auto"/>
                <w:sz w:val="24"/>
                <w:szCs w:val="24"/>
                <w:highlight w:val="none"/>
                <w:u w:val="single"/>
              </w:rPr>
              <w:t xml:space="preserve"> </w:t>
            </w:r>
            <w:r>
              <w:rPr>
                <w:rFonts w:hint="eastAsia"/>
                <w:i/>
                <w:iCs/>
                <w:color w:val="auto"/>
                <w:sz w:val="24"/>
                <w:szCs w:val="24"/>
                <w:highlight w:val="none"/>
                <w:u w:val="single"/>
                <w:lang w:val="en-US" w:eastAsia="zh-CN"/>
              </w:rPr>
              <w:t>/</w:t>
            </w:r>
            <w:r>
              <w:rPr>
                <w:i/>
                <w:iCs/>
                <w:color w:val="auto"/>
                <w:sz w:val="24"/>
                <w:szCs w:val="24"/>
                <w:highlight w:val="none"/>
                <w:u w:val="single"/>
              </w:rPr>
              <w:t xml:space="preserve"> </w:t>
            </w:r>
            <w:r>
              <w:rPr>
                <w:color w:val="auto"/>
                <w:sz w:val="24"/>
                <w:szCs w:val="24"/>
                <w:highlight w:val="none"/>
              </w:rPr>
              <w:t>。</w:t>
            </w:r>
          </w:p>
          <w:p w14:paraId="71BEB0E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2.投诉：</w:t>
            </w:r>
          </w:p>
          <w:p w14:paraId="3105264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color w:val="auto"/>
                <w:sz w:val="24"/>
                <w:szCs w:val="24"/>
                <w:highlight w:val="none"/>
              </w:rPr>
              <w:t>投标人或者其他利害关系人认为招标投标活动不符合法律、行政法规和招标文件规定的，可以自知道或者应当知道之日起10日内向有关行政监督部门投诉。投诉应当有明确的请求和必要的证明资料，具体要求按《工程建设项目招标投标活动投诉处理办法》规定。</w:t>
            </w:r>
          </w:p>
          <w:p w14:paraId="2FCC4B9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（2）其他：</w:t>
            </w:r>
            <w:r>
              <w:rPr>
                <w:i/>
                <w:iCs/>
                <w:color w:val="auto"/>
                <w:sz w:val="24"/>
                <w:szCs w:val="24"/>
                <w:highlight w:val="none"/>
                <w:u w:val="single"/>
              </w:rPr>
              <w:t xml:space="preserve"> </w:t>
            </w:r>
            <w:r>
              <w:rPr>
                <w:rFonts w:hint="eastAsia"/>
                <w:i/>
                <w:iCs/>
                <w:color w:val="auto"/>
                <w:sz w:val="24"/>
                <w:szCs w:val="24"/>
                <w:highlight w:val="none"/>
                <w:u w:val="single"/>
                <w:lang w:val="en-US" w:eastAsia="zh-CN"/>
              </w:rPr>
              <w:t>/</w:t>
            </w:r>
            <w:r>
              <w:rPr>
                <w:i/>
                <w:iCs/>
                <w:color w:val="auto"/>
                <w:sz w:val="24"/>
                <w:szCs w:val="24"/>
                <w:highlight w:val="none"/>
                <w:u w:val="single"/>
              </w:rPr>
              <w:t xml:space="preserve"> </w:t>
            </w:r>
            <w:r>
              <w:rPr>
                <w:color w:val="auto"/>
                <w:sz w:val="24"/>
                <w:szCs w:val="24"/>
                <w:highlight w:val="none"/>
              </w:rPr>
              <w:t>。</w:t>
            </w:r>
          </w:p>
          <w:p w14:paraId="054DC3F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3.上述时限最后一日如遇国家法定节假日的，顺延至法定节假日后的第一个工作日。</w:t>
            </w:r>
          </w:p>
          <w:p w14:paraId="5F716F1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lightGray"/>
              </w:rPr>
            </w:pPr>
            <w:r>
              <w:rPr>
                <w:color w:val="auto"/>
                <w:sz w:val="24"/>
                <w:szCs w:val="24"/>
                <w:highlight w:val="none"/>
              </w:rPr>
              <w:t>起始时间界定为：（1）对招标文件公告资格条件的投诉以下载招标文件的第一天为准；（2）对除公告资格条件外招标文件其他内容的投诉以招标文件下载最后一天为准；（3）对开标的投诉以开标时间为准；（4）对评标结果的投诉以中标候选人公示期的起始时间为准。</w:t>
            </w:r>
          </w:p>
        </w:tc>
      </w:tr>
      <w:tr w14:paraId="333F93E4">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615022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15A033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auto"/>
                <w:sz w:val="24"/>
                <w:szCs w:val="24"/>
                <w:lang w:eastAsia="zh-CN"/>
              </w:rPr>
            </w:pPr>
            <w:r>
              <w:rPr>
                <w:rFonts w:hint="eastAsia"/>
                <w:color w:val="auto"/>
                <w:sz w:val="24"/>
                <w:szCs w:val="24"/>
                <w:lang w:eastAsia="zh-CN"/>
              </w:rPr>
              <w:t>在建合同工程的认定及变更证明</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1503A4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1.对项目</w:t>
            </w:r>
            <w:r>
              <w:rPr>
                <w:rFonts w:hint="eastAsia"/>
                <w:color w:val="auto"/>
                <w:sz w:val="24"/>
                <w:szCs w:val="24"/>
                <w:highlight w:val="none"/>
                <w:lang w:eastAsia="zh-CN"/>
              </w:rPr>
              <w:t>经理</w:t>
            </w:r>
            <w:r>
              <w:rPr>
                <w:color w:val="auto"/>
                <w:sz w:val="24"/>
                <w:szCs w:val="24"/>
                <w:highlight w:val="none"/>
              </w:rPr>
              <w:t>和施工负责人</w:t>
            </w:r>
            <w:r>
              <w:rPr>
                <w:rFonts w:hint="eastAsia"/>
                <w:color w:val="auto"/>
                <w:sz w:val="24"/>
                <w:szCs w:val="24"/>
                <w:highlight w:val="none"/>
                <w:lang w:eastAsia="zh-CN"/>
              </w:rPr>
              <w:t>“</w:t>
            </w:r>
            <w:r>
              <w:rPr>
                <w:color w:val="auto"/>
                <w:sz w:val="24"/>
                <w:szCs w:val="24"/>
                <w:highlight w:val="none"/>
              </w:rPr>
              <w:t>有在建合同工程</w:t>
            </w:r>
            <w:r>
              <w:rPr>
                <w:rFonts w:hint="eastAsia"/>
                <w:color w:val="auto"/>
                <w:sz w:val="24"/>
                <w:szCs w:val="24"/>
                <w:highlight w:val="none"/>
                <w:lang w:eastAsia="zh-CN"/>
              </w:rPr>
              <w:t>”</w:t>
            </w:r>
            <w:r>
              <w:rPr>
                <w:color w:val="auto"/>
                <w:sz w:val="24"/>
                <w:szCs w:val="24"/>
                <w:highlight w:val="none"/>
              </w:rPr>
              <w:t>的认定标准：</w:t>
            </w:r>
          </w:p>
          <w:p w14:paraId="6DF2669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（1）拟派项目</w:t>
            </w:r>
            <w:r>
              <w:rPr>
                <w:rFonts w:hint="eastAsia"/>
                <w:color w:val="auto"/>
                <w:sz w:val="24"/>
                <w:szCs w:val="24"/>
                <w:highlight w:val="none"/>
                <w:lang w:eastAsia="zh-CN"/>
              </w:rPr>
              <w:t>经理</w:t>
            </w:r>
            <w:r>
              <w:rPr>
                <w:color w:val="auto"/>
                <w:sz w:val="24"/>
                <w:szCs w:val="24"/>
                <w:highlight w:val="none"/>
              </w:rPr>
              <w:t>和施工负责人在投标截止时间尚有在其他在建合同工程中担任工程总承包项目</w:t>
            </w:r>
            <w:r>
              <w:rPr>
                <w:rFonts w:hint="eastAsia"/>
                <w:color w:val="auto"/>
                <w:sz w:val="24"/>
                <w:szCs w:val="24"/>
                <w:highlight w:val="none"/>
                <w:lang w:eastAsia="zh-CN"/>
              </w:rPr>
              <w:t>经理</w:t>
            </w:r>
            <w:r>
              <w:rPr>
                <w:color w:val="auto"/>
                <w:sz w:val="24"/>
                <w:szCs w:val="24"/>
                <w:highlight w:val="none"/>
              </w:rPr>
              <w:t>、施工负责人（含工程总承包项目中担任施工负责人）的情形为“有在建合同工程”。</w:t>
            </w:r>
          </w:p>
          <w:p w14:paraId="5F6F6CE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（2）其他工程项目，包括在中华人民共和国境内所有建设工程，不受地域、行业和投资性质的限制。</w:t>
            </w:r>
          </w:p>
          <w:p w14:paraId="1488793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（3）在建合同工程的时间界定：在建合同工程的开始时间为合同工程中标通知书发出日期，或者不通过招标方式的则以合同签订日期为开始时间，结束时间为该合同工程验收合格或合同解除日期。</w:t>
            </w:r>
          </w:p>
          <w:p w14:paraId="3020AE49">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以下情形视为“有在建合同工程”：</w:t>
            </w:r>
          </w:p>
          <w:p w14:paraId="427CFDAC">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ascii="东文宋体" w:hAnsi="东文宋体" w:eastAsia="东文宋体" w:cs="东文宋体"/>
                <w:color w:val="auto"/>
                <w:sz w:val="24"/>
                <w:szCs w:val="24"/>
                <w:highlight w:val="none"/>
              </w:rPr>
              <w:t>①</w:t>
            </w:r>
            <w:r>
              <w:rPr>
                <w:color w:val="auto"/>
                <w:sz w:val="24"/>
                <w:szCs w:val="24"/>
                <w:highlight w:val="none"/>
              </w:rPr>
              <w:t>合同协议书尚未签订的，中标通知书中载明的项目</w:t>
            </w:r>
            <w:r>
              <w:rPr>
                <w:rFonts w:hint="eastAsia"/>
                <w:color w:val="auto"/>
                <w:sz w:val="24"/>
                <w:szCs w:val="24"/>
                <w:highlight w:val="none"/>
                <w:lang w:eastAsia="zh-CN"/>
              </w:rPr>
              <w:t>经理</w:t>
            </w:r>
            <w:r>
              <w:rPr>
                <w:color w:val="auto"/>
                <w:sz w:val="24"/>
                <w:szCs w:val="24"/>
                <w:highlight w:val="none"/>
              </w:rPr>
              <w:t>；</w:t>
            </w:r>
          </w:p>
          <w:p w14:paraId="4D822F2A">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ascii="东文宋体" w:hAnsi="东文宋体" w:eastAsia="东文宋体" w:cs="东文宋体"/>
                <w:color w:val="auto"/>
                <w:sz w:val="24"/>
                <w:szCs w:val="24"/>
                <w:highlight w:val="none"/>
              </w:rPr>
              <w:t>②</w:t>
            </w:r>
            <w:r>
              <w:rPr>
                <w:color w:val="auto"/>
                <w:sz w:val="24"/>
                <w:szCs w:val="24"/>
                <w:highlight w:val="none"/>
              </w:rPr>
              <w:t>合同协议书已经签订，合同协议书中明确的项目</w:t>
            </w:r>
            <w:r>
              <w:rPr>
                <w:rFonts w:hint="eastAsia"/>
                <w:color w:val="auto"/>
                <w:sz w:val="24"/>
                <w:szCs w:val="24"/>
                <w:highlight w:val="none"/>
                <w:lang w:eastAsia="zh-CN"/>
              </w:rPr>
              <w:t>经理</w:t>
            </w:r>
            <w:r>
              <w:rPr>
                <w:color w:val="auto"/>
                <w:sz w:val="24"/>
                <w:szCs w:val="24"/>
                <w:highlight w:val="none"/>
              </w:rPr>
              <w:t>；</w:t>
            </w:r>
          </w:p>
          <w:p w14:paraId="2735FDD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ascii="东文宋体" w:hAnsi="东文宋体" w:eastAsia="东文宋体" w:cs="东文宋体"/>
                <w:color w:val="auto"/>
                <w:sz w:val="24"/>
                <w:szCs w:val="24"/>
                <w:highlight w:val="none"/>
              </w:rPr>
              <w:t>③</w:t>
            </w:r>
            <w:r>
              <w:rPr>
                <w:color w:val="auto"/>
                <w:sz w:val="24"/>
                <w:szCs w:val="24"/>
                <w:highlight w:val="none"/>
              </w:rPr>
              <w:t>项目</w:t>
            </w:r>
            <w:r>
              <w:rPr>
                <w:rFonts w:hint="eastAsia"/>
                <w:color w:val="auto"/>
                <w:sz w:val="24"/>
                <w:szCs w:val="24"/>
                <w:highlight w:val="none"/>
                <w:lang w:eastAsia="zh-CN"/>
              </w:rPr>
              <w:t>经理</w:t>
            </w:r>
            <w:r>
              <w:rPr>
                <w:color w:val="auto"/>
                <w:sz w:val="24"/>
                <w:szCs w:val="24"/>
                <w:highlight w:val="none"/>
              </w:rPr>
              <w:t>和施工负责人发生更换的，以现任项目</w:t>
            </w:r>
            <w:r>
              <w:rPr>
                <w:rFonts w:hint="eastAsia"/>
                <w:color w:val="auto"/>
                <w:sz w:val="24"/>
                <w:szCs w:val="24"/>
                <w:highlight w:val="none"/>
                <w:lang w:eastAsia="zh-CN"/>
              </w:rPr>
              <w:t>经理</w:t>
            </w:r>
            <w:r>
              <w:rPr>
                <w:color w:val="auto"/>
                <w:sz w:val="24"/>
                <w:szCs w:val="24"/>
                <w:highlight w:val="none"/>
              </w:rPr>
              <w:t>和施工负责人视为有</w:t>
            </w:r>
            <w:r>
              <w:rPr>
                <w:rFonts w:hint="eastAsia"/>
                <w:color w:val="auto"/>
                <w:sz w:val="24"/>
                <w:szCs w:val="24"/>
                <w:highlight w:val="none"/>
                <w:lang w:eastAsia="zh-CN"/>
              </w:rPr>
              <w:t>“</w:t>
            </w:r>
            <w:r>
              <w:rPr>
                <w:color w:val="auto"/>
                <w:sz w:val="24"/>
                <w:szCs w:val="24"/>
                <w:highlight w:val="none"/>
              </w:rPr>
              <w:t>在建合同工程</w:t>
            </w:r>
            <w:r>
              <w:rPr>
                <w:rFonts w:hint="eastAsia"/>
                <w:color w:val="auto"/>
                <w:sz w:val="24"/>
                <w:szCs w:val="24"/>
                <w:highlight w:val="none"/>
                <w:lang w:eastAsia="zh-CN"/>
              </w:rPr>
              <w:t>”</w:t>
            </w:r>
            <w:r>
              <w:rPr>
                <w:color w:val="auto"/>
                <w:sz w:val="24"/>
                <w:szCs w:val="24"/>
                <w:highlight w:val="none"/>
              </w:rPr>
              <w:t>。</w:t>
            </w:r>
          </w:p>
          <w:p w14:paraId="06CFC17C">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hint="eastAsia" w:eastAsia="宋体"/>
                <w:color w:val="auto"/>
                <w:sz w:val="24"/>
                <w:szCs w:val="24"/>
                <w:highlight w:val="none"/>
                <w:lang w:eastAsia="zh-CN"/>
              </w:rPr>
            </w:pPr>
            <w:r>
              <w:rPr>
                <w:color w:val="auto"/>
                <w:sz w:val="24"/>
                <w:szCs w:val="24"/>
                <w:highlight w:val="none"/>
              </w:rPr>
              <w:t>2.在建项目的项目</w:t>
            </w:r>
            <w:r>
              <w:rPr>
                <w:rFonts w:hint="eastAsia"/>
                <w:color w:val="auto"/>
                <w:sz w:val="24"/>
                <w:szCs w:val="24"/>
                <w:highlight w:val="none"/>
                <w:lang w:eastAsia="zh-CN"/>
              </w:rPr>
              <w:t>经理</w:t>
            </w:r>
            <w:r>
              <w:rPr>
                <w:color w:val="auto"/>
                <w:sz w:val="24"/>
                <w:szCs w:val="24"/>
                <w:highlight w:val="none"/>
              </w:rPr>
              <w:t>和施工负责人办理更换后，投标时需提供项目业主同意更换的证明</w:t>
            </w:r>
            <w:r>
              <w:rPr>
                <w:rFonts w:hint="eastAsia"/>
                <w:color w:val="auto"/>
                <w:sz w:val="24"/>
                <w:szCs w:val="24"/>
                <w:highlight w:val="none"/>
                <w:lang w:eastAsia="zh-CN"/>
              </w:rPr>
              <w:t>。</w:t>
            </w:r>
          </w:p>
        </w:tc>
      </w:tr>
      <w:tr w14:paraId="29173D92">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0BA64B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5D31E6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auto"/>
                <w:sz w:val="24"/>
                <w:szCs w:val="24"/>
                <w:lang w:eastAsia="zh-CN"/>
              </w:rPr>
            </w:pPr>
            <w:r>
              <w:rPr>
                <w:rFonts w:hint="eastAsia"/>
                <w:color w:val="auto"/>
                <w:sz w:val="24"/>
                <w:szCs w:val="24"/>
                <w:lang w:eastAsia="zh-CN"/>
              </w:rPr>
              <w:t>投标文件的澄清、说明</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59AE9D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1.澄清回复时间不得超过在发出通知后</w:t>
            </w:r>
            <w:r>
              <w:rPr>
                <w:color w:val="auto"/>
                <w:sz w:val="24"/>
                <w:szCs w:val="24"/>
                <w:highlight w:val="none"/>
                <w:u w:val="single"/>
              </w:rPr>
              <w:t xml:space="preserve"> </w:t>
            </w:r>
            <w:r>
              <w:rPr>
                <w:rFonts w:hint="eastAsia"/>
                <w:color w:val="auto"/>
                <w:sz w:val="24"/>
                <w:szCs w:val="24"/>
                <w:highlight w:val="none"/>
                <w:u w:val="single"/>
                <w:lang w:val="en-US" w:eastAsia="zh-CN"/>
              </w:rPr>
              <w:t xml:space="preserve">60 </w:t>
            </w:r>
            <w:r>
              <w:rPr>
                <w:color w:val="auto"/>
                <w:sz w:val="24"/>
                <w:szCs w:val="24"/>
                <w:highlight w:val="none"/>
              </w:rPr>
              <w:t>分钟。</w:t>
            </w:r>
          </w:p>
          <w:p w14:paraId="016BC90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2.评标委员会对投标人提交的澄清、说明有疑问的，可以要求投标人进一步澄清、说明，直至满足评标委员会的要求。</w:t>
            </w:r>
          </w:p>
        </w:tc>
      </w:tr>
      <w:tr w14:paraId="59CD908C">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800962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10.5</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C1F9D3C">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质量保证金</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6080CF3E">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eastAsia" w:ascii="宋体" w:hAnsi="宋体" w:cs="宋体"/>
                <w:color w:val="auto"/>
                <w:sz w:val="24"/>
                <w:szCs w:val="24"/>
                <w:u w:val="single"/>
                <w:lang w:val="en-US" w:eastAsia="zh-CN"/>
              </w:rPr>
            </w:pPr>
            <w:r>
              <w:rPr>
                <w:rFonts w:hint="eastAsia" w:cs="Times New Roman"/>
                <w:b w:val="0"/>
                <w:bCs w:val="0"/>
                <w:color w:val="auto"/>
                <w:sz w:val="24"/>
                <w:szCs w:val="24"/>
                <w:highlight w:val="none"/>
                <w:lang w:eastAsia="zh-CN"/>
              </w:rPr>
              <w:t>□</w:t>
            </w:r>
            <w:r>
              <w:rPr>
                <w:rFonts w:hint="eastAsia" w:ascii="宋体" w:hAnsi="宋体" w:cs="宋体"/>
                <w:color w:val="auto"/>
                <w:sz w:val="24"/>
                <w:szCs w:val="24"/>
                <w:u w:val="none"/>
                <w:lang w:val="en-US" w:eastAsia="zh-CN"/>
              </w:rPr>
              <w:t>从应付的工程款中预留质量保证金，比例为工程价款结算总额的</w:t>
            </w:r>
            <w:r>
              <w:rPr>
                <w:rFonts w:hint="eastAsia" w:ascii="宋体" w:hAnsi="宋体" w:cs="宋体"/>
                <w:color w:val="auto"/>
                <w:sz w:val="24"/>
                <w:szCs w:val="24"/>
                <w:u w:val="single"/>
                <w:lang w:val="en-US" w:eastAsia="zh-CN"/>
              </w:rPr>
              <w:t xml:space="preserve"> （</w:t>
            </w:r>
            <w:r>
              <w:rPr>
                <w:rFonts w:hint="eastAsia" w:ascii="宋体" w:hAnsi="宋体" w:cs="宋体"/>
                <w:i/>
                <w:iCs/>
                <w:color w:val="auto"/>
                <w:sz w:val="24"/>
                <w:szCs w:val="24"/>
                <w:u w:val="single"/>
                <w:lang w:val="en-US" w:eastAsia="zh-CN"/>
              </w:rPr>
              <w:t>不得高于工程价款结算总额的3%）</w:t>
            </w:r>
            <w:r>
              <w:rPr>
                <w:rFonts w:hint="eastAsia" w:ascii="宋体" w:hAnsi="宋体" w:cs="宋体"/>
                <w:color w:val="auto"/>
                <w:sz w:val="24"/>
                <w:szCs w:val="24"/>
                <w:u w:val="none"/>
                <w:lang w:val="en-US" w:eastAsia="zh-CN"/>
              </w:rPr>
              <w:t>%；返还方式为：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w:t>
            </w:r>
          </w:p>
          <w:p w14:paraId="6066CBBC">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eastAsia" w:ascii="宋体" w:hAnsi="宋体" w:cs="宋体"/>
                <w:color w:val="auto"/>
                <w:sz w:val="24"/>
                <w:szCs w:val="24"/>
                <w:u w:val="none"/>
                <w:lang w:val="en-US" w:eastAsia="zh-CN"/>
              </w:rPr>
            </w:pPr>
            <w:r>
              <w:rPr>
                <w:rFonts w:hint="eastAsia" w:cs="Times New Roman"/>
                <w:b w:val="0"/>
                <w:bCs w:val="0"/>
                <w:color w:val="auto"/>
                <w:sz w:val="24"/>
                <w:szCs w:val="24"/>
                <w:highlight w:val="none"/>
                <w:lang w:eastAsia="zh-CN"/>
              </w:rPr>
              <w:t>☑</w:t>
            </w:r>
            <w:r>
              <w:rPr>
                <w:rFonts w:hint="eastAsia" w:ascii="宋体" w:hAnsi="宋体" w:cs="宋体"/>
                <w:color w:val="auto"/>
                <w:sz w:val="24"/>
                <w:szCs w:val="24"/>
                <w:lang w:eastAsia="zh-CN"/>
              </w:rPr>
              <w:t>以银行保函形式替代预留工程质量保证金，比例为</w:t>
            </w:r>
            <w:r>
              <w:rPr>
                <w:rFonts w:hint="eastAsia" w:ascii="宋体" w:hAnsi="宋体" w:cs="宋体"/>
                <w:color w:val="auto"/>
                <w:sz w:val="24"/>
                <w:szCs w:val="24"/>
                <w:u w:val="none"/>
                <w:lang w:val="en-US" w:eastAsia="zh-CN"/>
              </w:rPr>
              <w:t>工程价款结算总额的</w:t>
            </w:r>
            <w:r>
              <w:rPr>
                <w:rFonts w:hint="eastAsia" w:ascii="宋体" w:hAnsi="宋体" w:cs="宋体"/>
                <w:color w:val="auto"/>
                <w:sz w:val="24"/>
                <w:szCs w:val="24"/>
                <w:u w:val="single"/>
                <w:lang w:val="en-US" w:eastAsia="zh-CN"/>
              </w:rPr>
              <w:t xml:space="preserve"> 3 </w:t>
            </w:r>
            <w:r>
              <w:rPr>
                <w:rFonts w:hint="eastAsia" w:ascii="宋体" w:hAnsi="宋体" w:cs="宋体"/>
                <w:color w:val="auto"/>
                <w:sz w:val="24"/>
                <w:szCs w:val="24"/>
                <w:u w:val="none"/>
                <w:lang w:val="en-US" w:eastAsia="zh-CN"/>
              </w:rPr>
              <w:t>%</w:t>
            </w:r>
          </w:p>
          <w:p w14:paraId="739E7A55">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default" w:ascii="宋体" w:hAnsi="宋体" w:cs="宋体"/>
                <w:color w:val="auto"/>
                <w:sz w:val="24"/>
                <w:szCs w:val="24"/>
                <w:u w:val="single"/>
                <w:lang w:val="en-US" w:eastAsia="zh-CN"/>
              </w:rPr>
            </w:pPr>
            <w:r>
              <w:rPr>
                <w:rFonts w:hint="eastAsia" w:cs="Times New Roman"/>
                <w:b w:val="0"/>
                <w:bCs w:val="0"/>
                <w:color w:val="auto"/>
                <w:sz w:val="24"/>
                <w:szCs w:val="24"/>
                <w:highlight w:val="none"/>
                <w:lang w:eastAsia="zh-CN"/>
              </w:rPr>
              <w:t>□</w:t>
            </w:r>
            <w:r>
              <w:rPr>
                <w:rFonts w:hint="eastAsia" w:ascii="宋体" w:hAnsi="宋体" w:cs="宋体"/>
                <w:color w:val="auto"/>
                <w:sz w:val="24"/>
                <w:szCs w:val="24"/>
                <w:lang w:eastAsia="zh-CN"/>
              </w:rPr>
              <w:t>其他：</w:t>
            </w:r>
            <w:r>
              <w:rPr>
                <w:rFonts w:hint="eastAsia" w:ascii="宋体" w:hAnsi="宋体" w:cs="宋体"/>
                <w:color w:val="auto"/>
                <w:sz w:val="24"/>
                <w:szCs w:val="24"/>
                <w:u w:val="single"/>
                <w:lang w:val="en-US" w:eastAsia="zh-CN"/>
              </w:rPr>
              <w:t xml:space="preserve"> / </w:t>
            </w:r>
          </w:p>
        </w:tc>
      </w:tr>
      <w:tr w14:paraId="4C18B0B4">
        <w:tblPrEx>
          <w:tblCellMar>
            <w:top w:w="0" w:type="dxa"/>
            <w:left w:w="108" w:type="dxa"/>
            <w:bottom w:w="0" w:type="dxa"/>
            <w:right w:w="108" w:type="dxa"/>
          </w:tblCellMar>
        </w:tblPrEx>
        <w:trPr>
          <w:trHeight w:val="343"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8C298A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10.6</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987FF4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暂估价</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C09499E">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eastAsia" w:ascii="宋体" w:hAnsi="宋体" w:cs="宋体"/>
                <w:color w:val="auto"/>
                <w:sz w:val="24"/>
                <w:szCs w:val="24"/>
                <w:u w:val="single"/>
                <w:lang w:val="en-US" w:eastAsia="zh-CN"/>
              </w:rPr>
            </w:pPr>
            <w:r>
              <w:rPr>
                <w:rFonts w:hint="eastAsia" w:cs="Times New Roman"/>
                <w:color w:val="auto"/>
                <w:sz w:val="24"/>
                <w:szCs w:val="24"/>
                <w:highlight w:val="none"/>
                <w:lang w:val="en-US" w:eastAsia="zh-CN"/>
              </w:rPr>
              <w:t>1.</w:t>
            </w:r>
            <w:r>
              <w:rPr>
                <w:rFonts w:hint="eastAsia" w:ascii="宋体" w:hAnsi="宋体" w:cs="宋体"/>
                <w:color w:val="auto"/>
                <w:sz w:val="24"/>
                <w:szCs w:val="24"/>
                <w:u w:val="none"/>
                <w:lang w:val="en-US" w:eastAsia="zh-CN"/>
              </w:rPr>
              <w:t>内容：</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val="en-US" w:eastAsia="zh-CN"/>
              </w:rPr>
              <w:t>。</w:t>
            </w:r>
          </w:p>
          <w:p w14:paraId="7F8394DD">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default" w:ascii="宋体" w:hAnsi="宋体" w:cs="宋体"/>
                <w:color w:val="auto"/>
                <w:sz w:val="24"/>
                <w:szCs w:val="24"/>
                <w:u w:val="none"/>
                <w:lang w:val="en-US" w:eastAsia="zh-CN"/>
              </w:rPr>
            </w:pPr>
            <w:r>
              <w:rPr>
                <w:rFonts w:hint="eastAsia" w:cs="Times New Roman"/>
                <w:color w:val="auto"/>
                <w:sz w:val="24"/>
                <w:szCs w:val="24"/>
                <w:highlight w:val="none"/>
                <w:lang w:val="en-US" w:eastAsia="zh-CN"/>
              </w:rPr>
              <w:t>2.</w:t>
            </w:r>
            <w:r>
              <w:rPr>
                <w:rFonts w:hint="eastAsia" w:ascii="宋体" w:hAnsi="宋体" w:cs="宋体"/>
                <w:color w:val="auto"/>
                <w:sz w:val="24"/>
                <w:szCs w:val="24"/>
                <w:u w:val="none"/>
                <w:lang w:val="en-US" w:eastAsia="zh-CN"/>
              </w:rPr>
              <w:t>金额：</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val="en-US" w:eastAsia="zh-CN"/>
              </w:rPr>
              <w:t>。</w:t>
            </w:r>
          </w:p>
          <w:p w14:paraId="137C821A">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default" w:ascii="宋体" w:hAnsi="宋体" w:cs="宋体"/>
                <w:color w:val="auto"/>
                <w:sz w:val="24"/>
                <w:szCs w:val="24"/>
                <w:u w:val="none"/>
                <w:lang w:val="en-US" w:eastAsia="zh-CN"/>
              </w:rPr>
            </w:pPr>
            <w:r>
              <w:rPr>
                <w:rFonts w:hint="eastAsia" w:cs="Times New Roman"/>
                <w:color w:val="auto"/>
                <w:sz w:val="24"/>
                <w:szCs w:val="24"/>
                <w:highlight w:val="none"/>
                <w:lang w:val="en-US" w:eastAsia="zh-CN"/>
              </w:rPr>
              <w:t>3.</w:t>
            </w:r>
            <w:r>
              <w:rPr>
                <w:rFonts w:hint="eastAsia" w:ascii="宋体" w:hAnsi="宋体" w:cs="宋体"/>
                <w:color w:val="auto"/>
                <w:sz w:val="24"/>
                <w:szCs w:val="24"/>
                <w:u w:val="none"/>
                <w:lang w:val="en-US" w:eastAsia="zh-CN"/>
              </w:rPr>
              <w:t>占最高投标限价比例：</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val="en-US" w:eastAsia="zh-CN"/>
              </w:rPr>
              <w:t>。</w:t>
            </w:r>
          </w:p>
          <w:p w14:paraId="2D54686E">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default" w:ascii="宋体" w:hAnsi="宋体" w:cs="宋体"/>
                <w:color w:val="auto"/>
                <w:sz w:val="24"/>
                <w:szCs w:val="24"/>
                <w:u w:val="none"/>
                <w:lang w:val="en-US" w:eastAsia="zh-CN"/>
              </w:rPr>
            </w:pPr>
            <w:r>
              <w:rPr>
                <w:rFonts w:hint="eastAsia" w:cs="Times New Roman"/>
                <w:color w:val="auto"/>
                <w:sz w:val="24"/>
                <w:szCs w:val="24"/>
                <w:highlight w:val="none"/>
                <w:lang w:val="en-US" w:eastAsia="zh-CN"/>
              </w:rPr>
              <w:t>4.</w:t>
            </w:r>
            <w:r>
              <w:rPr>
                <w:rFonts w:hint="eastAsia" w:ascii="宋体" w:hAnsi="宋体" w:cs="宋体"/>
                <w:color w:val="auto"/>
                <w:sz w:val="24"/>
                <w:szCs w:val="24"/>
                <w:u w:val="none"/>
                <w:lang w:val="en-US" w:eastAsia="zh-CN"/>
              </w:rPr>
              <w:t>招标计划和内容：</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val="en-US" w:eastAsia="zh-CN"/>
              </w:rPr>
              <w:t>。</w:t>
            </w:r>
          </w:p>
        </w:tc>
      </w:tr>
      <w:tr w14:paraId="1354AF44">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D90C07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10.7</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C203D62">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危大工程</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F2A1E1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根据《河北省房屋建筑和市政基础设施工程危险性较大的分部分项工程安全管理实施细则》的要求，达到危大工程范围的项目，建设单位应当组织勘察、设计等单位在施工招标文件中列出危大工程清单。建设单位在招标文件中列出危大工程清单的，施工单位在投标时要有明确相应的安全管理措施，否则其投标将被否决。</w:t>
            </w:r>
          </w:p>
        </w:tc>
      </w:tr>
      <w:tr w14:paraId="4C6C8E47">
        <w:tblPrEx>
          <w:tblCellMar>
            <w:top w:w="0" w:type="dxa"/>
            <w:left w:w="108" w:type="dxa"/>
            <w:bottom w:w="0" w:type="dxa"/>
            <w:right w:w="108" w:type="dxa"/>
          </w:tblCellMar>
        </w:tblPrEx>
        <w:trPr>
          <w:trHeight w:val="562"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33518D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10.8</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6847465">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BIM技术应用</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956848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ascii="宋体" w:hAnsi="宋体" w:eastAsia="宋体" w:cs="宋体"/>
                <w:color w:val="auto"/>
                <w:sz w:val="24"/>
                <w:szCs w:val="24"/>
                <w:u w:val="none"/>
                <w:lang w:val="en-US" w:eastAsia="zh-CN"/>
              </w:rPr>
            </w:pPr>
            <w:r>
              <w:rPr>
                <w:rFonts w:hint="eastAsia" w:cs="Times New Roman"/>
                <w:b w:val="0"/>
                <w:bCs w:val="0"/>
                <w:color w:val="auto"/>
                <w:sz w:val="24"/>
                <w:szCs w:val="24"/>
                <w:highlight w:val="none"/>
                <w:lang w:eastAsia="zh-CN"/>
              </w:rPr>
              <w:t>☑项目实施过程中采用</w:t>
            </w:r>
            <w:r>
              <w:rPr>
                <w:rFonts w:hint="eastAsia" w:cs="Times New Roman"/>
                <w:b w:val="0"/>
                <w:bCs w:val="0"/>
                <w:color w:val="auto"/>
                <w:sz w:val="24"/>
                <w:szCs w:val="24"/>
                <w:highlight w:val="none"/>
                <w:lang w:val="en-US" w:eastAsia="zh-CN"/>
              </w:rPr>
              <w:t>BIM技术</w:t>
            </w:r>
          </w:p>
        </w:tc>
      </w:tr>
      <w:tr w14:paraId="35C7FF1A">
        <w:tblPrEx>
          <w:tblCellMar>
            <w:top w:w="0" w:type="dxa"/>
            <w:left w:w="108" w:type="dxa"/>
            <w:bottom w:w="0" w:type="dxa"/>
            <w:right w:w="108" w:type="dxa"/>
          </w:tblCellMar>
        </w:tblPrEx>
        <w:trPr>
          <w:trHeight w:val="521"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6A274C58">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10.9</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1AC3E3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技术标编制要求</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DED4D0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cs="Times New Roman"/>
                <w:b w:val="0"/>
                <w:bCs w:val="0"/>
                <w:color w:val="auto"/>
                <w:sz w:val="24"/>
                <w:szCs w:val="24"/>
                <w:highlight w:val="none"/>
              </w:rPr>
            </w:pPr>
            <w:r>
              <w:rPr>
                <w:rFonts w:hint="default" w:cs="Times New Roman"/>
                <w:b w:val="0"/>
                <w:bCs w:val="0"/>
                <w:color w:val="auto"/>
                <w:sz w:val="24"/>
                <w:szCs w:val="24"/>
                <w:highlight w:val="none"/>
              </w:rPr>
              <w:t>建筑信息模型</w:t>
            </w:r>
            <w:r>
              <w:rPr>
                <w:rFonts w:hint="eastAsia" w:cs="Times New Roman"/>
                <w:b w:val="0"/>
                <w:bCs w:val="0"/>
                <w:color w:val="auto"/>
                <w:sz w:val="24"/>
                <w:szCs w:val="24"/>
                <w:highlight w:val="none"/>
              </w:rPr>
              <w:t>：</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rPr>
              <w:t>技术方案包括BIM</w:t>
            </w:r>
            <w:r>
              <w:rPr>
                <w:rFonts w:hint="eastAsia" w:cs="Times New Roman"/>
                <w:b w:val="0"/>
                <w:bCs w:val="0"/>
                <w:color w:val="auto"/>
                <w:sz w:val="24"/>
                <w:szCs w:val="24"/>
                <w:highlight w:val="none"/>
                <w:lang w:val="en-US" w:eastAsia="zh-CN"/>
              </w:rPr>
              <w:t>工作方案</w:t>
            </w:r>
            <w:r>
              <w:rPr>
                <w:rFonts w:hint="eastAsia" w:cs="Times New Roman"/>
                <w:b w:val="0"/>
                <w:bCs w:val="0"/>
                <w:color w:val="auto"/>
                <w:sz w:val="24"/>
                <w:szCs w:val="24"/>
                <w:highlight w:val="none"/>
              </w:rPr>
              <w:t>；</w:t>
            </w:r>
          </w:p>
          <w:p w14:paraId="4F6BCBF8">
            <w:pPr>
              <w:keepNext w:val="0"/>
              <w:keepLines w:val="0"/>
              <w:pageBreakBefore w:val="0"/>
              <w:widowControl w:val="0"/>
              <w:kinsoku/>
              <w:wordWrap w:val="0"/>
              <w:overflowPunct/>
              <w:bidi w:val="0"/>
              <w:adjustRightInd/>
              <w:snapToGrid/>
              <w:spacing w:line="400" w:lineRule="exact"/>
              <w:ind w:left="0" w:leftChars="0" w:right="0" w:rightChars="0" w:firstLine="1680" w:firstLineChars="700"/>
              <w:textAlignment w:val="auto"/>
              <w:outlineLvl w:val="9"/>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rPr>
              <w:t>技术方案不包括BIM</w:t>
            </w:r>
            <w:r>
              <w:rPr>
                <w:rFonts w:hint="eastAsia" w:cs="Times New Roman"/>
                <w:b w:val="0"/>
                <w:bCs w:val="0"/>
                <w:color w:val="auto"/>
                <w:sz w:val="24"/>
                <w:szCs w:val="24"/>
                <w:highlight w:val="none"/>
                <w:lang w:val="en-US" w:eastAsia="zh-CN"/>
              </w:rPr>
              <w:t>工作方案</w:t>
            </w:r>
          </w:p>
          <w:p w14:paraId="3537B63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cs="Times New Roman"/>
                <w:b w:val="0"/>
                <w:bCs w:val="0"/>
                <w:color w:val="auto"/>
                <w:sz w:val="24"/>
                <w:szCs w:val="24"/>
                <w:highlight w:val="none"/>
              </w:rPr>
            </w:pP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技术标页数：不超过</w:t>
            </w:r>
            <w:r>
              <w:rPr>
                <w:rFonts w:hint="eastAsia" w:cs="Times New Roman"/>
                <w:b w:val="0"/>
                <w:bCs w:val="0"/>
                <w:i w:val="0"/>
                <w:iCs w:val="0"/>
                <w:color w:val="auto"/>
                <w:sz w:val="24"/>
                <w:szCs w:val="24"/>
                <w:highlight w:val="none"/>
                <w:u w:val="single"/>
                <w:lang w:val="en-US" w:eastAsia="zh-CN"/>
              </w:rPr>
              <w:t>150</w:t>
            </w:r>
            <w:r>
              <w:rPr>
                <w:rFonts w:hint="eastAsia" w:cs="Times New Roman"/>
                <w:b w:val="0"/>
                <w:bCs w:val="0"/>
                <w:color w:val="auto"/>
                <w:sz w:val="24"/>
                <w:szCs w:val="24"/>
                <w:highlight w:val="none"/>
                <w:lang w:val="en-US" w:eastAsia="zh-CN"/>
              </w:rPr>
              <w:t>页。</w:t>
            </w:r>
          </w:p>
        </w:tc>
      </w:tr>
      <w:tr w14:paraId="4C81530D">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291D73C">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10.10</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5FA4C98">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技术暗标编制说明</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FAA714D">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本项目投标文件技术文件部分采用暗标方式编制及评审，即投标人在编制投标文件技术文件时屏蔽投标人名称等信息，评标委员会依照招标文件的规定对投标文件进行评审。投标文件技术</w:t>
            </w:r>
            <w:r>
              <w:rPr>
                <w:rFonts w:hint="eastAsia" w:ascii="宋体" w:hAnsi="宋体" w:cs="宋体"/>
                <w:color w:val="auto"/>
                <w:sz w:val="24"/>
                <w:szCs w:val="24"/>
                <w:u w:val="none"/>
                <w:lang w:val="en-US" w:eastAsia="zh-CN"/>
              </w:rPr>
              <w:t>标</w:t>
            </w:r>
            <w:r>
              <w:rPr>
                <w:rFonts w:hint="eastAsia" w:ascii="宋体" w:hAnsi="宋体" w:eastAsia="宋体" w:cs="宋体"/>
                <w:color w:val="auto"/>
                <w:sz w:val="24"/>
                <w:szCs w:val="24"/>
                <w:u w:val="none"/>
                <w:lang w:val="en-US" w:eastAsia="zh-CN"/>
              </w:rPr>
              <w:t>暗标编制要求如下：</w:t>
            </w:r>
          </w:p>
          <w:p w14:paraId="183F435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ascii="宋体" w:hAnsi="宋体" w:eastAsia="宋体" w:cs="宋体"/>
                <w:strike w:val="0"/>
                <w:dstrike w:val="0"/>
                <w:color w:val="auto"/>
                <w:sz w:val="24"/>
                <w:szCs w:val="24"/>
                <w:u w:val="none"/>
                <w:lang w:val="en-US" w:eastAsia="zh-CN"/>
              </w:rPr>
            </w:pPr>
            <w:r>
              <w:rPr>
                <w:rFonts w:hint="eastAsia" w:cs="Times New Roman"/>
                <w:color w:val="auto"/>
                <w:sz w:val="24"/>
                <w:szCs w:val="24"/>
                <w:lang w:val="en-US" w:eastAsia="zh-CN"/>
              </w:rPr>
              <w:t>1.</w:t>
            </w:r>
            <w:r>
              <w:rPr>
                <w:rFonts w:hint="eastAsia" w:ascii="宋体" w:hAnsi="宋体" w:cs="宋体"/>
                <w:strike w:val="0"/>
                <w:dstrike w:val="0"/>
                <w:color w:val="auto"/>
                <w:sz w:val="24"/>
                <w:szCs w:val="24"/>
                <w:u w:val="none"/>
                <w:lang w:val="en-US" w:eastAsia="zh-CN"/>
              </w:rPr>
              <w:t>封面和目录要求：</w:t>
            </w:r>
            <w:r>
              <w:rPr>
                <w:rFonts w:hint="eastAsia" w:ascii="宋体" w:hAnsi="宋体" w:eastAsia="宋体" w:cs="宋体"/>
                <w:i w:val="0"/>
                <w:iCs w:val="0"/>
                <w:color w:val="auto"/>
                <w:sz w:val="24"/>
                <w:szCs w:val="24"/>
                <w:u w:val="none"/>
                <w:lang w:val="en-US" w:eastAsia="zh-CN"/>
              </w:rPr>
              <w:t>正式投标文件中，技术标（暗标）部分不做封面和目录</w:t>
            </w:r>
            <w:r>
              <w:rPr>
                <w:rFonts w:hint="eastAsia" w:ascii="宋体" w:hAnsi="宋体" w:cs="宋体"/>
                <w:i w:val="0"/>
                <w:iCs w:val="0"/>
                <w:color w:val="auto"/>
                <w:sz w:val="24"/>
                <w:szCs w:val="24"/>
                <w:u w:val="none"/>
                <w:lang w:val="en-US" w:eastAsia="zh-CN"/>
              </w:rPr>
              <w:t>。</w:t>
            </w:r>
          </w:p>
          <w:p w14:paraId="1209615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eastAsia="zh-CN"/>
              </w:rPr>
            </w:pPr>
            <w:r>
              <w:rPr>
                <w:rFonts w:hint="eastAsia" w:cs="Times New Roman"/>
                <w:color w:val="auto"/>
                <w:sz w:val="24"/>
                <w:szCs w:val="24"/>
                <w:lang w:val="en-US" w:eastAsia="zh-CN"/>
              </w:rPr>
              <w:t>2.</w:t>
            </w:r>
            <w:r>
              <w:rPr>
                <w:rFonts w:hint="eastAsia" w:ascii="宋体" w:hAnsi="宋体" w:eastAsia="宋体" w:cs="宋体"/>
                <w:color w:val="auto"/>
                <w:sz w:val="24"/>
                <w:szCs w:val="24"/>
                <w:u w:val="none"/>
                <w:lang w:val="en-US" w:eastAsia="zh-CN"/>
              </w:rPr>
              <w:t>版面要求：A4纸张大小。</w:t>
            </w:r>
          </w:p>
          <w:p w14:paraId="627DA40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eastAsia="zh-CN"/>
              </w:rPr>
            </w:pPr>
            <w:r>
              <w:rPr>
                <w:rFonts w:hint="eastAsia" w:cs="Times New Roman"/>
                <w:color w:val="auto"/>
                <w:sz w:val="24"/>
                <w:szCs w:val="24"/>
                <w:lang w:val="en-US" w:eastAsia="zh-CN"/>
              </w:rPr>
              <w:t>3.</w:t>
            </w:r>
            <w:r>
              <w:rPr>
                <w:rFonts w:hint="eastAsia" w:ascii="宋体" w:hAnsi="宋体" w:eastAsia="宋体" w:cs="宋体"/>
                <w:color w:val="auto"/>
                <w:sz w:val="24"/>
                <w:szCs w:val="24"/>
                <w:u w:val="none"/>
                <w:lang w:val="en-US" w:eastAsia="zh-CN"/>
              </w:rPr>
              <w:t>颜色要求：所有文字、图表均为黑色。</w:t>
            </w:r>
          </w:p>
          <w:p w14:paraId="35555EA0">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eastAsia="zh-CN"/>
              </w:rPr>
            </w:pPr>
            <w:r>
              <w:rPr>
                <w:rFonts w:hint="eastAsia" w:cs="Times New Roman"/>
                <w:color w:val="auto"/>
                <w:sz w:val="24"/>
                <w:szCs w:val="24"/>
                <w:lang w:val="en-US" w:eastAsia="zh-CN"/>
              </w:rPr>
              <w:t>4.</w:t>
            </w:r>
            <w:r>
              <w:rPr>
                <w:rFonts w:hint="eastAsia" w:ascii="宋体" w:hAnsi="宋体" w:eastAsia="宋体" w:cs="宋体"/>
                <w:color w:val="auto"/>
                <w:sz w:val="24"/>
                <w:szCs w:val="24"/>
                <w:u w:val="none"/>
                <w:lang w:val="en-US" w:eastAsia="zh-CN"/>
              </w:rPr>
              <w:t>字体要求：标题及正文部分所用文字均采用“宋体”四号“常规”字；图、表内的字体及字号不作要求；全部使用中文标点；所有字体均不得出现加粗、加色、倾斜、下划线等标记。</w:t>
            </w:r>
          </w:p>
          <w:p w14:paraId="5292699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cs="Times New Roman"/>
                <w:color w:val="auto"/>
                <w:sz w:val="24"/>
                <w:szCs w:val="24"/>
                <w:lang w:val="en-US" w:eastAsia="zh-CN"/>
              </w:rPr>
              <w:t>5.</w:t>
            </w:r>
            <w:r>
              <w:rPr>
                <w:rFonts w:hint="eastAsia" w:ascii="宋体" w:hAnsi="宋体" w:eastAsia="宋体" w:cs="宋体"/>
                <w:color w:val="auto"/>
                <w:sz w:val="24"/>
                <w:szCs w:val="24"/>
                <w:u w:val="none"/>
                <w:lang w:val="en-US" w:eastAsia="zh-CN"/>
              </w:rPr>
              <w:t>排版要求：页边距要求上边距2.5厘米，其余均为2厘米；不得设置目录；正文行间距为固定值30磅；文字内容（含正文标题、正文及表格标题）统一设为左对齐；首行缩进2字符，不得有空格；段落前后不设置空行；不得设置页眉、页脚和页码。</w:t>
            </w:r>
          </w:p>
          <w:p w14:paraId="3BFF141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cs="Times New Roman"/>
                <w:color w:val="auto"/>
                <w:sz w:val="24"/>
                <w:szCs w:val="24"/>
                <w:lang w:val="en-US" w:eastAsia="zh-CN"/>
              </w:rPr>
              <w:t>6.</w:t>
            </w:r>
            <w:r>
              <w:rPr>
                <w:rFonts w:hint="eastAsia" w:ascii="宋体" w:hAnsi="宋体" w:eastAsia="宋体" w:cs="宋体"/>
                <w:color w:val="auto"/>
                <w:sz w:val="24"/>
                <w:szCs w:val="24"/>
                <w:u w:val="none"/>
                <w:lang w:val="en-US" w:eastAsia="zh-CN"/>
              </w:rPr>
              <w:t>其它：除满足上述各项要求外，投标文件暗标部分均不得出现投标人的名称和其它可识别投标人身份的字符、徽标、人员名称以及其他可能被辨别出投标人身份的任何标记。</w:t>
            </w:r>
          </w:p>
          <w:p w14:paraId="1B8EB5D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7.无论投标人投标函（投标函附录）中填写的工期是多少日历天，投标人技术文件暗标中的工期必须按招标文件给定的工期编制施工总进度计划。如中标，按投标人投标函（投标函附录）中填写的工期执行。</w:t>
            </w:r>
          </w:p>
          <w:p w14:paraId="09BCEF5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8.页数要求见投标人须知前附表10.9。</w:t>
            </w:r>
          </w:p>
          <w:p w14:paraId="7D0229B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不符合上述实质性要求的，投标文件作否决投标处理</w:t>
            </w:r>
            <w:r>
              <w:rPr>
                <w:rFonts w:hint="eastAsia" w:ascii="宋体" w:hAnsi="宋体" w:cs="宋体"/>
                <w:color w:val="auto"/>
                <w:sz w:val="24"/>
                <w:szCs w:val="24"/>
                <w:u w:val="none"/>
                <w:lang w:val="en-US" w:eastAsia="zh-CN"/>
              </w:rPr>
              <w:t>。</w:t>
            </w:r>
          </w:p>
        </w:tc>
      </w:tr>
      <w:tr w14:paraId="3BA584B1">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689553E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highlight w:val="none"/>
                <w:lang w:val="en-US" w:eastAsia="zh-CN"/>
              </w:rPr>
            </w:pPr>
            <w:r>
              <w:rPr>
                <w:rFonts w:hint="eastAsia"/>
                <w:color w:val="auto"/>
                <w:sz w:val="24"/>
                <w:szCs w:val="24"/>
                <w:highlight w:val="none"/>
                <w:lang w:val="en-US" w:eastAsia="zh-CN"/>
              </w:rPr>
              <w:t>10.11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A8B7D9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国标黑体" w:hAnsi="国标黑体" w:eastAsia="国标黑体" w:cs="国标黑体"/>
                <w:color w:val="auto"/>
                <w:sz w:val="24"/>
                <w:szCs w:val="24"/>
                <w:highlight w:val="none"/>
                <w:lang w:eastAsia="zh-CN"/>
              </w:rPr>
            </w:pPr>
            <w:r>
              <w:rPr>
                <w:rFonts w:hint="eastAsia" w:ascii="宋体" w:hAnsi="宋体" w:eastAsia="宋体" w:cs="宋体"/>
                <w:color w:val="auto"/>
                <w:sz w:val="24"/>
                <w:szCs w:val="24"/>
                <w:highlight w:val="none"/>
                <w:lang w:eastAsia="zh-CN"/>
              </w:rPr>
              <w:t>开标解密失败的补救措施</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34A864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1.当出现交易平台认定的以下情况时，应对未开标的中止电子开标，并在恢复正常后及时排时间开标：</w:t>
            </w:r>
          </w:p>
          <w:p w14:paraId="51CA2F0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(1)系统服务器发生故障，无法访问或无法使用系统；</w:t>
            </w:r>
          </w:p>
          <w:p w14:paraId="0028A32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(2)系统的软件或数据库出现错误，不能进行正常操作；</w:t>
            </w:r>
          </w:p>
          <w:p w14:paraId="46F74A3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(3)系统发现有安全漏洞，有潜在的泄密危险；</w:t>
            </w:r>
          </w:p>
          <w:p w14:paraId="331DDA6D">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(4)出现断电事故且短时间内无法恢复供电的；</w:t>
            </w:r>
          </w:p>
          <w:p w14:paraId="3EA4226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(5)其他无法保证招投标过程正常进行的情形。</w:t>
            </w:r>
          </w:p>
          <w:p w14:paraId="59C10987">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2.采取补救措施时，必须对原有资料及信息作出妥善保密处理。</w:t>
            </w:r>
          </w:p>
        </w:tc>
      </w:tr>
      <w:tr w14:paraId="4C95FD30">
        <w:tblPrEx>
          <w:tblCellMar>
            <w:top w:w="0" w:type="dxa"/>
            <w:left w:w="108" w:type="dxa"/>
            <w:bottom w:w="0" w:type="dxa"/>
            <w:right w:w="108" w:type="dxa"/>
          </w:tblCellMar>
        </w:tblPrEx>
        <w:trPr>
          <w:trHeight w:val="9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6F016E0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10.12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70928B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auto"/>
                <w:sz w:val="24"/>
                <w:szCs w:val="24"/>
                <w:lang w:eastAsia="zh-CN"/>
              </w:rPr>
            </w:pPr>
            <w:r>
              <w:rPr>
                <w:rFonts w:hint="eastAsia"/>
                <w:color w:val="auto"/>
                <w:sz w:val="24"/>
                <w:szCs w:val="24"/>
                <w:lang w:eastAsia="zh-CN"/>
              </w:rPr>
              <w:t>特殊说明</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93A262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1.投标人投标函与投标函附录不一致的，以投标人投标函为准。</w:t>
            </w:r>
          </w:p>
          <w:p w14:paraId="5E18054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评标委员会评标中发现投标人有下列情形之一的，且经询问投标人无令人信服的理由和可靠证据证明其合理性的，经半数以上成员确认，其投标文件按否决投标处理，不再对其进行评审，也不影响招标工程继续评标。</w:t>
            </w:r>
          </w:p>
          <w:p w14:paraId="4E3921B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（1）不同投标人的投标文件由同一单位或者个人编制；</w:t>
            </w:r>
          </w:p>
          <w:p w14:paraId="2E8512C2">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（2）不同投标人的投标文件的文件制作机器码或文件创建标识码相同；</w:t>
            </w:r>
          </w:p>
          <w:p w14:paraId="5EBD290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（3）不同投标人委托同一单位或者个人办理投标事宜；</w:t>
            </w:r>
          </w:p>
          <w:p w14:paraId="5D95A09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（4）不同投标人从同一投标单位或者同一自然人的IP地址下载招标文件、上传投标文件、购买电子保函或参加投标的人员为同一招标工程其他投标人的在职人员；</w:t>
            </w:r>
          </w:p>
          <w:p w14:paraId="2D63A33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（5）不同投标人的投标文件载明的项目管理成员为同一人；</w:t>
            </w:r>
          </w:p>
          <w:p w14:paraId="362CCBE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（6）不同投标人的投标文件异常一致或者投标报价呈规律性差异；</w:t>
            </w:r>
          </w:p>
          <w:p w14:paraId="1DC04EAE">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（7）不同投标人的投标文件相互混装；</w:t>
            </w:r>
          </w:p>
          <w:p w14:paraId="29D31DC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（8）不同投标人的投标保证金从同一单位或个人的账户转出或者通过同一单位或个人的账户购买电子保函；</w:t>
            </w:r>
          </w:p>
          <w:p w14:paraId="65E8618C">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（9）投标人之间协商投标报价等投标文件实质性内容；</w:t>
            </w:r>
          </w:p>
          <w:p w14:paraId="1554B48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（10）投标人之间约定中标人；</w:t>
            </w:r>
          </w:p>
          <w:p w14:paraId="6059564A">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（11）投标人之间约定部分投标人放弃投标或者中标；</w:t>
            </w:r>
          </w:p>
          <w:p w14:paraId="3C7E6A61">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（12）属于同一集团、协会、商会等组织成员的投标人按照该组织要求协同投标；</w:t>
            </w:r>
          </w:p>
          <w:p w14:paraId="37DC499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（13）投标人之间为谋取中标或者排斥特定投标人而采取的其他联合行动。</w:t>
            </w:r>
          </w:p>
          <w:p w14:paraId="7331897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3.其他：</w:t>
            </w:r>
            <w:r>
              <w:rPr>
                <w:rFonts w:hint="eastAsia" w:ascii="宋体" w:hAnsi="宋体" w:cs="宋体"/>
                <w:color w:val="auto"/>
                <w:sz w:val="24"/>
                <w:szCs w:val="24"/>
                <w:highlight w:val="none"/>
                <w:u w:val="single"/>
                <w:lang w:val="en-US" w:eastAsia="zh-CN"/>
              </w:rPr>
              <w:t>招标人将已经完成并审批通过的全部成果资料（包括项目建议书、可行性研究报告、初步设计文件）随招标文件一并公开发布的，上述成果资料的编制单位和评估单位可以参与该工程总承包项目的投标。工程总承包单位应当配合建设单位按照国家和本省相关规定申请领取施工许可证。建设单位组织的工程竣工验收中总承包范围内涉及设计、施工等由工程总承包单位全面负责。采用联合体形式的，联合体各方均应参与竣工验收</w:t>
            </w:r>
            <w:r>
              <w:rPr>
                <w:rFonts w:hint="eastAsia" w:ascii="宋体" w:hAnsi="宋体" w:eastAsia="宋体" w:cs="宋体"/>
                <w:color w:val="auto"/>
                <w:sz w:val="24"/>
                <w:szCs w:val="24"/>
                <w:u w:val="none"/>
                <w:lang w:val="en-US" w:eastAsia="zh-CN"/>
              </w:rPr>
              <w:t>。</w:t>
            </w:r>
          </w:p>
        </w:tc>
      </w:tr>
      <w:tr w14:paraId="437F1AB5">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F73460A">
            <w:pPr>
              <w:keepNext w:val="0"/>
              <w:keepLines w:val="0"/>
              <w:pageBreakBefore w:val="0"/>
              <w:widowControl w:val="0"/>
              <w:kinsoku/>
              <w:wordWrap w:val="0"/>
              <w:overflowPunct/>
              <w:bidi w:val="0"/>
              <w:adjustRightInd/>
              <w:snapToGrid/>
              <w:spacing w:line="400" w:lineRule="exact"/>
              <w:ind w:left="0" w:leftChars="0" w:right="0" w:rightChars="0" w:firstLine="0" w:firstLineChars="0"/>
              <w:jc w:val="both"/>
              <w:textAlignment w:val="auto"/>
              <w:outlineLvl w:val="9"/>
              <w:rPr>
                <w:rFonts w:hint="default"/>
                <w:color w:val="auto"/>
                <w:sz w:val="24"/>
                <w:szCs w:val="24"/>
                <w:lang w:val="en-US" w:eastAsia="zh-CN"/>
              </w:rPr>
            </w:pPr>
            <w:r>
              <w:rPr>
                <w:rFonts w:hint="eastAsia"/>
                <w:color w:val="auto"/>
                <w:sz w:val="24"/>
                <w:szCs w:val="24"/>
                <w:lang w:val="en-US" w:eastAsia="zh-CN"/>
              </w:rPr>
              <w:t>10.13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0D1C4F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auto"/>
                <w:sz w:val="24"/>
                <w:szCs w:val="24"/>
                <w:lang w:eastAsia="zh-CN"/>
              </w:rPr>
            </w:pPr>
            <w:r>
              <w:rPr>
                <w:rFonts w:hint="eastAsia"/>
                <w:color w:val="auto"/>
                <w:sz w:val="24"/>
                <w:szCs w:val="24"/>
                <w:lang w:eastAsia="zh-CN"/>
              </w:rPr>
              <w:t>其他</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AD4EF4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1.本前附表是投标人须知正文内容的补充和细化，应当与正文内容一致。如本前附表与正文内容表述不一，以本前附表为准。</w:t>
            </w:r>
          </w:p>
          <w:p w14:paraId="518943A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color w:val="auto"/>
                <w:sz w:val="24"/>
                <w:szCs w:val="24"/>
                <w:highlight w:val="none"/>
              </w:rPr>
              <w:t>.价款结算方式：</w:t>
            </w:r>
            <w:r>
              <w:rPr>
                <w:rFonts w:hint="eastAsia"/>
                <w:color w:val="auto"/>
                <w:sz w:val="24"/>
                <w:szCs w:val="24"/>
                <w:highlight w:val="none"/>
                <w:lang w:eastAsia="zh-CN"/>
              </w:rPr>
              <w:t>施工过程</w:t>
            </w:r>
            <w:r>
              <w:rPr>
                <w:color w:val="auto"/>
                <w:sz w:val="24"/>
                <w:szCs w:val="24"/>
                <w:highlight w:val="none"/>
              </w:rPr>
              <w:t>结算</w:t>
            </w:r>
          </w:p>
          <w:p w14:paraId="6971D33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color w:val="auto"/>
                <w:sz w:val="24"/>
                <w:szCs w:val="24"/>
                <w:highlight w:val="none"/>
                <w:lang w:eastAsia="zh-CN"/>
              </w:rPr>
            </w:pPr>
            <w:r>
              <w:rPr>
                <w:rFonts w:hint="eastAsia"/>
                <w:color w:val="auto"/>
                <w:sz w:val="24"/>
                <w:szCs w:val="24"/>
                <w:highlight w:val="none"/>
                <w:lang w:val="en-US" w:eastAsia="zh-CN"/>
              </w:rPr>
              <w:t>3.</w:t>
            </w:r>
            <w:r>
              <w:rPr>
                <w:color w:val="auto"/>
                <w:sz w:val="24"/>
                <w:szCs w:val="24"/>
                <w:highlight w:val="none"/>
              </w:rPr>
              <w:t>农民工工资保证金：</w:t>
            </w:r>
          </w:p>
          <w:p w14:paraId="715FC49A">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color w:val="auto"/>
                <w:sz w:val="24"/>
                <w:szCs w:val="24"/>
                <w:highlight w:val="yellow"/>
                <w:lang w:eastAsia="zh-CN"/>
              </w:rPr>
            </w:pPr>
            <w:r>
              <w:rPr>
                <w:rFonts w:hint="eastAsia"/>
                <w:color w:val="auto"/>
                <w:sz w:val="24"/>
                <w:szCs w:val="24"/>
                <w:highlight w:val="none"/>
                <w:lang w:eastAsia="zh-CN"/>
              </w:rPr>
              <w:t>中标人在履行招投标手续后</w:t>
            </w:r>
            <w:r>
              <w:rPr>
                <w:rFonts w:hint="eastAsia"/>
                <w:color w:val="auto"/>
                <w:sz w:val="24"/>
                <w:szCs w:val="24"/>
                <w:highlight w:val="none"/>
                <w:u w:val="single"/>
                <w:lang w:val="en-US" w:eastAsia="zh-CN"/>
              </w:rPr>
              <w:t xml:space="preserve"> 30 </w:t>
            </w:r>
            <w:r>
              <w:rPr>
                <w:rFonts w:hint="eastAsia"/>
                <w:color w:val="auto"/>
                <w:sz w:val="24"/>
                <w:szCs w:val="24"/>
                <w:highlight w:val="none"/>
                <w:lang w:eastAsia="zh-CN"/>
              </w:rPr>
              <w:t>个工作日内按中标合同价款的</w:t>
            </w:r>
            <w:r>
              <w:rPr>
                <w:rFonts w:hint="eastAsia"/>
                <w:color w:val="auto"/>
                <w:sz w:val="24"/>
                <w:szCs w:val="24"/>
                <w:highlight w:val="none"/>
                <w:u w:val="single"/>
                <w:lang w:val="en-US" w:eastAsia="zh-CN"/>
              </w:rPr>
              <w:t xml:space="preserve"> 2 %（不超过500万元）</w:t>
            </w:r>
            <w:r>
              <w:rPr>
                <w:rFonts w:hint="eastAsia"/>
                <w:color w:val="auto"/>
                <w:sz w:val="24"/>
                <w:szCs w:val="24"/>
                <w:highlight w:val="none"/>
                <w:lang w:eastAsia="zh-CN"/>
              </w:rPr>
              <w:t>向</w:t>
            </w:r>
            <w:r>
              <w:rPr>
                <w:rFonts w:hint="eastAsia"/>
                <w:color w:val="auto"/>
                <w:sz w:val="24"/>
                <w:szCs w:val="24"/>
                <w:highlight w:val="none"/>
                <w:u w:val="none"/>
                <w:lang w:val="en-US" w:eastAsia="zh-CN"/>
              </w:rPr>
              <w:t>相关监督部门指定的</w:t>
            </w:r>
            <w:r>
              <w:rPr>
                <w:rFonts w:hint="eastAsia"/>
                <w:color w:val="auto"/>
                <w:sz w:val="24"/>
                <w:szCs w:val="24"/>
                <w:highlight w:val="none"/>
                <w:lang w:eastAsia="zh-CN"/>
              </w:rPr>
              <w:t>银行专户预存农民工工资保证金。</w:t>
            </w:r>
          </w:p>
          <w:p w14:paraId="1C564583">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color w:val="auto"/>
                <w:sz w:val="24"/>
                <w:szCs w:val="24"/>
                <w:highlight w:val="none"/>
              </w:rPr>
              <w:t>.投标人存在撤销投标文件、无正当理由放弃中标、不与招标人签订书面合同等情形或者在本</w:t>
            </w:r>
            <w:r>
              <w:rPr>
                <w:rFonts w:hint="eastAsia"/>
                <w:color w:val="auto"/>
                <w:sz w:val="24"/>
                <w:szCs w:val="24"/>
                <w:highlight w:val="none"/>
                <w:lang w:eastAsia="zh-CN"/>
              </w:rPr>
              <w:t>工程</w:t>
            </w:r>
            <w:r>
              <w:rPr>
                <w:color w:val="auto"/>
                <w:sz w:val="24"/>
                <w:szCs w:val="24"/>
                <w:highlight w:val="none"/>
              </w:rPr>
              <w:t>招投标过程中被查实存在违法行为的，招标人组织重新招标时将拒绝其单独或组建联合体方式再次参与本</w:t>
            </w:r>
            <w:r>
              <w:rPr>
                <w:rFonts w:hint="eastAsia"/>
                <w:color w:val="auto"/>
                <w:sz w:val="24"/>
                <w:szCs w:val="24"/>
                <w:highlight w:val="none"/>
                <w:lang w:eastAsia="zh-CN"/>
              </w:rPr>
              <w:t>招标工程</w:t>
            </w:r>
            <w:r>
              <w:rPr>
                <w:color w:val="auto"/>
                <w:sz w:val="24"/>
                <w:szCs w:val="24"/>
                <w:highlight w:val="none"/>
              </w:rPr>
              <w:t>投标。</w:t>
            </w:r>
          </w:p>
          <w:p w14:paraId="2073F35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color w:val="auto"/>
                <w:sz w:val="24"/>
                <w:szCs w:val="24"/>
                <w:highlight w:val="none"/>
                <w:lang w:val="en-US" w:eastAsia="zh-CN"/>
              </w:rPr>
              <w:t>5</w:t>
            </w:r>
            <w:r>
              <w:rPr>
                <w:color w:val="auto"/>
                <w:sz w:val="24"/>
                <w:szCs w:val="24"/>
                <w:highlight w:val="none"/>
              </w:rPr>
              <w:t>.本招标文件如未做特别说明，联合体投标时投标人指联合体各方。</w:t>
            </w:r>
          </w:p>
          <w:p w14:paraId="088E045A">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highlight w:val="none"/>
                <w:lang w:val="en-US" w:eastAsia="zh-CN"/>
              </w:rPr>
              <w:t>6</w:t>
            </w:r>
            <w:r>
              <w:rPr>
                <w:color w:val="auto"/>
                <w:sz w:val="24"/>
                <w:szCs w:val="24"/>
                <w:highlight w:val="none"/>
              </w:rPr>
              <w:t>.其他：</w:t>
            </w:r>
            <w:r>
              <w:rPr>
                <w:rFonts w:hint="eastAsia"/>
                <w:color w:val="auto"/>
                <w:sz w:val="24"/>
                <w:szCs w:val="24"/>
                <w:u w:val="single"/>
                <w:lang w:eastAsia="zh-CN"/>
              </w:rPr>
              <w:t>本项目执行的政府采购政策：</w:t>
            </w:r>
          </w:p>
          <w:p w14:paraId="3CC492C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1）根据财政部、工业和信息化部关于印发《政府采购促进中小企业发展管理办法的通知》（财库【2020】46号）、财政部《关于进一步加大政府采购支持中小企业力度的通知》（财库【2022】19号）。本项目为预留一定比例份额专门面向中小企业采购的适用招标投标法的政府采购工程建设项目。预留份额为本项目预算金额的40%专门面向中小企业采购，其中预留给小微企业的比例不低于60%。投标人为大型企业的，须承诺分包给中小企业的份额不低于合同金额的40%（含联合体中的中小企业所占份额），且投标人承诺分包给小型、微型企业的份额不得低于承诺分包给中小企业份额的60%（含联合体中的小微企业所占份额）。投标人为中型企业的，须承诺分包给小型、微型企业的份额不低于合同金额的24%（含联合体中的小微企业所占份额）。若投标人为小微企业，无需分包。不满足以上要求的，为无效投标，由此造成的后果由投标单位自行承担（大中型企业分包意向承诺书见投标文件格式部分）。</w:t>
            </w:r>
          </w:p>
          <w:p w14:paraId="7B390E4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（2）中小企业参加本项目投标的应当出具《中小企业声明函》，并认真完整填写。</w:t>
            </w:r>
          </w:p>
          <w:p w14:paraId="61BF9BA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（3）根据财政部、民政部、中国残疾人联合会关于促进残疾人就业政府采购政策的通知（财库【2017】141号）的规定，在政府采购活动中，残疾人福利性单位视同小型、微型企业。</w:t>
            </w:r>
          </w:p>
          <w:p w14:paraId="0A2402AC">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（4）根据财政部、司法部关于政府采购支持监狱企业发展有关问题的通知（财库[2014]68号），在采购活动中，监狱企业视同小型、微型企业。</w:t>
            </w:r>
          </w:p>
          <w:p w14:paraId="3F66B5D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5）根据财政部、工业和信息化部关于印发《政府采购促进中小企业发展管理办法的通知》（财库〔2020〕46号）规定，企业划型标准参考工业和信息化部、国家统计局、国家发展和改革委员会、财政部文件《中小企业划型标准规定》（工信部联企业〔2011〕300号）。</w:t>
            </w:r>
          </w:p>
          <w:p w14:paraId="05902777">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注：</w:t>
            </w:r>
          </w:p>
          <w:p w14:paraId="7E050C5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①中小企业份额以中小企业声明函（如为联合体投标，由联合体牵头方或各自出具，中小企业投标适用，大型企业不用声明）以及大中型企业分包意向承诺书内容为准，如弄虚作假将依照《中华人民共和国政府采购法》及相关法律法规处理。</w:t>
            </w:r>
          </w:p>
          <w:p w14:paraId="600BBA2D">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②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否则不予认可。</w:t>
            </w:r>
          </w:p>
          <w:p w14:paraId="3DBC10A0">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③残疾人福利性单位以盖章的残疾人福利性单位声明函中声明内容为准，如弄虚作假将依照政府采购法及有关法律法规处理。</w:t>
            </w:r>
          </w:p>
          <w:p w14:paraId="5237FDC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中小企业声明函、监狱企业证明文件、残疾人福利性单位声明函格式详见投标文件格式。</w:t>
            </w:r>
          </w:p>
          <w:p w14:paraId="5EFF728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b/>
                <w:bCs/>
                <w:color w:val="auto"/>
                <w:sz w:val="24"/>
                <w:szCs w:val="24"/>
                <w:highlight w:val="none"/>
                <w:u w:val="single"/>
                <w:lang w:eastAsia="zh-CN"/>
              </w:rPr>
            </w:pPr>
            <w:r>
              <w:rPr>
                <w:rFonts w:hint="eastAsia"/>
                <w:b/>
                <w:bCs/>
                <w:color w:val="auto"/>
                <w:sz w:val="24"/>
                <w:szCs w:val="24"/>
                <w:highlight w:val="none"/>
                <w:u w:val="single"/>
                <w:lang w:eastAsia="zh-CN"/>
              </w:rPr>
              <w:t>本项目采购标的1：河北女子职业技术学院辛集校区建设工程工程总承包</w:t>
            </w:r>
            <w:r>
              <w:rPr>
                <w:rFonts w:hint="eastAsia"/>
                <w:b/>
                <w:bCs/>
                <w:color w:val="auto"/>
                <w:sz w:val="24"/>
                <w:szCs w:val="24"/>
                <w:highlight w:val="none"/>
                <w:u w:val="single"/>
                <w:lang w:val="en-US" w:eastAsia="zh-CN"/>
              </w:rPr>
              <w:t>各标段</w:t>
            </w:r>
            <w:r>
              <w:rPr>
                <w:rFonts w:hint="eastAsia"/>
                <w:b/>
                <w:bCs/>
                <w:color w:val="auto"/>
                <w:sz w:val="24"/>
                <w:szCs w:val="24"/>
                <w:highlight w:val="none"/>
                <w:u w:val="single"/>
                <w:lang w:eastAsia="zh-CN"/>
              </w:rPr>
              <w:t>施工属于建筑业；</w:t>
            </w:r>
          </w:p>
          <w:p w14:paraId="342611F1">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highlight w:val="none"/>
                <w:u w:val="single"/>
                <w:lang w:eastAsia="zh-CN"/>
              </w:rPr>
            </w:pPr>
            <w:r>
              <w:rPr>
                <w:rFonts w:hint="eastAsia"/>
                <w:b/>
                <w:bCs/>
                <w:color w:val="auto"/>
                <w:sz w:val="24"/>
                <w:szCs w:val="24"/>
                <w:highlight w:val="none"/>
                <w:u w:val="single"/>
                <w:lang w:eastAsia="zh-CN"/>
              </w:rPr>
              <w:t>本项目采购标的2：河北女子职业技术学院辛集校区建设工程工程总承包</w:t>
            </w:r>
            <w:r>
              <w:rPr>
                <w:rFonts w:hint="eastAsia"/>
                <w:b/>
                <w:bCs/>
                <w:color w:val="auto"/>
                <w:sz w:val="24"/>
                <w:szCs w:val="24"/>
                <w:highlight w:val="none"/>
                <w:u w:val="single"/>
                <w:lang w:val="en-US" w:eastAsia="zh-CN"/>
              </w:rPr>
              <w:t>各标段</w:t>
            </w:r>
            <w:r>
              <w:rPr>
                <w:rFonts w:hint="eastAsia"/>
                <w:b/>
                <w:bCs/>
                <w:color w:val="auto"/>
                <w:sz w:val="24"/>
                <w:szCs w:val="24"/>
                <w:highlight w:val="none"/>
                <w:u w:val="single"/>
                <w:lang w:eastAsia="zh-CN"/>
              </w:rPr>
              <w:t>设计属于其他未列明行业。</w:t>
            </w:r>
          </w:p>
          <w:p w14:paraId="0761A9B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color w:val="auto"/>
                <w:sz w:val="24"/>
                <w:szCs w:val="24"/>
                <w:u w:val="single"/>
                <w:lang w:eastAsia="zh-CN"/>
              </w:rPr>
              <w:t>根据《关于印发中小企业划型标准规定的通知》（工信部联企业〔2011〕300号）中相关要求，本项目所属行业划型标准为：1.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2.其他未列明行业。从业人员300人以下的为中小微型企业。其中，从业人员100人及以上的为中型企业；从业人员10人及以上的为小型企业；从业人员10人以下的为微型企业</w:t>
            </w:r>
            <w:r>
              <w:rPr>
                <w:rFonts w:hint="eastAsia"/>
                <w:color w:val="auto"/>
                <w:sz w:val="24"/>
                <w:szCs w:val="24"/>
                <w:lang w:eastAsia="zh-CN"/>
              </w:rPr>
              <w:t>。</w:t>
            </w:r>
          </w:p>
        </w:tc>
      </w:tr>
      <w:tr w14:paraId="5FA7D64B">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7F24CB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10.14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B0DE05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rFonts w:hint="eastAsia" w:ascii="宋体" w:hAnsi="宋体" w:eastAsia="宋体" w:cs="宋体"/>
                <w:color w:val="auto"/>
                <w:sz w:val="24"/>
                <w:szCs w:val="24"/>
              </w:rPr>
              <w:t>电子招标投标</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2A457B0">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是</w:t>
            </w:r>
          </w:p>
          <w:p w14:paraId="34A7B81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ascii="宋体" w:hAnsi="宋体" w:eastAsia="宋体" w:cs="宋体"/>
                <w:color w:val="auto"/>
                <w:sz w:val="24"/>
                <w:szCs w:val="24"/>
                <w:highlight w:val="none"/>
              </w:rPr>
              <w:t>招标文件发出后，如涉及澄清或修改招标文件，为保证后续投标文件上传、解密、评审等工作顺利进行，请各潜在投标人通过交易平台重新下载最终澄清与答疑后的变更文件附件中的招标文件，并依据最新变更文件中的招标文件重新制作投标文件。如未按上述要求操作导致投标文件上传、解密、评审等后续工作无法正常进行，由投标人自行承担相关后果。</w:t>
            </w:r>
          </w:p>
          <w:p w14:paraId="04F39B4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否</w:t>
            </w:r>
          </w:p>
        </w:tc>
      </w:tr>
    </w:tbl>
    <w:p w14:paraId="3D59D6D7">
      <w:pPr>
        <w:pageBreakBefore w:val="0"/>
        <w:kinsoku/>
        <w:wordWrap w:val="0"/>
        <w:overflowPunct/>
        <w:bidi w:val="0"/>
        <w:spacing w:line="400" w:lineRule="exact"/>
        <w:rPr>
          <w:color w:val="auto"/>
        </w:rPr>
      </w:pPr>
      <w:r>
        <w:rPr>
          <w:color w:val="auto"/>
        </w:rPr>
        <w:br w:type="page"/>
      </w:r>
    </w:p>
    <w:p w14:paraId="006916E7">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54" w:name="_Toc12865"/>
      <w:bookmarkStart w:id="55" w:name="_Toc18284"/>
      <w:bookmarkStart w:id="56" w:name="_Toc9219"/>
      <w:bookmarkStart w:id="57" w:name="_Toc144974497"/>
      <w:bookmarkStart w:id="58" w:name="_Toc152042305"/>
      <w:bookmarkStart w:id="59" w:name="_Toc247513952"/>
      <w:bookmarkStart w:id="60" w:name="_Toc21490"/>
      <w:bookmarkStart w:id="61" w:name="_Toc152045529"/>
      <w:bookmarkStart w:id="62" w:name="_Toc29452"/>
      <w:bookmarkStart w:id="63" w:name="_Toc247527553"/>
      <w:bookmarkStart w:id="64" w:name="_Toc26298"/>
      <w:r>
        <w:rPr>
          <w:rFonts w:hint="eastAsia" w:ascii="方正黑体_GBK" w:hAnsi="方正黑体_GBK" w:eastAsia="方正黑体_GBK" w:cs="方正黑体_GBK"/>
          <w:bCs w:val="0"/>
          <w:color w:val="auto"/>
          <w:kern w:val="2"/>
          <w:sz w:val="24"/>
          <w:szCs w:val="24"/>
          <w:lang w:val="en-US" w:eastAsia="zh-CN" w:bidi="ar-SA"/>
        </w:rPr>
        <w:t>1.</w:t>
      </w:r>
      <w:r>
        <w:rPr>
          <w:rFonts w:hint="eastAsia" w:ascii="方正黑体_GBK" w:hAnsi="方正黑体_GBK" w:eastAsia="方正黑体_GBK" w:cs="方正黑体_GBK"/>
          <w:color w:val="auto"/>
          <w:sz w:val="24"/>
          <w:szCs w:val="24"/>
        </w:rPr>
        <w:t xml:space="preserve"> 总则</w:t>
      </w:r>
      <w:bookmarkEnd w:id="54"/>
      <w:bookmarkEnd w:id="55"/>
      <w:bookmarkEnd w:id="56"/>
      <w:bookmarkEnd w:id="57"/>
      <w:bookmarkEnd w:id="58"/>
      <w:bookmarkEnd w:id="59"/>
      <w:bookmarkEnd w:id="60"/>
      <w:bookmarkEnd w:id="61"/>
      <w:bookmarkEnd w:id="62"/>
      <w:bookmarkEnd w:id="63"/>
      <w:bookmarkEnd w:id="64"/>
    </w:p>
    <w:p w14:paraId="64B0698A">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color w:val="auto"/>
          <w:sz w:val="24"/>
          <w:szCs w:val="24"/>
        </w:rPr>
      </w:pPr>
      <w:bookmarkStart w:id="65" w:name="_Toc21310"/>
      <w:bookmarkStart w:id="66" w:name="_Toc10532"/>
      <w:bookmarkStart w:id="67" w:name="_Toc16740"/>
      <w:bookmarkStart w:id="68" w:name="_Toc152042306"/>
      <w:bookmarkStart w:id="69" w:name="_Toc144974498"/>
      <w:bookmarkStart w:id="70" w:name="_Toc247513953"/>
      <w:bookmarkStart w:id="71" w:name="_Toc9542"/>
      <w:bookmarkStart w:id="72" w:name="_Toc247527554"/>
      <w:bookmarkStart w:id="73" w:name="_Toc27997"/>
      <w:bookmarkStart w:id="74" w:name="_Toc13307"/>
      <w:bookmarkStart w:id="75" w:name="_Toc152045530"/>
      <w:r>
        <w:rPr>
          <w:rFonts w:hint="eastAsia" w:ascii="方正楷体_GBK" w:hAnsi="方正楷体_GBK" w:eastAsia="方正楷体_GBK" w:cs="方正楷体_GBK"/>
          <w:bCs w:val="0"/>
          <w:color w:val="auto"/>
          <w:kern w:val="2"/>
          <w:sz w:val="24"/>
          <w:szCs w:val="24"/>
          <w:lang w:val="en-US" w:eastAsia="zh-CN" w:bidi="ar-SA"/>
        </w:rPr>
        <w:t xml:space="preserve">1.1 </w:t>
      </w:r>
      <w:r>
        <w:rPr>
          <w:rFonts w:hint="eastAsia" w:ascii="方正楷体_GBK" w:hAnsi="方正楷体_GBK" w:eastAsia="方正楷体_GBK" w:cs="方正楷体_GBK"/>
          <w:color w:val="auto"/>
          <w:sz w:val="24"/>
          <w:szCs w:val="24"/>
        </w:rPr>
        <w:t>项目概况</w:t>
      </w:r>
      <w:bookmarkEnd w:id="65"/>
      <w:bookmarkEnd w:id="66"/>
      <w:bookmarkEnd w:id="67"/>
      <w:bookmarkEnd w:id="68"/>
      <w:bookmarkEnd w:id="69"/>
      <w:bookmarkEnd w:id="70"/>
      <w:bookmarkEnd w:id="71"/>
      <w:bookmarkEnd w:id="72"/>
      <w:bookmarkEnd w:id="73"/>
      <w:bookmarkEnd w:id="74"/>
      <w:bookmarkEnd w:id="75"/>
    </w:p>
    <w:p w14:paraId="3FEB1CD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1.1.1根据《中华人民共和国招标投标法》</w:t>
      </w:r>
      <w:r>
        <w:rPr>
          <w:rFonts w:hint="eastAsia" w:ascii="宋体" w:hAnsi="宋体" w:cs="宋体"/>
          <w:color w:val="auto"/>
          <w:sz w:val="24"/>
          <w:szCs w:val="24"/>
          <w:lang w:eastAsia="zh-CN"/>
        </w:rPr>
        <w:t>、</w:t>
      </w:r>
      <w:r>
        <w:rPr>
          <w:rFonts w:hint="eastAsia" w:ascii="宋体" w:hAnsi="宋体" w:eastAsia="宋体" w:cs="宋体"/>
          <w:color w:val="auto"/>
          <w:sz w:val="24"/>
          <w:szCs w:val="24"/>
        </w:rPr>
        <w:t>《中华人民共和国招标投标法</w:t>
      </w:r>
      <w:r>
        <w:rPr>
          <w:rFonts w:hint="eastAsia" w:ascii="宋体" w:hAnsi="宋体" w:cs="宋体"/>
          <w:color w:val="auto"/>
          <w:sz w:val="24"/>
          <w:szCs w:val="24"/>
          <w:lang w:eastAsia="zh-CN"/>
        </w:rPr>
        <w:t>实施条例</w:t>
      </w:r>
      <w:r>
        <w:rPr>
          <w:rFonts w:hint="eastAsia" w:ascii="宋体" w:hAnsi="宋体" w:eastAsia="宋体" w:cs="宋体"/>
          <w:color w:val="auto"/>
          <w:sz w:val="24"/>
          <w:szCs w:val="24"/>
        </w:rPr>
        <w:t>》等有关法律、法规和规章的规定，本招标项目已具备招标条件，现对该项目工程总承包进行招标。</w:t>
      </w:r>
    </w:p>
    <w:p w14:paraId="290223B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 招标人：见投标人须知前附表。</w:t>
      </w:r>
    </w:p>
    <w:p w14:paraId="0BE0B59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 招标代理机构：见投标人须知前附表。</w:t>
      </w:r>
    </w:p>
    <w:p w14:paraId="68C2B2A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1.1.4 </w:t>
      </w:r>
      <w:r>
        <w:rPr>
          <w:rFonts w:hint="eastAsia" w:ascii="宋体" w:hAnsi="宋体" w:cs="宋体"/>
          <w:color w:val="auto"/>
          <w:sz w:val="24"/>
          <w:szCs w:val="24"/>
          <w:lang w:eastAsia="zh-CN"/>
        </w:rPr>
        <w:t>项目</w:t>
      </w:r>
      <w:r>
        <w:rPr>
          <w:rFonts w:hint="eastAsia" w:ascii="宋体" w:hAnsi="宋体" w:eastAsia="宋体" w:cs="宋体"/>
          <w:color w:val="auto"/>
          <w:sz w:val="24"/>
          <w:szCs w:val="24"/>
        </w:rPr>
        <w:t>名称：见投标人须知前附表。</w:t>
      </w:r>
    </w:p>
    <w:p w14:paraId="1FCB2E4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 建设地点：见投标人须知前附表。</w:t>
      </w:r>
    </w:p>
    <w:p w14:paraId="507B4782">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76" w:name="_Toc23491"/>
      <w:bookmarkStart w:id="77" w:name="_Toc25549"/>
      <w:bookmarkStart w:id="78" w:name="_Toc247527555"/>
      <w:bookmarkStart w:id="79" w:name="_Toc29367"/>
      <w:bookmarkStart w:id="80" w:name="_Toc22361"/>
      <w:bookmarkStart w:id="81" w:name="_Toc331"/>
      <w:bookmarkStart w:id="82" w:name="_Toc27554"/>
      <w:bookmarkStart w:id="83" w:name="_Toc144974499"/>
      <w:bookmarkStart w:id="84" w:name="_Toc247513954"/>
      <w:bookmarkStart w:id="85" w:name="_Toc152042307"/>
      <w:bookmarkStart w:id="86" w:name="_Toc152045531"/>
      <w:r>
        <w:rPr>
          <w:rFonts w:hint="eastAsia" w:ascii="方正楷体_GBK" w:hAnsi="方正楷体_GBK" w:eastAsia="方正楷体_GBK" w:cs="方正楷体_GBK"/>
          <w:bCs w:val="0"/>
          <w:color w:val="auto"/>
          <w:kern w:val="2"/>
          <w:sz w:val="24"/>
          <w:szCs w:val="24"/>
          <w:lang w:val="en-US" w:eastAsia="zh-CN" w:bidi="ar-SA"/>
        </w:rPr>
        <w:t>1.2 项目的资金来源和落实情况</w:t>
      </w:r>
      <w:bookmarkEnd w:id="76"/>
      <w:bookmarkEnd w:id="77"/>
      <w:bookmarkEnd w:id="78"/>
      <w:bookmarkEnd w:id="79"/>
      <w:bookmarkEnd w:id="80"/>
      <w:bookmarkEnd w:id="81"/>
      <w:bookmarkEnd w:id="82"/>
      <w:bookmarkEnd w:id="83"/>
      <w:bookmarkEnd w:id="84"/>
      <w:bookmarkEnd w:id="85"/>
      <w:bookmarkEnd w:id="86"/>
    </w:p>
    <w:p w14:paraId="26AFF93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87" w:name="_Toc13156"/>
      <w:r>
        <w:rPr>
          <w:rFonts w:hint="eastAsia" w:ascii="宋体" w:hAnsi="宋体" w:eastAsia="宋体" w:cs="宋体"/>
          <w:color w:val="auto"/>
          <w:sz w:val="24"/>
          <w:szCs w:val="24"/>
        </w:rPr>
        <w:t>1.2.1 资金来源及比例：见投标人须知前附表。</w:t>
      </w:r>
      <w:bookmarkEnd w:id="87"/>
    </w:p>
    <w:p w14:paraId="7579A39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88" w:name="_Toc21365"/>
      <w:r>
        <w:rPr>
          <w:rFonts w:hint="eastAsia" w:ascii="宋体" w:hAnsi="宋体" w:eastAsia="宋体" w:cs="宋体"/>
          <w:color w:val="auto"/>
          <w:sz w:val="24"/>
          <w:szCs w:val="24"/>
        </w:rPr>
        <w:t>1.2.2 资金落实情况：见投标人须知前附表。</w:t>
      </w:r>
      <w:bookmarkEnd w:id="88"/>
    </w:p>
    <w:p w14:paraId="77927B8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89" w:name="_Toc152045532"/>
      <w:bookmarkStart w:id="90" w:name="_Toc144974500"/>
      <w:bookmarkStart w:id="91" w:name="_Toc247527556"/>
      <w:bookmarkStart w:id="92" w:name="_Toc152042308"/>
      <w:bookmarkStart w:id="93" w:name="_Toc247513955"/>
      <w:bookmarkStart w:id="94" w:name="_Toc8261"/>
      <w:bookmarkStart w:id="95" w:name="_Toc31366"/>
      <w:bookmarkStart w:id="96" w:name="_Toc8191"/>
      <w:bookmarkStart w:id="97" w:name="_Toc32706"/>
      <w:bookmarkStart w:id="98" w:name="_Toc25191"/>
      <w:bookmarkStart w:id="99" w:name="_Toc24085"/>
      <w:r>
        <w:rPr>
          <w:rFonts w:hint="eastAsia" w:ascii="方正楷体_GBK" w:hAnsi="方正楷体_GBK" w:eastAsia="方正楷体_GBK" w:cs="方正楷体_GBK"/>
          <w:bCs w:val="0"/>
          <w:color w:val="auto"/>
          <w:kern w:val="2"/>
          <w:sz w:val="24"/>
          <w:szCs w:val="24"/>
          <w:lang w:val="en-US" w:eastAsia="zh-CN" w:bidi="ar-SA"/>
        </w:rPr>
        <w:t>1.3 招标范围、工期要求和</w:t>
      </w:r>
      <w:bookmarkEnd w:id="89"/>
      <w:bookmarkEnd w:id="90"/>
      <w:bookmarkEnd w:id="91"/>
      <w:bookmarkEnd w:id="92"/>
      <w:bookmarkEnd w:id="93"/>
      <w:r>
        <w:rPr>
          <w:rFonts w:hint="eastAsia" w:ascii="方正楷体_GBK" w:hAnsi="方正楷体_GBK" w:eastAsia="方正楷体_GBK" w:cs="方正楷体_GBK"/>
          <w:bCs w:val="0"/>
          <w:color w:val="auto"/>
          <w:kern w:val="2"/>
          <w:sz w:val="24"/>
          <w:szCs w:val="24"/>
          <w:lang w:val="en-US" w:eastAsia="zh-CN" w:bidi="ar-SA"/>
        </w:rPr>
        <w:t>质量标准</w:t>
      </w:r>
      <w:bookmarkEnd w:id="94"/>
      <w:bookmarkEnd w:id="95"/>
      <w:bookmarkEnd w:id="96"/>
      <w:bookmarkEnd w:id="97"/>
      <w:bookmarkEnd w:id="98"/>
      <w:bookmarkEnd w:id="99"/>
    </w:p>
    <w:p w14:paraId="5C04442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100" w:name="_Toc7851"/>
      <w:r>
        <w:rPr>
          <w:rFonts w:hint="eastAsia" w:ascii="宋体" w:hAnsi="宋体" w:eastAsia="宋体" w:cs="宋体"/>
          <w:color w:val="auto"/>
          <w:sz w:val="24"/>
          <w:szCs w:val="24"/>
        </w:rPr>
        <w:t>1.3.1 招标范围</w:t>
      </w:r>
      <w:r>
        <w:rPr>
          <w:rFonts w:hint="eastAsia" w:ascii="宋体" w:hAnsi="宋体" w:eastAsia="宋体" w:cs="宋体"/>
          <w:color w:val="auto"/>
          <w:sz w:val="24"/>
          <w:szCs w:val="24"/>
          <w:lang w:eastAsia="zh-CN"/>
        </w:rPr>
        <w:t>和内容</w:t>
      </w:r>
      <w:r>
        <w:rPr>
          <w:rFonts w:hint="eastAsia" w:ascii="宋体" w:hAnsi="宋体" w:eastAsia="宋体" w:cs="宋体"/>
          <w:color w:val="auto"/>
          <w:sz w:val="24"/>
          <w:szCs w:val="24"/>
        </w:rPr>
        <w:t>：见投标人须知前附表。</w:t>
      </w:r>
      <w:bookmarkEnd w:id="100"/>
    </w:p>
    <w:p w14:paraId="7C893D0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101" w:name="_Toc6327"/>
      <w:r>
        <w:rPr>
          <w:rFonts w:hint="eastAsia" w:ascii="宋体" w:hAnsi="宋体" w:eastAsia="宋体" w:cs="宋体"/>
          <w:color w:val="auto"/>
          <w:sz w:val="24"/>
          <w:szCs w:val="24"/>
        </w:rPr>
        <w:t xml:space="preserve">1.3.2 </w:t>
      </w:r>
      <w:r>
        <w:rPr>
          <w:rFonts w:hint="eastAsia" w:ascii="宋体" w:hAnsi="宋体" w:cs="宋体"/>
          <w:color w:val="auto"/>
          <w:sz w:val="24"/>
          <w:szCs w:val="24"/>
          <w:lang w:eastAsia="zh-CN"/>
        </w:rPr>
        <w:t>工期要求</w:t>
      </w:r>
      <w:r>
        <w:rPr>
          <w:rFonts w:hint="eastAsia" w:ascii="宋体" w:hAnsi="宋体" w:eastAsia="宋体" w:cs="宋体"/>
          <w:color w:val="auto"/>
          <w:sz w:val="24"/>
          <w:szCs w:val="24"/>
        </w:rPr>
        <w:t>：见投标人须知前附表。</w:t>
      </w:r>
      <w:bookmarkEnd w:id="101"/>
    </w:p>
    <w:p w14:paraId="1CED6F9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102" w:name="_Toc8086"/>
      <w:r>
        <w:rPr>
          <w:rFonts w:hint="eastAsia" w:ascii="宋体" w:hAnsi="宋体" w:eastAsia="宋体" w:cs="宋体"/>
          <w:color w:val="auto"/>
          <w:sz w:val="24"/>
          <w:szCs w:val="24"/>
        </w:rPr>
        <w:t>1.3.3 质量标准：见投标人须知前附表。</w:t>
      </w:r>
      <w:bookmarkEnd w:id="102"/>
    </w:p>
    <w:p w14:paraId="3F1A16B5">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03" w:name="_Toc32729"/>
      <w:bookmarkStart w:id="104" w:name="_Toc16834"/>
      <w:bookmarkStart w:id="105" w:name="_Toc12777"/>
      <w:bookmarkStart w:id="106" w:name="_Toc247527558"/>
      <w:bookmarkStart w:id="107" w:name="_Toc144974502"/>
      <w:bookmarkStart w:id="108" w:name="_Toc247513957"/>
      <w:bookmarkStart w:id="109" w:name="_Toc17964"/>
      <w:bookmarkStart w:id="110" w:name="_Toc152045534"/>
      <w:bookmarkStart w:id="111" w:name="_Toc14246"/>
      <w:bookmarkStart w:id="112" w:name="_Toc152042310"/>
      <w:r>
        <w:rPr>
          <w:rFonts w:hint="eastAsia" w:ascii="方正楷体_GBK" w:hAnsi="方正楷体_GBK" w:eastAsia="方正楷体_GBK" w:cs="方正楷体_GBK"/>
          <w:bCs w:val="0"/>
          <w:color w:val="auto"/>
          <w:kern w:val="2"/>
          <w:sz w:val="24"/>
          <w:szCs w:val="24"/>
          <w:lang w:val="en-US" w:eastAsia="zh-CN" w:bidi="ar-SA"/>
        </w:rPr>
        <w:t>1.4 投标人资格要求</w:t>
      </w:r>
      <w:bookmarkEnd w:id="103"/>
      <w:bookmarkEnd w:id="104"/>
      <w:bookmarkEnd w:id="105"/>
      <w:bookmarkEnd w:id="106"/>
      <w:bookmarkEnd w:id="107"/>
      <w:bookmarkEnd w:id="108"/>
      <w:bookmarkEnd w:id="109"/>
      <w:bookmarkEnd w:id="110"/>
      <w:bookmarkEnd w:id="111"/>
      <w:bookmarkEnd w:id="112"/>
    </w:p>
    <w:p w14:paraId="0393128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投标人资质条件、能力和信誉。</w:t>
      </w:r>
    </w:p>
    <w:p w14:paraId="3203CEA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资质要求：见投标人须知前附表；</w:t>
      </w:r>
    </w:p>
    <w:p w14:paraId="1EFBF41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业绩要求：见投标人须知前附表；</w:t>
      </w:r>
    </w:p>
    <w:p w14:paraId="504CF3F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项目</w:t>
      </w:r>
      <w:r>
        <w:rPr>
          <w:rFonts w:hint="eastAsia" w:ascii="宋体" w:hAnsi="宋体" w:cs="宋体"/>
          <w:color w:val="auto"/>
          <w:sz w:val="24"/>
          <w:szCs w:val="24"/>
          <w:lang w:eastAsia="zh-CN"/>
        </w:rPr>
        <w:t>经理</w:t>
      </w:r>
      <w:r>
        <w:rPr>
          <w:rFonts w:hint="eastAsia" w:ascii="宋体" w:hAnsi="宋体" w:eastAsia="宋体" w:cs="宋体"/>
          <w:color w:val="auto"/>
          <w:sz w:val="24"/>
          <w:szCs w:val="24"/>
        </w:rPr>
        <w:t>的资格要求：具体要求见投标人须知前附表；</w:t>
      </w:r>
    </w:p>
    <w:p w14:paraId="64B9A99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施工负责人的资格要求：具体要求见投标人须知前附表；</w:t>
      </w:r>
    </w:p>
    <w:p w14:paraId="07F2C29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设计负责人的资格要求：具体要求见投标人须知前附表。</w:t>
      </w:r>
    </w:p>
    <w:p w14:paraId="051EAE3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1.4.2 投标人须知前附表规定接受联合体投标的，除应符合本章第1.4.1项和投标人须知前附表的要求外，还应遵守以下规定： </w:t>
      </w:r>
    </w:p>
    <w:p w14:paraId="55B1AF8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（1）联合体各方应按招标文件提供的格式签订联合体协议书，明确联合体牵头人和各方的权利义务，并承诺就中标项目向招标人承担连带责任；</w:t>
      </w:r>
    </w:p>
    <w:p w14:paraId="5D37F8B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（2）联合体各方不得再以自己名义单独或参加其他联合体在本招标项目中投标</w:t>
      </w:r>
      <w:r>
        <w:rPr>
          <w:rFonts w:hint="eastAsia" w:ascii="宋体" w:hAnsi="宋体" w:eastAsia="宋体" w:cs="宋体"/>
          <w:color w:val="auto"/>
          <w:sz w:val="24"/>
          <w:szCs w:val="24"/>
          <w:lang w:eastAsia="zh-CN"/>
        </w:rPr>
        <w:t>；</w:t>
      </w:r>
    </w:p>
    <w:p w14:paraId="51AD03E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（3）联合体投标其他要求见投标人须知前附表。</w:t>
      </w:r>
    </w:p>
    <w:p w14:paraId="76E554D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 投标人（投标人是联合体的，指联合体各方）不得存在下列情形之一：</w:t>
      </w:r>
    </w:p>
    <w:p w14:paraId="723D11D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（1）招标人</w:t>
      </w:r>
      <w:r>
        <w:rPr>
          <w:rFonts w:hint="eastAsia" w:ascii="宋体" w:hAnsi="宋体" w:cs="宋体"/>
          <w:color w:val="auto"/>
          <w:sz w:val="24"/>
          <w:szCs w:val="24"/>
          <w:lang w:eastAsia="zh-CN"/>
        </w:rPr>
        <w:t>的任何</w:t>
      </w:r>
      <w:r>
        <w:rPr>
          <w:rFonts w:hint="eastAsia" w:ascii="宋体" w:hAnsi="宋体" w:eastAsia="宋体" w:cs="宋体"/>
          <w:color w:val="auto"/>
          <w:sz w:val="24"/>
          <w:szCs w:val="24"/>
        </w:rPr>
        <w:t>不具有独立法人资格的附属机构（单位）；</w:t>
      </w:r>
    </w:p>
    <w:p w14:paraId="382DA0F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（2）与招标人存在利害关系可能影响招标公正性的法人、其他组织或者个人；</w:t>
      </w:r>
    </w:p>
    <w:p w14:paraId="2CEDD66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（3）不同投标人的单位负责人为同一人或者互相存在控股、管理关系；</w:t>
      </w:r>
    </w:p>
    <w:p w14:paraId="01F6FDD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（4）政府投资项目的项目建议书、可行性研究报告、初步设计文件编制单位及其评估单位</w:t>
      </w:r>
      <w:r>
        <w:rPr>
          <w:rFonts w:hint="eastAsia" w:ascii="宋体" w:hAnsi="宋体" w:cs="宋体"/>
          <w:color w:val="auto"/>
          <w:sz w:val="24"/>
          <w:szCs w:val="24"/>
          <w:lang w:eastAsia="zh-CN"/>
        </w:rPr>
        <w:t>，但</w:t>
      </w:r>
      <w:r>
        <w:rPr>
          <w:rFonts w:hint="eastAsia" w:ascii="宋体" w:hAnsi="宋体" w:eastAsia="宋体" w:cs="宋体"/>
          <w:color w:val="auto"/>
          <w:sz w:val="24"/>
          <w:szCs w:val="24"/>
        </w:rPr>
        <w:t>政府投资项目</w:t>
      </w:r>
      <w:r>
        <w:rPr>
          <w:rFonts w:hint="eastAsia" w:ascii="宋体" w:hAnsi="宋体" w:cs="宋体"/>
          <w:color w:val="auto"/>
          <w:sz w:val="24"/>
          <w:szCs w:val="24"/>
          <w:lang w:eastAsia="zh-CN"/>
        </w:rPr>
        <w:t>已</w:t>
      </w:r>
      <w:r>
        <w:rPr>
          <w:rFonts w:hint="eastAsia" w:ascii="宋体" w:hAnsi="宋体" w:eastAsia="宋体" w:cs="宋体"/>
          <w:color w:val="auto"/>
          <w:sz w:val="24"/>
          <w:szCs w:val="24"/>
        </w:rPr>
        <w:t>公开项目建议书、可行性研究报告、初步设计文件的</w:t>
      </w:r>
      <w:r>
        <w:rPr>
          <w:rFonts w:hint="eastAsia" w:ascii="宋体" w:hAnsi="宋体" w:cs="宋体"/>
          <w:color w:val="auto"/>
          <w:sz w:val="24"/>
          <w:szCs w:val="24"/>
          <w:lang w:eastAsia="zh-CN"/>
        </w:rPr>
        <w:t>除外</w:t>
      </w:r>
      <w:r>
        <w:rPr>
          <w:rFonts w:hint="eastAsia" w:ascii="宋体" w:hAnsi="宋体" w:eastAsia="宋体" w:cs="宋体"/>
          <w:color w:val="auto"/>
          <w:sz w:val="24"/>
          <w:szCs w:val="24"/>
        </w:rPr>
        <w:t>；</w:t>
      </w:r>
    </w:p>
    <w:p w14:paraId="13BCEDE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（5）本</w:t>
      </w:r>
      <w:r>
        <w:rPr>
          <w:rFonts w:hint="eastAsia" w:ascii="宋体" w:hAnsi="宋体" w:eastAsia="宋体" w:cs="宋体"/>
          <w:color w:val="auto"/>
          <w:sz w:val="24"/>
          <w:szCs w:val="24"/>
          <w:lang w:eastAsia="zh-CN"/>
        </w:rPr>
        <w:t>招标项目</w:t>
      </w:r>
      <w:r>
        <w:rPr>
          <w:rFonts w:hint="eastAsia" w:ascii="宋体" w:hAnsi="宋体" w:eastAsia="宋体" w:cs="宋体"/>
          <w:color w:val="auto"/>
          <w:sz w:val="24"/>
          <w:szCs w:val="24"/>
        </w:rPr>
        <w:t>的代建单位、</w:t>
      </w:r>
      <w:r>
        <w:rPr>
          <w:rFonts w:hint="eastAsia" w:ascii="宋体" w:hAnsi="宋体" w:cs="宋体"/>
          <w:color w:val="auto"/>
          <w:sz w:val="24"/>
          <w:szCs w:val="24"/>
          <w:lang w:eastAsia="zh-CN"/>
        </w:rPr>
        <w:t>全过程工程咨询单位、</w:t>
      </w:r>
      <w:r>
        <w:rPr>
          <w:rFonts w:hint="eastAsia" w:ascii="宋体" w:hAnsi="宋体" w:eastAsia="宋体" w:cs="宋体"/>
          <w:color w:val="auto"/>
          <w:sz w:val="24"/>
          <w:szCs w:val="24"/>
        </w:rPr>
        <w:t>项目管理单位、监理单位、造价咨询单位、招标代理单位</w:t>
      </w:r>
      <w:r>
        <w:rPr>
          <w:rFonts w:hint="eastAsia" w:ascii="宋体" w:hAnsi="宋体" w:cs="宋体"/>
          <w:color w:val="auto"/>
          <w:sz w:val="24"/>
          <w:szCs w:val="24"/>
          <w:lang w:eastAsia="zh-CN"/>
        </w:rPr>
        <w:t>或者与前述单位有控股或者被控股关系的机构或单位</w:t>
      </w:r>
      <w:r>
        <w:rPr>
          <w:rFonts w:hint="eastAsia" w:ascii="宋体" w:hAnsi="宋体" w:eastAsia="宋体" w:cs="宋体"/>
          <w:color w:val="auto"/>
          <w:sz w:val="24"/>
          <w:szCs w:val="24"/>
        </w:rPr>
        <w:t>；</w:t>
      </w:r>
    </w:p>
    <w:p w14:paraId="483BE529">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）被责令停产停业、暂扣或者吊销许可证、暂扣或者吊销执照的；</w:t>
      </w:r>
    </w:p>
    <w:p w14:paraId="119720A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）进入清算程序，或被宣告破产的；</w:t>
      </w:r>
    </w:p>
    <w:p w14:paraId="6E5E326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）被依法暂停或取消投标资格的；</w:t>
      </w:r>
    </w:p>
    <w:p w14:paraId="651E2E3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）法律法规或投标人须知前附表规定的其他情形。</w:t>
      </w:r>
    </w:p>
    <w:p w14:paraId="02A4E1F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13" w:name="_Toc152042311"/>
      <w:bookmarkStart w:id="114" w:name="_Toc247513958"/>
      <w:bookmarkStart w:id="115" w:name="_Toc152045535"/>
      <w:bookmarkStart w:id="116" w:name="_Toc247527559"/>
      <w:bookmarkStart w:id="117" w:name="_Toc144974503"/>
      <w:bookmarkStart w:id="118" w:name="_Toc30449"/>
      <w:bookmarkStart w:id="119" w:name="_Toc15273"/>
      <w:bookmarkStart w:id="120" w:name="_Toc6289"/>
      <w:bookmarkStart w:id="121" w:name="_Toc26770"/>
      <w:bookmarkStart w:id="122" w:name="_Toc6106"/>
      <w:r>
        <w:rPr>
          <w:rFonts w:hint="eastAsia" w:ascii="方正楷体_GBK" w:hAnsi="方正楷体_GBK" w:eastAsia="方正楷体_GBK" w:cs="方正楷体_GBK"/>
          <w:bCs w:val="0"/>
          <w:color w:val="auto"/>
          <w:kern w:val="2"/>
          <w:sz w:val="24"/>
          <w:szCs w:val="24"/>
          <w:lang w:val="en-US" w:eastAsia="zh-CN" w:bidi="ar-SA"/>
        </w:rPr>
        <w:t>1.5 费用承担</w:t>
      </w:r>
      <w:bookmarkEnd w:id="113"/>
      <w:bookmarkEnd w:id="114"/>
      <w:bookmarkEnd w:id="115"/>
      <w:bookmarkEnd w:id="116"/>
      <w:bookmarkEnd w:id="117"/>
      <w:r>
        <w:rPr>
          <w:rFonts w:hint="eastAsia" w:ascii="方正楷体_GBK" w:hAnsi="方正楷体_GBK" w:eastAsia="方正楷体_GBK" w:cs="方正楷体_GBK"/>
          <w:bCs w:val="0"/>
          <w:color w:val="auto"/>
          <w:kern w:val="2"/>
          <w:sz w:val="24"/>
          <w:szCs w:val="24"/>
          <w:lang w:val="en-US" w:eastAsia="zh-CN" w:bidi="ar-SA"/>
        </w:rPr>
        <w:t>和设计成果补偿</w:t>
      </w:r>
      <w:bookmarkEnd w:id="118"/>
      <w:bookmarkEnd w:id="119"/>
      <w:bookmarkEnd w:id="120"/>
      <w:bookmarkEnd w:id="121"/>
      <w:bookmarkEnd w:id="122"/>
    </w:p>
    <w:p w14:paraId="1DC87D0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 投标人准备和参加投标活动发生的费用自理。</w:t>
      </w:r>
    </w:p>
    <w:p w14:paraId="79D8873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 招标人对符合招标文件规定的未中标人的设计成果进行补偿的，按投标人须知前附表规定给予补偿。</w:t>
      </w:r>
    </w:p>
    <w:p w14:paraId="47E58CE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23" w:name="_Toc27216"/>
      <w:bookmarkStart w:id="124" w:name="_Toc152042312"/>
      <w:bookmarkStart w:id="125" w:name="_Toc144974504"/>
      <w:bookmarkStart w:id="126" w:name="_Toc24493"/>
      <w:bookmarkStart w:id="127" w:name="_Toc31047"/>
      <w:bookmarkStart w:id="128" w:name="_Toc152045536"/>
      <w:bookmarkStart w:id="129" w:name="_Toc247527560"/>
      <w:bookmarkStart w:id="130" w:name="_Toc25214"/>
      <w:bookmarkStart w:id="131" w:name="_Toc247513959"/>
      <w:bookmarkStart w:id="132" w:name="_Toc29307"/>
      <w:r>
        <w:rPr>
          <w:rFonts w:hint="eastAsia" w:ascii="方正楷体_GBK" w:hAnsi="方正楷体_GBK" w:eastAsia="方正楷体_GBK" w:cs="方正楷体_GBK"/>
          <w:bCs w:val="0"/>
          <w:color w:val="auto"/>
          <w:kern w:val="2"/>
          <w:sz w:val="24"/>
          <w:szCs w:val="24"/>
          <w:lang w:val="en-US" w:eastAsia="zh-CN" w:bidi="ar-SA"/>
        </w:rPr>
        <w:t>1.6 保密</w:t>
      </w:r>
      <w:bookmarkEnd w:id="123"/>
      <w:bookmarkEnd w:id="124"/>
      <w:bookmarkEnd w:id="125"/>
      <w:bookmarkEnd w:id="126"/>
      <w:bookmarkEnd w:id="127"/>
      <w:bookmarkEnd w:id="128"/>
      <w:bookmarkEnd w:id="129"/>
      <w:bookmarkEnd w:id="130"/>
      <w:bookmarkEnd w:id="131"/>
      <w:bookmarkEnd w:id="132"/>
    </w:p>
    <w:p w14:paraId="20AC535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参与招标投标活动的各方应对招标文件和投标文件中的商业和技术等秘密保密，否则应承担相应的法律责任。</w:t>
      </w:r>
    </w:p>
    <w:p w14:paraId="3D8D13FD">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33" w:name="_Toc144974505"/>
      <w:bookmarkStart w:id="134" w:name="_Toc430"/>
      <w:bookmarkStart w:id="135" w:name="_Toc247513960"/>
      <w:bookmarkStart w:id="136" w:name="_Toc28872"/>
      <w:bookmarkStart w:id="137" w:name="_Toc13990"/>
      <w:bookmarkStart w:id="138" w:name="_Toc22090"/>
      <w:bookmarkStart w:id="139" w:name="_Toc152042313"/>
      <w:bookmarkStart w:id="140" w:name="_Toc14611"/>
      <w:bookmarkStart w:id="141" w:name="_Toc247527561"/>
      <w:bookmarkStart w:id="142" w:name="_Toc152045537"/>
      <w:r>
        <w:rPr>
          <w:rFonts w:hint="eastAsia" w:ascii="方正楷体_GBK" w:hAnsi="方正楷体_GBK" w:eastAsia="方正楷体_GBK" w:cs="方正楷体_GBK"/>
          <w:bCs w:val="0"/>
          <w:color w:val="auto"/>
          <w:kern w:val="2"/>
          <w:sz w:val="24"/>
          <w:szCs w:val="24"/>
          <w:lang w:val="en-US" w:eastAsia="zh-CN" w:bidi="ar-SA"/>
        </w:rPr>
        <w:t>1.7 语言</w:t>
      </w:r>
      <w:bookmarkEnd w:id="133"/>
      <w:r>
        <w:rPr>
          <w:rFonts w:hint="eastAsia" w:ascii="方正楷体_GBK" w:hAnsi="方正楷体_GBK" w:eastAsia="方正楷体_GBK" w:cs="方正楷体_GBK"/>
          <w:bCs w:val="0"/>
          <w:color w:val="auto"/>
          <w:kern w:val="2"/>
          <w:sz w:val="24"/>
          <w:szCs w:val="24"/>
          <w:lang w:val="en-US" w:eastAsia="zh-CN" w:bidi="ar-SA"/>
        </w:rPr>
        <w:t>文字</w:t>
      </w:r>
      <w:bookmarkEnd w:id="134"/>
      <w:bookmarkEnd w:id="135"/>
      <w:bookmarkEnd w:id="136"/>
      <w:bookmarkEnd w:id="137"/>
      <w:bookmarkEnd w:id="138"/>
      <w:bookmarkEnd w:id="139"/>
      <w:bookmarkEnd w:id="140"/>
      <w:bookmarkEnd w:id="141"/>
      <w:bookmarkEnd w:id="142"/>
    </w:p>
    <w:p w14:paraId="58F8967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除专用术语外，与招标投标有关的语言均使用中文。必要时专用术语应附有中文注释。</w:t>
      </w:r>
    </w:p>
    <w:p w14:paraId="07067545">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43" w:name="_Toc15337"/>
      <w:bookmarkStart w:id="144" w:name="_Toc152042314"/>
      <w:bookmarkStart w:id="145" w:name="_Toc152045538"/>
      <w:bookmarkStart w:id="146" w:name="_Toc144974506"/>
      <w:bookmarkStart w:id="147" w:name="_Toc4073"/>
      <w:bookmarkStart w:id="148" w:name="_Toc247513961"/>
      <w:bookmarkStart w:id="149" w:name="_Toc31227"/>
      <w:bookmarkStart w:id="150" w:name="_Toc19857"/>
      <w:bookmarkStart w:id="151" w:name="_Toc247527562"/>
      <w:bookmarkStart w:id="152" w:name="_Toc6508"/>
      <w:r>
        <w:rPr>
          <w:rFonts w:hint="eastAsia" w:ascii="方正楷体_GBK" w:hAnsi="方正楷体_GBK" w:eastAsia="方正楷体_GBK" w:cs="方正楷体_GBK"/>
          <w:bCs w:val="0"/>
          <w:color w:val="auto"/>
          <w:kern w:val="2"/>
          <w:sz w:val="24"/>
          <w:szCs w:val="24"/>
          <w:lang w:val="en-US" w:eastAsia="zh-CN" w:bidi="ar-SA"/>
        </w:rPr>
        <w:t>1.8 计量单位</w:t>
      </w:r>
      <w:bookmarkEnd w:id="143"/>
      <w:bookmarkEnd w:id="144"/>
      <w:bookmarkEnd w:id="145"/>
      <w:bookmarkEnd w:id="146"/>
      <w:bookmarkEnd w:id="147"/>
      <w:bookmarkEnd w:id="148"/>
      <w:bookmarkEnd w:id="149"/>
      <w:bookmarkEnd w:id="150"/>
      <w:bookmarkEnd w:id="151"/>
      <w:bookmarkEnd w:id="152"/>
    </w:p>
    <w:p w14:paraId="2EFE51C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00EE023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53" w:name="_Toc29760"/>
      <w:bookmarkStart w:id="154" w:name="_Toc152042315"/>
      <w:bookmarkStart w:id="155" w:name="_Toc152045539"/>
      <w:bookmarkStart w:id="156" w:name="_Toc25050"/>
      <w:bookmarkStart w:id="157" w:name="_Toc144974507"/>
      <w:bookmarkStart w:id="158" w:name="_Toc247513962"/>
      <w:bookmarkStart w:id="159" w:name="_Toc4600"/>
      <w:bookmarkStart w:id="160" w:name="_Toc247527563"/>
      <w:bookmarkStart w:id="161" w:name="_Toc18032"/>
      <w:bookmarkStart w:id="162" w:name="_Toc18136"/>
      <w:r>
        <w:rPr>
          <w:rFonts w:hint="eastAsia" w:ascii="方正楷体_GBK" w:hAnsi="方正楷体_GBK" w:eastAsia="方正楷体_GBK" w:cs="方正楷体_GBK"/>
          <w:bCs w:val="0"/>
          <w:color w:val="auto"/>
          <w:kern w:val="2"/>
          <w:sz w:val="24"/>
          <w:szCs w:val="24"/>
          <w:lang w:val="en-US" w:eastAsia="zh-CN" w:bidi="ar-SA"/>
        </w:rPr>
        <w:t>1.9 踏勘现场</w:t>
      </w:r>
      <w:bookmarkEnd w:id="153"/>
      <w:bookmarkEnd w:id="154"/>
      <w:bookmarkEnd w:id="155"/>
      <w:bookmarkEnd w:id="156"/>
      <w:bookmarkEnd w:id="157"/>
      <w:bookmarkEnd w:id="158"/>
      <w:bookmarkEnd w:id="159"/>
      <w:bookmarkEnd w:id="160"/>
      <w:bookmarkEnd w:id="161"/>
      <w:bookmarkEnd w:id="162"/>
    </w:p>
    <w:p w14:paraId="4CCCA6F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 投标人须知前附表规定组织踏勘现场的，招标人按投标人须知前附表规定的时间、地点组织投标人踏勘项目现场。</w:t>
      </w:r>
    </w:p>
    <w:p w14:paraId="0962D13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 投标人踏勘现场发生的费用自理。</w:t>
      </w:r>
    </w:p>
    <w:p w14:paraId="7E4C474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1.9.3 除招标人的原因外，投标人自行负责在踏勘现场中所发生的人员伤亡和财产损失。</w:t>
      </w:r>
    </w:p>
    <w:p w14:paraId="6DFC6379">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1.9.4 招标人在踏勘现场中介绍的工程场地和相关的周边环境情况，供投标人在编制投标文件时参考，招标人不对投标人据此作出的判断和决策负责。</w:t>
      </w:r>
    </w:p>
    <w:p w14:paraId="30BDF368">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63" w:name="_Toc12566"/>
      <w:bookmarkStart w:id="164" w:name="_Toc8539"/>
      <w:bookmarkStart w:id="165" w:name="_Toc152045540"/>
      <w:bookmarkStart w:id="166" w:name="_Toc28005"/>
      <w:bookmarkStart w:id="167" w:name="_Toc247527564"/>
      <w:bookmarkStart w:id="168" w:name="_Toc124"/>
      <w:bookmarkStart w:id="169" w:name="_Toc152042316"/>
      <w:bookmarkStart w:id="170" w:name="_Toc247513963"/>
      <w:bookmarkStart w:id="171" w:name="_Toc144974508"/>
      <w:bookmarkStart w:id="172" w:name="_Toc28070"/>
      <w:r>
        <w:rPr>
          <w:rFonts w:hint="eastAsia" w:ascii="方正楷体_GBK" w:hAnsi="方正楷体_GBK" w:eastAsia="方正楷体_GBK" w:cs="方正楷体_GBK"/>
          <w:bCs w:val="0"/>
          <w:color w:val="auto"/>
          <w:kern w:val="2"/>
          <w:sz w:val="24"/>
          <w:szCs w:val="24"/>
          <w:lang w:val="en-US" w:eastAsia="zh-CN" w:bidi="ar-SA"/>
        </w:rPr>
        <w:t>1.10 投标预备会</w:t>
      </w:r>
      <w:bookmarkEnd w:id="163"/>
      <w:bookmarkEnd w:id="164"/>
      <w:bookmarkEnd w:id="165"/>
      <w:bookmarkEnd w:id="166"/>
      <w:bookmarkEnd w:id="167"/>
      <w:bookmarkEnd w:id="168"/>
      <w:bookmarkEnd w:id="169"/>
      <w:bookmarkEnd w:id="170"/>
      <w:bookmarkEnd w:id="171"/>
      <w:bookmarkEnd w:id="172"/>
    </w:p>
    <w:p w14:paraId="2B32B16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1.10.1投标人须知前附表规定召开投标预备会的，招标人按投标人须知前附表规定的 时间和地点召开投标预备会，澄清投标人提出的问题。</w:t>
      </w:r>
    </w:p>
    <w:p w14:paraId="20FA2AC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1.10.2投标人提出</w:t>
      </w:r>
      <w:r>
        <w:rPr>
          <w:rFonts w:hint="eastAsia" w:ascii="宋体" w:hAnsi="宋体" w:eastAsia="宋体" w:cs="宋体"/>
          <w:color w:val="auto"/>
          <w:sz w:val="24"/>
          <w:szCs w:val="24"/>
          <w:lang w:eastAsia="zh-CN"/>
        </w:rPr>
        <w:t>异议</w:t>
      </w:r>
      <w:r>
        <w:rPr>
          <w:rFonts w:hint="eastAsia" w:ascii="宋体" w:hAnsi="宋体" w:eastAsia="宋体" w:cs="宋体"/>
          <w:color w:val="auto"/>
          <w:sz w:val="24"/>
          <w:szCs w:val="24"/>
        </w:rPr>
        <w:t>的截止时间、</w:t>
      </w:r>
      <w:r>
        <w:rPr>
          <w:rFonts w:hint="eastAsia" w:ascii="宋体" w:hAnsi="宋体" w:cs="宋体"/>
          <w:color w:val="auto"/>
          <w:sz w:val="24"/>
          <w:szCs w:val="24"/>
          <w:lang w:eastAsia="zh-CN"/>
        </w:rPr>
        <w:t>提交</w:t>
      </w:r>
      <w:r>
        <w:rPr>
          <w:rFonts w:hint="eastAsia" w:ascii="宋体" w:hAnsi="宋体" w:eastAsia="宋体" w:cs="宋体"/>
          <w:color w:val="auto"/>
          <w:sz w:val="24"/>
          <w:szCs w:val="24"/>
        </w:rPr>
        <w:t>方式见投标人须知前附表。</w:t>
      </w:r>
    </w:p>
    <w:p w14:paraId="26FD274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1.10.3 招标文件的澄清</w:t>
      </w:r>
      <w:r>
        <w:rPr>
          <w:rFonts w:hint="eastAsia" w:ascii="宋体" w:hAnsi="宋体" w:cs="宋体"/>
          <w:color w:val="auto"/>
          <w:sz w:val="24"/>
          <w:szCs w:val="24"/>
          <w:lang w:eastAsia="zh-CN"/>
        </w:rPr>
        <w:t>、</w:t>
      </w:r>
      <w:r>
        <w:rPr>
          <w:rFonts w:hint="eastAsia" w:ascii="宋体" w:hAnsi="宋体" w:eastAsia="宋体" w:cs="宋体"/>
          <w:color w:val="auto"/>
          <w:sz w:val="24"/>
          <w:szCs w:val="24"/>
        </w:rPr>
        <w:t>修改的时间及下载网址：见投标人须知前附表。该澄清</w:t>
      </w:r>
      <w:r>
        <w:rPr>
          <w:rFonts w:hint="eastAsia" w:ascii="宋体" w:hAnsi="宋体" w:cs="宋体"/>
          <w:color w:val="auto"/>
          <w:sz w:val="24"/>
          <w:szCs w:val="24"/>
          <w:lang w:eastAsia="zh-CN"/>
        </w:rPr>
        <w:t>、修改</w:t>
      </w:r>
      <w:r>
        <w:rPr>
          <w:rFonts w:hint="eastAsia" w:ascii="宋体" w:hAnsi="宋体" w:eastAsia="宋体" w:cs="宋体"/>
          <w:color w:val="auto"/>
          <w:sz w:val="24"/>
          <w:szCs w:val="24"/>
        </w:rPr>
        <w:t>内容为招标文件的组成部分。</w:t>
      </w:r>
    </w:p>
    <w:p w14:paraId="11A0D2FE">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73" w:name="_Toc152042317"/>
      <w:bookmarkStart w:id="174" w:name="_Toc11076"/>
      <w:bookmarkStart w:id="175" w:name="_Toc8592"/>
      <w:bookmarkStart w:id="176" w:name="_Toc152045541"/>
      <w:bookmarkStart w:id="177" w:name="_Toc247527565"/>
      <w:bookmarkStart w:id="178" w:name="_Toc22760"/>
      <w:bookmarkStart w:id="179" w:name="_Toc247513964"/>
      <w:bookmarkStart w:id="180" w:name="_Toc21460"/>
      <w:bookmarkStart w:id="181" w:name="_Toc144974509"/>
      <w:bookmarkStart w:id="182" w:name="_Toc3668"/>
      <w:r>
        <w:rPr>
          <w:rFonts w:hint="eastAsia" w:ascii="方正楷体_GBK" w:hAnsi="方正楷体_GBK" w:eastAsia="方正楷体_GBK" w:cs="方正楷体_GBK"/>
          <w:bCs w:val="0"/>
          <w:color w:val="auto"/>
          <w:kern w:val="2"/>
          <w:sz w:val="24"/>
          <w:szCs w:val="24"/>
          <w:lang w:val="en-US" w:eastAsia="zh-CN" w:bidi="ar-SA"/>
        </w:rPr>
        <w:t>1.11 分包</w:t>
      </w:r>
      <w:bookmarkEnd w:id="173"/>
      <w:bookmarkEnd w:id="174"/>
      <w:bookmarkEnd w:id="175"/>
      <w:bookmarkEnd w:id="176"/>
      <w:bookmarkEnd w:id="177"/>
      <w:bookmarkEnd w:id="178"/>
      <w:bookmarkEnd w:id="179"/>
      <w:bookmarkEnd w:id="180"/>
      <w:bookmarkEnd w:id="181"/>
      <w:bookmarkEnd w:id="182"/>
    </w:p>
    <w:p w14:paraId="55EB2F4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投标人拟在中标后将中标项目的部分非主体、非关键性工作进行分包的，应符合投标人须知前附表规定的分包内容、分包金额和接受分包的第三人资质要求等限制性条件。</w:t>
      </w:r>
    </w:p>
    <w:p w14:paraId="025FFDDD">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83" w:name="_Toc3502"/>
      <w:r>
        <w:rPr>
          <w:rFonts w:hint="eastAsia" w:ascii="方正楷体_GBK" w:hAnsi="方正楷体_GBK" w:eastAsia="方正楷体_GBK" w:cs="方正楷体_GBK"/>
          <w:bCs w:val="0"/>
          <w:color w:val="auto"/>
          <w:kern w:val="2"/>
          <w:sz w:val="24"/>
          <w:szCs w:val="24"/>
          <w:lang w:val="en-US" w:eastAsia="zh-CN" w:bidi="ar-SA"/>
        </w:rPr>
        <w:t>1.12  偏差</w:t>
      </w:r>
      <w:bookmarkEnd w:id="183"/>
    </w:p>
    <w:p w14:paraId="559F7F4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1.12.1 投标文件应当对招标文件的实质性要求和条件作出满足性或更有利于招标人的响应，否则，投标人的投标将被否决。实质性要求和条件见投标人须知前附表。</w:t>
      </w:r>
    </w:p>
    <w:p w14:paraId="51460BF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1.12.2 投标人须知前附表允许投标文件偏差招标文件某些要求的，偏</w:t>
      </w:r>
      <w:r>
        <w:rPr>
          <w:rFonts w:hint="eastAsia" w:ascii="宋体" w:hAnsi="宋体" w:cs="宋体"/>
          <w:color w:val="auto"/>
          <w:sz w:val="24"/>
          <w:szCs w:val="24"/>
          <w:lang w:eastAsia="zh-CN"/>
        </w:rPr>
        <w:t>差</w:t>
      </w:r>
      <w:r>
        <w:rPr>
          <w:rFonts w:hint="eastAsia" w:ascii="宋体" w:hAnsi="宋体" w:eastAsia="宋体" w:cs="宋体"/>
          <w:color w:val="auto"/>
          <w:sz w:val="24"/>
          <w:szCs w:val="24"/>
        </w:rPr>
        <w:t>应当符合招标文件规定的范围和幅度。投标人应响应评标委员会要求，对存在的细微偏差在评标结束前予以补正。拒不补正的，在详细评审时可以细微偏差作不利于该投标人的量化。</w:t>
      </w:r>
    </w:p>
    <w:p w14:paraId="1867F20D">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184" w:name="_Toc152045542"/>
      <w:bookmarkStart w:id="185" w:name="_Toc15729"/>
      <w:bookmarkStart w:id="186" w:name="_Toc27928"/>
      <w:bookmarkStart w:id="187" w:name="_Toc8011"/>
      <w:bookmarkStart w:id="188" w:name="_Toc18420"/>
      <w:bookmarkStart w:id="189" w:name="_Toc152042318"/>
      <w:bookmarkStart w:id="190" w:name="_Toc144974510"/>
      <w:bookmarkStart w:id="191" w:name="_Toc247513966"/>
      <w:bookmarkStart w:id="192" w:name="_Toc247527567"/>
      <w:bookmarkStart w:id="193" w:name="_Toc2705"/>
      <w:bookmarkStart w:id="194" w:name="_Toc11885"/>
      <w:r>
        <w:rPr>
          <w:rFonts w:hint="eastAsia" w:ascii="方正黑体_GBK" w:hAnsi="方正黑体_GBK" w:eastAsia="方正黑体_GBK" w:cs="方正黑体_GBK"/>
          <w:color w:val="auto"/>
          <w:sz w:val="24"/>
          <w:szCs w:val="24"/>
        </w:rPr>
        <w:t>2. 招标文件</w:t>
      </w:r>
      <w:bookmarkEnd w:id="184"/>
      <w:bookmarkEnd w:id="185"/>
      <w:bookmarkEnd w:id="186"/>
      <w:bookmarkEnd w:id="187"/>
      <w:bookmarkEnd w:id="188"/>
      <w:bookmarkEnd w:id="189"/>
      <w:bookmarkEnd w:id="190"/>
      <w:bookmarkEnd w:id="191"/>
      <w:bookmarkEnd w:id="192"/>
      <w:bookmarkEnd w:id="193"/>
      <w:bookmarkEnd w:id="194"/>
    </w:p>
    <w:p w14:paraId="2E112243">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95" w:name="_Toc247527568"/>
      <w:bookmarkStart w:id="196" w:name="_Toc1458"/>
      <w:bookmarkStart w:id="197" w:name="_Toc152042319"/>
      <w:bookmarkStart w:id="198" w:name="_Toc8311"/>
      <w:bookmarkStart w:id="199" w:name="_Toc22635"/>
      <w:bookmarkStart w:id="200" w:name="_Toc144974511"/>
      <w:bookmarkStart w:id="201" w:name="_Toc3271"/>
      <w:bookmarkStart w:id="202" w:name="_Toc152045543"/>
      <w:bookmarkStart w:id="203" w:name="_Toc9595"/>
      <w:bookmarkStart w:id="204" w:name="_Toc247513967"/>
      <w:bookmarkStart w:id="205" w:name="_Toc29682"/>
      <w:r>
        <w:rPr>
          <w:rFonts w:hint="eastAsia" w:ascii="方正楷体_GBK" w:hAnsi="方正楷体_GBK" w:eastAsia="方正楷体_GBK" w:cs="方正楷体_GBK"/>
          <w:bCs w:val="0"/>
          <w:color w:val="auto"/>
          <w:kern w:val="2"/>
          <w:sz w:val="24"/>
          <w:szCs w:val="24"/>
          <w:lang w:val="en-US" w:eastAsia="zh-CN" w:bidi="ar-SA"/>
        </w:rPr>
        <w:t>2.1 招标文件的组成</w:t>
      </w:r>
      <w:bookmarkEnd w:id="195"/>
      <w:bookmarkEnd w:id="196"/>
      <w:bookmarkEnd w:id="197"/>
      <w:bookmarkEnd w:id="198"/>
      <w:bookmarkEnd w:id="199"/>
      <w:bookmarkEnd w:id="200"/>
      <w:bookmarkEnd w:id="201"/>
      <w:bookmarkEnd w:id="202"/>
      <w:bookmarkEnd w:id="203"/>
      <w:bookmarkEnd w:id="204"/>
      <w:bookmarkEnd w:id="205"/>
    </w:p>
    <w:p w14:paraId="5831958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2.1.1 </w:t>
      </w:r>
      <w:r>
        <w:rPr>
          <w:rFonts w:hint="eastAsia" w:ascii="宋体" w:hAnsi="宋体" w:eastAsia="宋体" w:cs="宋体"/>
          <w:color w:val="auto"/>
          <w:sz w:val="24"/>
          <w:szCs w:val="24"/>
        </w:rPr>
        <w:t>本招标文件包括：</w:t>
      </w:r>
    </w:p>
    <w:p w14:paraId="021BF72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06" w:name="_Toc3533"/>
      <w:r>
        <w:rPr>
          <w:rFonts w:hint="eastAsia" w:ascii="宋体" w:hAnsi="宋体" w:eastAsia="宋体" w:cs="宋体"/>
          <w:color w:val="auto"/>
          <w:sz w:val="24"/>
          <w:szCs w:val="24"/>
        </w:rPr>
        <w:t>（1）招标公告（或投标邀请书）；</w:t>
      </w:r>
      <w:bookmarkEnd w:id="206"/>
    </w:p>
    <w:p w14:paraId="5B92B34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07" w:name="_Toc12612"/>
      <w:r>
        <w:rPr>
          <w:rFonts w:hint="eastAsia" w:ascii="宋体" w:hAnsi="宋体" w:eastAsia="宋体" w:cs="宋体"/>
          <w:color w:val="auto"/>
          <w:sz w:val="24"/>
          <w:szCs w:val="24"/>
        </w:rPr>
        <w:t>（2）投标人须知；</w:t>
      </w:r>
      <w:bookmarkEnd w:id="207"/>
    </w:p>
    <w:p w14:paraId="5C8FFB9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08" w:name="_Toc8952"/>
      <w:r>
        <w:rPr>
          <w:rFonts w:hint="eastAsia" w:ascii="宋体" w:hAnsi="宋体" w:eastAsia="宋体" w:cs="宋体"/>
          <w:color w:val="auto"/>
          <w:sz w:val="24"/>
          <w:szCs w:val="24"/>
        </w:rPr>
        <w:t>（3）评标办法；</w:t>
      </w:r>
      <w:bookmarkEnd w:id="208"/>
    </w:p>
    <w:p w14:paraId="5E32DC2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09" w:name="_Toc1218"/>
      <w:r>
        <w:rPr>
          <w:rFonts w:hint="eastAsia" w:ascii="宋体" w:hAnsi="宋体" w:eastAsia="宋体" w:cs="宋体"/>
          <w:color w:val="auto"/>
          <w:sz w:val="24"/>
          <w:szCs w:val="24"/>
        </w:rPr>
        <w:t>（4）合同条款及格式；</w:t>
      </w:r>
      <w:bookmarkEnd w:id="209"/>
    </w:p>
    <w:p w14:paraId="5697FBF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10" w:name="_Toc6436"/>
      <w:r>
        <w:rPr>
          <w:rFonts w:hint="eastAsia" w:ascii="宋体" w:hAnsi="宋体" w:eastAsia="宋体" w:cs="宋体"/>
          <w:color w:val="auto"/>
          <w:sz w:val="24"/>
          <w:szCs w:val="24"/>
        </w:rPr>
        <w:t>（5）发包人要求；</w:t>
      </w:r>
      <w:bookmarkEnd w:id="210"/>
    </w:p>
    <w:p w14:paraId="55D3D2E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11" w:name="_Toc21356"/>
      <w:r>
        <w:rPr>
          <w:rFonts w:hint="eastAsia" w:ascii="宋体" w:hAnsi="宋体" w:eastAsia="宋体" w:cs="宋体"/>
          <w:color w:val="auto"/>
          <w:sz w:val="24"/>
          <w:szCs w:val="24"/>
        </w:rPr>
        <w:t>（6）发包人提供的资料和条件；</w:t>
      </w:r>
      <w:bookmarkEnd w:id="211"/>
    </w:p>
    <w:p w14:paraId="3590C5E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12" w:name="_Toc4159"/>
      <w:r>
        <w:rPr>
          <w:rFonts w:hint="eastAsia" w:ascii="宋体" w:hAnsi="宋体" w:eastAsia="宋体" w:cs="宋体"/>
          <w:color w:val="auto"/>
          <w:sz w:val="24"/>
          <w:szCs w:val="24"/>
        </w:rPr>
        <w:t>（7）投标文件格式；</w:t>
      </w:r>
      <w:bookmarkEnd w:id="212"/>
    </w:p>
    <w:p w14:paraId="5B623079">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13" w:name="_Toc24815"/>
      <w:r>
        <w:rPr>
          <w:rFonts w:hint="eastAsia" w:ascii="宋体" w:hAnsi="宋体" w:eastAsia="宋体" w:cs="宋体"/>
          <w:color w:val="auto"/>
          <w:sz w:val="24"/>
          <w:szCs w:val="24"/>
        </w:rPr>
        <w:t>（8）投标人须知前附表规定的其他资料。</w:t>
      </w:r>
      <w:bookmarkEnd w:id="213"/>
    </w:p>
    <w:p w14:paraId="443D6E7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根据本章第1.10</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和第2.2对招标文件所作的澄清、修改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构成招标文件的组成部分。招标文件、招标文件的澄清或修改等在同一内容的表述上不一致时，以最后发出的书面文件为准。</w:t>
      </w:r>
    </w:p>
    <w:p w14:paraId="638685B0">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14" w:name="_Toc152042320"/>
      <w:bookmarkStart w:id="215" w:name="_Toc247513968"/>
      <w:bookmarkStart w:id="216" w:name="_Toc11056"/>
      <w:bookmarkStart w:id="217" w:name="_Toc17672"/>
      <w:bookmarkStart w:id="218" w:name="_Toc6855"/>
      <w:bookmarkStart w:id="219" w:name="_Toc17529"/>
      <w:bookmarkStart w:id="220" w:name="_Toc144974512"/>
      <w:bookmarkStart w:id="221" w:name="_Toc152045544"/>
      <w:bookmarkStart w:id="222" w:name="_Toc247527569"/>
      <w:bookmarkStart w:id="223" w:name="_Toc15058"/>
      <w:bookmarkStart w:id="224" w:name="_Toc25696"/>
      <w:r>
        <w:rPr>
          <w:rFonts w:hint="eastAsia" w:ascii="方正楷体_GBK" w:hAnsi="方正楷体_GBK" w:eastAsia="方正楷体_GBK" w:cs="方正楷体_GBK"/>
          <w:bCs w:val="0"/>
          <w:color w:val="auto"/>
          <w:kern w:val="2"/>
          <w:sz w:val="24"/>
          <w:szCs w:val="24"/>
          <w:lang w:val="en-US" w:eastAsia="zh-CN" w:bidi="ar-SA"/>
        </w:rPr>
        <w:t>2.2 招标文件的澄清</w:t>
      </w:r>
      <w:bookmarkEnd w:id="214"/>
      <w:bookmarkEnd w:id="215"/>
      <w:bookmarkEnd w:id="216"/>
      <w:bookmarkEnd w:id="217"/>
      <w:bookmarkEnd w:id="218"/>
      <w:bookmarkEnd w:id="219"/>
      <w:bookmarkEnd w:id="220"/>
      <w:bookmarkEnd w:id="221"/>
      <w:bookmarkEnd w:id="222"/>
      <w:bookmarkEnd w:id="223"/>
      <w:r>
        <w:rPr>
          <w:rFonts w:hint="eastAsia" w:ascii="方正楷体_GBK" w:hAnsi="方正楷体_GBK" w:eastAsia="方正楷体_GBK" w:cs="方正楷体_GBK"/>
          <w:bCs w:val="0"/>
          <w:color w:val="auto"/>
          <w:kern w:val="2"/>
          <w:sz w:val="24"/>
          <w:szCs w:val="24"/>
          <w:lang w:val="en-US" w:eastAsia="zh-CN" w:bidi="ar-SA"/>
        </w:rPr>
        <w:t>和修改</w:t>
      </w:r>
      <w:bookmarkEnd w:id="224"/>
    </w:p>
    <w:p w14:paraId="501379F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25" w:name="_Toc9630"/>
      <w:bookmarkStart w:id="226" w:name="_Toc4053"/>
      <w:bookmarkStart w:id="227" w:name="_Toc106885"/>
      <w:bookmarkStart w:id="228" w:name="_Toc11234"/>
      <w:bookmarkStart w:id="229" w:name="_Toc15722"/>
      <w:r>
        <w:rPr>
          <w:rFonts w:hint="eastAsia" w:ascii="宋体" w:hAnsi="宋体" w:eastAsia="宋体" w:cs="宋体"/>
          <w:color w:val="auto"/>
          <w:sz w:val="24"/>
          <w:szCs w:val="24"/>
        </w:rPr>
        <w:t>2.2.1 投标人应仔细阅读和检查招标文件的全部内容。如发现缺页或附件不全，应及时向招标人提出，以便补齐。如有疑问，应在投标人须知前附表第1.10.2规定的时间前通过</w:t>
      </w:r>
      <w:r>
        <w:rPr>
          <w:rFonts w:hint="eastAsia" w:ascii="宋体" w:hAnsi="宋体" w:eastAsia="宋体" w:cs="宋体"/>
          <w:color w:val="auto"/>
          <w:sz w:val="24"/>
          <w:szCs w:val="24"/>
          <w:u w:val="single"/>
        </w:rPr>
        <w:t>河北省公共资源交易服务平台-辛集市公共资源电子交易系统（http://120.211.111.200:88/XJTPBidderF9/memberframe/FrameAll）</w:t>
      </w:r>
      <w:r>
        <w:rPr>
          <w:rFonts w:hint="eastAsia" w:ascii="宋体" w:hAnsi="宋体" w:eastAsia="宋体" w:cs="宋体"/>
          <w:i w:val="0"/>
          <w:iCs w:val="0"/>
          <w:color w:val="auto"/>
          <w:sz w:val="24"/>
          <w:szCs w:val="24"/>
          <w:u w:val="none"/>
          <w:lang w:eastAsia="zh-CN"/>
        </w:rPr>
        <w:t>提出</w:t>
      </w:r>
      <w:r>
        <w:rPr>
          <w:rFonts w:hint="eastAsia" w:ascii="宋体" w:hAnsi="宋体" w:eastAsia="宋体" w:cs="宋体"/>
          <w:color w:val="auto"/>
          <w:sz w:val="24"/>
          <w:szCs w:val="24"/>
        </w:rPr>
        <w:t>，要求招标人对招标文件予以澄清。</w:t>
      </w:r>
    </w:p>
    <w:p w14:paraId="21FBE5B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 招标文件的澄清、修改可能影响投标文件编制的，招标人将在投标人须知前附表规定的投标截止时间15日前通过</w:t>
      </w:r>
      <w:r>
        <w:rPr>
          <w:rFonts w:hint="eastAsia" w:ascii="宋体" w:hAnsi="宋体" w:eastAsia="宋体" w:cs="宋体"/>
          <w:color w:val="auto"/>
          <w:sz w:val="24"/>
          <w:szCs w:val="24"/>
          <w:u w:val="single"/>
        </w:rPr>
        <w:t>河北省公共资源交易服务平台-辛集市公共资源电子交易系统（http://120.211.111.200:88/XJTPBidderF9/memberframe/FrameAll）</w:t>
      </w:r>
      <w:r>
        <w:rPr>
          <w:rFonts w:hint="eastAsia" w:ascii="宋体" w:hAnsi="宋体" w:eastAsia="宋体" w:cs="宋体"/>
          <w:color w:val="auto"/>
          <w:sz w:val="24"/>
          <w:szCs w:val="24"/>
        </w:rPr>
        <w:t>进行发布，但不指明澄清问题的来源。如果澄清发出的时间距投标截止时间不足15日，相应延长投标截止时间。</w:t>
      </w:r>
    </w:p>
    <w:p w14:paraId="4A1A683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 投标人确认收到招标文件澄清和修改内容的时间：见投标人须知前附表</w:t>
      </w:r>
      <w:r>
        <w:rPr>
          <w:rFonts w:hint="eastAsia" w:ascii="宋体" w:hAnsi="宋体" w:eastAsia="宋体" w:cs="宋体"/>
          <w:color w:val="auto"/>
          <w:spacing w:val="-4"/>
          <w:sz w:val="24"/>
          <w:szCs w:val="24"/>
        </w:rPr>
        <w:t>。</w:t>
      </w:r>
    </w:p>
    <w:bookmarkEnd w:id="225"/>
    <w:bookmarkEnd w:id="226"/>
    <w:bookmarkEnd w:id="227"/>
    <w:bookmarkEnd w:id="228"/>
    <w:bookmarkEnd w:id="229"/>
    <w:p w14:paraId="7763CE99">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230" w:name="_Toc247527571"/>
      <w:bookmarkStart w:id="231" w:name="_Toc144974514"/>
      <w:bookmarkStart w:id="232" w:name="_Toc10705"/>
      <w:bookmarkStart w:id="233" w:name="_Toc21"/>
      <w:bookmarkStart w:id="234" w:name="_Toc152042322"/>
      <w:bookmarkStart w:id="235" w:name="_Toc32101"/>
      <w:bookmarkStart w:id="236" w:name="_Toc247513970"/>
      <w:bookmarkStart w:id="237" w:name="_Toc1865"/>
      <w:bookmarkStart w:id="238" w:name="_Toc41"/>
      <w:bookmarkStart w:id="239" w:name="_Toc10196"/>
      <w:bookmarkStart w:id="240" w:name="_Toc152045546"/>
      <w:r>
        <w:rPr>
          <w:rFonts w:hint="eastAsia" w:ascii="方正黑体_GBK" w:hAnsi="方正黑体_GBK" w:eastAsia="方正黑体_GBK" w:cs="方正黑体_GBK"/>
          <w:color w:val="auto"/>
          <w:sz w:val="24"/>
          <w:szCs w:val="24"/>
        </w:rPr>
        <w:t>3. 投标文件</w:t>
      </w:r>
      <w:bookmarkEnd w:id="230"/>
      <w:bookmarkEnd w:id="231"/>
      <w:bookmarkEnd w:id="232"/>
      <w:bookmarkEnd w:id="233"/>
      <w:bookmarkEnd w:id="234"/>
      <w:bookmarkEnd w:id="235"/>
      <w:bookmarkEnd w:id="236"/>
      <w:bookmarkEnd w:id="237"/>
      <w:bookmarkEnd w:id="238"/>
      <w:bookmarkEnd w:id="239"/>
      <w:bookmarkEnd w:id="240"/>
    </w:p>
    <w:p w14:paraId="16850179">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41" w:name="_Toc703"/>
      <w:bookmarkStart w:id="242" w:name="_Toc27179"/>
      <w:bookmarkStart w:id="243" w:name="_Toc4074"/>
      <w:bookmarkStart w:id="244" w:name="_Toc152042323"/>
      <w:bookmarkStart w:id="245" w:name="_Toc247527572"/>
      <w:bookmarkStart w:id="246" w:name="_Toc11777"/>
      <w:bookmarkStart w:id="247" w:name="_Toc23813"/>
      <w:bookmarkStart w:id="248" w:name="_Toc144974515"/>
      <w:bookmarkStart w:id="249" w:name="_Toc26768"/>
      <w:bookmarkStart w:id="250" w:name="_Toc152045547"/>
      <w:bookmarkStart w:id="251" w:name="_Toc247513971"/>
      <w:r>
        <w:rPr>
          <w:rFonts w:hint="eastAsia" w:ascii="方正楷体_GBK" w:hAnsi="方正楷体_GBK" w:eastAsia="方正楷体_GBK" w:cs="方正楷体_GBK"/>
          <w:bCs w:val="0"/>
          <w:color w:val="auto"/>
          <w:kern w:val="2"/>
          <w:sz w:val="24"/>
          <w:szCs w:val="24"/>
          <w:lang w:val="en-US" w:eastAsia="zh-CN" w:bidi="ar-SA"/>
        </w:rPr>
        <w:t>3.1 投标文件的组成</w:t>
      </w:r>
      <w:bookmarkEnd w:id="241"/>
      <w:bookmarkEnd w:id="242"/>
      <w:bookmarkEnd w:id="243"/>
      <w:bookmarkEnd w:id="244"/>
      <w:bookmarkEnd w:id="245"/>
      <w:bookmarkEnd w:id="246"/>
      <w:bookmarkEnd w:id="247"/>
      <w:bookmarkEnd w:id="248"/>
      <w:bookmarkEnd w:id="249"/>
      <w:bookmarkEnd w:id="250"/>
      <w:bookmarkEnd w:id="251"/>
    </w:p>
    <w:p w14:paraId="5E6F7DA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投标文件根据评标办法由投标文件商务标、技术标组成。（招标人可将投标须知前附表3.1投标资料按相应的评标办法进行组合）</w:t>
      </w:r>
    </w:p>
    <w:p w14:paraId="68FF728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 投标文件商务标主要内容见</w:t>
      </w:r>
      <w:r>
        <w:rPr>
          <w:rFonts w:hint="eastAsia" w:ascii="宋体" w:hAnsi="宋体" w:eastAsia="宋体" w:cs="宋体"/>
          <w:color w:val="auto"/>
          <w:sz w:val="24"/>
          <w:szCs w:val="24"/>
        </w:rPr>
        <w:t>投标须知前附表</w:t>
      </w:r>
      <w:r>
        <w:rPr>
          <w:rFonts w:hint="eastAsia" w:ascii="宋体" w:hAnsi="宋体" w:eastAsia="宋体" w:cs="宋体"/>
          <w:color w:val="auto"/>
          <w:sz w:val="24"/>
          <w:szCs w:val="24"/>
          <w:lang w:val="en-US" w:eastAsia="zh-CN"/>
        </w:rPr>
        <w:t>。</w:t>
      </w:r>
    </w:p>
    <w:p w14:paraId="5B61DD2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3.1.2 投标文件技术标主要内容见</w:t>
      </w:r>
      <w:r>
        <w:rPr>
          <w:rFonts w:hint="eastAsia" w:ascii="宋体" w:hAnsi="宋体" w:eastAsia="宋体" w:cs="宋体"/>
          <w:color w:val="auto"/>
          <w:sz w:val="24"/>
          <w:szCs w:val="24"/>
        </w:rPr>
        <w:t>投标须知前附表</w:t>
      </w:r>
      <w:r>
        <w:rPr>
          <w:rFonts w:hint="eastAsia" w:ascii="宋体" w:hAnsi="宋体" w:eastAsia="宋体" w:cs="宋体"/>
          <w:color w:val="auto"/>
          <w:sz w:val="24"/>
          <w:szCs w:val="24"/>
          <w:lang w:eastAsia="zh-CN"/>
        </w:rPr>
        <w:t>。</w:t>
      </w:r>
    </w:p>
    <w:p w14:paraId="37CD3FA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招标公告（或投标邀请书）规定不接受联合体投标的，或投标人没有组成联合体的，投标文件不包括联合体协议书。</w:t>
      </w:r>
    </w:p>
    <w:p w14:paraId="7E3C188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3.1.4 </w:t>
      </w:r>
      <w:r>
        <w:rPr>
          <w:rFonts w:hint="eastAsia" w:ascii="宋体" w:hAnsi="宋体" w:eastAsia="宋体" w:cs="宋体"/>
          <w:color w:val="auto"/>
          <w:sz w:val="24"/>
          <w:szCs w:val="24"/>
        </w:rPr>
        <w:t>招标文件要求投标人提交的其它投标资料见投标须知前附表</w:t>
      </w:r>
      <w:r>
        <w:rPr>
          <w:rFonts w:hint="eastAsia" w:ascii="宋体" w:hAnsi="宋体" w:eastAsia="宋体" w:cs="宋体"/>
          <w:color w:val="auto"/>
          <w:sz w:val="24"/>
          <w:szCs w:val="24"/>
          <w:lang w:eastAsia="zh-CN"/>
        </w:rPr>
        <w:t>。</w:t>
      </w:r>
    </w:p>
    <w:p w14:paraId="74F366E6">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52" w:name="_Toc32026"/>
      <w:bookmarkStart w:id="253" w:name="_Toc31758"/>
      <w:bookmarkStart w:id="254" w:name="_Toc12569"/>
      <w:bookmarkStart w:id="255" w:name="_Toc152045548"/>
      <w:bookmarkStart w:id="256" w:name="_Toc247527573"/>
      <w:bookmarkStart w:id="257" w:name="_Toc7247"/>
      <w:bookmarkStart w:id="258" w:name="_Toc25845"/>
      <w:bookmarkStart w:id="259" w:name="_Toc152042324"/>
      <w:bookmarkStart w:id="260" w:name="_Toc247513972"/>
      <w:bookmarkStart w:id="261" w:name="_Toc19347"/>
      <w:bookmarkStart w:id="262" w:name="_Toc144974516"/>
      <w:r>
        <w:rPr>
          <w:rFonts w:hint="eastAsia" w:ascii="方正楷体_GBK" w:hAnsi="方正楷体_GBK" w:eastAsia="方正楷体_GBK" w:cs="方正楷体_GBK"/>
          <w:bCs w:val="0"/>
          <w:color w:val="auto"/>
          <w:kern w:val="2"/>
          <w:sz w:val="24"/>
          <w:szCs w:val="24"/>
          <w:lang w:val="en-US" w:eastAsia="zh-CN" w:bidi="ar-SA"/>
        </w:rPr>
        <w:t>3.2 投标报价</w:t>
      </w:r>
      <w:bookmarkEnd w:id="252"/>
      <w:bookmarkEnd w:id="253"/>
      <w:bookmarkEnd w:id="254"/>
      <w:bookmarkEnd w:id="255"/>
      <w:bookmarkEnd w:id="256"/>
      <w:bookmarkEnd w:id="257"/>
      <w:bookmarkEnd w:id="258"/>
      <w:bookmarkEnd w:id="259"/>
      <w:bookmarkEnd w:id="260"/>
      <w:bookmarkEnd w:id="261"/>
      <w:bookmarkEnd w:id="262"/>
      <w:r>
        <w:rPr>
          <w:rFonts w:hint="eastAsia" w:ascii="方正楷体_GBK" w:hAnsi="方正楷体_GBK" w:eastAsia="方正楷体_GBK" w:cs="方正楷体_GBK"/>
          <w:bCs w:val="0"/>
          <w:color w:val="auto"/>
          <w:kern w:val="2"/>
          <w:sz w:val="24"/>
          <w:szCs w:val="24"/>
          <w:lang w:val="en-US" w:eastAsia="zh-CN" w:bidi="ar-SA"/>
        </w:rPr>
        <w:t xml:space="preserve"> </w:t>
      </w:r>
    </w:p>
    <w:p w14:paraId="519DD3D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 投标人应按第七章“投标文件格式”的要求填写价格清单。</w:t>
      </w:r>
    </w:p>
    <w:p w14:paraId="38F9C41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 投标人应充分了解施工场地的位置、周边环境、道路、装卸、保管、安装限制以及影响投标报价的其他要素。投标人根据投标设计，结合市场情况进行投标报价。</w:t>
      </w:r>
    </w:p>
    <w:p w14:paraId="3DD4CEE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 投标人在投标截止时间前修改投标函中的投标报价总额，应同时修改投标文件“价格清单”中的相应报价，投标报价总额为各分项金额之和。此修改须符合本章第</w:t>
      </w:r>
      <w:r>
        <w:rPr>
          <w:rFonts w:hint="eastAsia" w:ascii="宋体" w:hAnsi="宋体" w:cs="宋体"/>
          <w:color w:val="auto"/>
          <w:sz w:val="24"/>
          <w:szCs w:val="24"/>
          <w:lang w:val="en-US" w:eastAsia="zh-CN"/>
        </w:rPr>
        <w:t>4.2</w:t>
      </w:r>
      <w:r>
        <w:rPr>
          <w:rFonts w:hint="eastAsia" w:ascii="宋体" w:hAnsi="宋体" w:eastAsia="宋体" w:cs="宋体"/>
          <w:color w:val="auto"/>
          <w:sz w:val="24"/>
          <w:szCs w:val="24"/>
        </w:rPr>
        <w:t>款的有关要求。</w:t>
      </w:r>
    </w:p>
    <w:p w14:paraId="4CFBD7E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3.2.4 招标人设有最高投标限价的，投标人的投标报价不得超过最高投标限价，最高投标限价或其计算方法在投标人须知前附表中载明。</w:t>
      </w:r>
    </w:p>
    <w:p w14:paraId="73442C4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3.2.5 投标报价的其他要求见投标人须知前附表。</w:t>
      </w:r>
    </w:p>
    <w:p w14:paraId="67CCF8D8">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63" w:name="_Toc22142"/>
      <w:bookmarkStart w:id="264" w:name="_Toc9137"/>
      <w:bookmarkStart w:id="265" w:name="_Toc247527574"/>
      <w:bookmarkStart w:id="266" w:name="_Toc152045549"/>
      <w:bookmarkStart w:id="267" w:name="_Toc152042325"/>
      <w:bookmarkStart w:id="268" w:name="_Toc9085"/>
      <w:bookmarkStart w:id="269" w:name="_Toc30218"/>
      <w:bookmarkStart w:id="270" w:name="_Toc24725"/>
      <w:bookmarkStart w:id="271" w:name="_Toc247513973"/>
      <w:bookmarkStart w:id="272" w:name="_Toc144974517"/>
      <w:bookmarkStart w:id="273" w:name="_Toc2983"/>
      <w:r>
        <w:rPr>
          <w:rFonts w:hint="eastAsia" w:ascii="方正楷体_GBK" w:hAnsi="方正楷体_GBK" w:eastAsia="方正楷体_GBK" w:cs="方正楷体_GBK"/>
          <w:bCs w:val="0"/>
          <w:color w:val="auto"/>
          <w:kern w:val="2"/>
          <w:sz w:val="24"/>
          <w:szCs w:val="24"/>
          <w:lang w:val="en-US" w:eastAsia="zh-CN" w:bidi="ar-SA"/>
        </w:rPr>
        <w:t>3.3 投标有效期</w:t>
      </w:r>
      <w:bookmarkEnd w:id="263"/>
      <w:bookmarkEnd w:id="264"/>
      <w:bookmarkEnd w:id="265"/>
      <w:bookmarkEnd w:id="266"/>
      <w:bookmarkEnd w:id="267"/>
      <w:bookmarkEnd w:id="268"/>
      <w:bookmarkEnd w:id="269"/>
      <w:bookmarkEnd w:id="270"/>
      <w:bookmarkEnd w:id="271"/>
      <w:bookmarkEnd w:id="272"/>
      <w:bookmarkEnd w:id="273"/>
    </w:p>
    <w:p w14:paraId="24AC050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 在投标有效期内，投标人撤销或修改其投标文件的，应承担招标文件和法律规定的责任。</w:t>
      </w:r>
    </w:p>
    <w:p w14:paraId="100C0A1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 出现特殊情况需要延长投标有效期的，招标人通过</w:t>
      </w:r>
      <w:r>
        <w:rPr>
          <w:rFonts w:hint="eastAsia" w:ascii="宋体" w:hAnsi="宋体" w:eastAsia="宋体" w:cs="宋体"/>
          <w:color w:val="auto"/>
          <w:sz w:val="24"/>
          <w:szCs w:val="24"/>
          <w:u w:val="single"/>
        </w:rPr>
        <w:t>河北省公共资源交易服务平台-辛集市公共资源电子交易系统（http://120.211.111.200:88/XJTPBidderF9/memberframe/FrameAll）</w:t>
      </w:r>
      <w:r>
        <w:rPr>
          <w:rFonts w:hint="eastAsia" w:ascii="宋体" w:hAnsi="宋体" w:eastAsia="宋体" w:cs="宋体"/>
          <w:color w:val="auto"/>
          <w:sz w:val="24"/>
          <w:szCs w:val="24"/>
        </w:rPr>
        <w:t>通知所有投标人延长投标有效期。投标人同意延长的，应相应延长其投标保证金的有效期，但不得要求或被允许修改或撤销其投标文件；投标人拒绝延长的，其投标失效，但投标人有权收回其投标保证金及银行同期存款利息。</w:t>
      </w:r>
    </w:p>
    <w:p w14:paraId="1E02598B">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74" w:name="_Toc364"/>
      <w:r>
        <w:rPr>
          <w:rFonts w:hint="eastAsia" w:ascii="方正楷体_GBK" w:hAnsi="方正楷体_GBK" w:eastAsia="方正楷体_GBK" w:cs="方正楷体_GBK"/>
          <w:bCs w:val="0"/>
          <w:color w:val="auto"/>
          <w:kern w:val="2"/>
          <w:sz w:val="24"/>
          <w:szCs w:val="24"/>
          <w:lang w:val="en-US" w:eastAsia="zh-CN" w:bidi="ar-SA"/>
        </w:rPr>
        <w:t>3.4   投标保证金</w:t>
      </w:r>
      <w:bookmarkEnd w:id="274"/>
    </w:p>
    <w:p w14:paraId="4A72278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 投标人在递交投标文件的同时，应按投标人须知前附表规定的金额、担保形式和第七章“投标文件格式 ”规定的投标保证金格式递交投标保证金，并作为其投标文件的组成部分。联合体投标的，其投标保证金由牵头人递交，并应符合投标人须知前附表的规定。</w:t>
      </w:r>
    </w:p>
    <w:p w14:paraId="458CAFD1">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3.4.2 投标人不按本章第3.4.1要求提交投标保证金的，其投标文件作否决投标处理。</w:t>
      </w:r>
    </w:p>
    <w:p w14:paraId="403C5F5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3.4.3 有下列情形之一的，投标保证金将不予退还：</w:t>
      </w:r>
    </w:p>
    <w:p w14:paraId="72A34EA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（1）在提交投标文件截止时间后到招标文件规定的投标有效期终止之前，投标人撤销其投标文件的；</w:t>
      </w:r>
    </w:p>
    <w:p w14:paraId="77C6CB2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（2）中标人在收到中标通知书后，无正当理由不与招标人订立合同，在签订合同时向招标人提出附加条件，或者不按照招标文件要求提交履约担保；</w:t>
      </w:r>
    </w:p>
    <w:p w14:paraId="08F51EC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（3）投标人须知前附表规定的其他情形。</w:t>
      </w:r>
    </w:p>
    <w:p w14:paraId="19BA3C03">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75" w:name="_Toc8903"/>
      <w:r>
        <w:rPr>
          <w:rFonts w:hint="eastAsia" w:ascii="方正楷体_GBK" w:hAnsi="方正楷体_GBK" w:eastAsia="方正楷体_GBK" w:cs="方正楷体_GBK"/>
          <w:bCs w:val="0"/>
          <w:color w:val="auto"/>
          <w:kern w:val="2"/>
          <w:sz w:val="24"/>
          <w:szCs w:val="24"/>
          <w:lang w:val="en-US" w:eastAsia="zh-CN" w:bidi="ar-SA"/>
        </w:rPr>
        <w:t>3.5 实质性响应招标文件资料</w:t>
      </w:r>
      <w:bookmarkEnd w:id="275"/>
    </w:p>
    <w:p w14:paraId="114D154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实质性响应招标文件资料见投标人须知前附表。</w:t>
      </w:r>
    </w:p>
    <w:p w14:paraId="49288E48">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76" w:name="_Toc20052"/>
      <w:bookmarkStart w:id="277" w:name="_Toc247527578"/>
      <w:bookmarkStart w:id="278" w:name="_Toc10374"/>
      <w:bookmarkStart w:id="279" w:name="_Toc247513977"/>
      <w:bookmarkStart w:id="280" w:name="_Toc152042329"/>
      <w:bookmarkStart w:id="281" w:name="_Toc15051"/>
      <w:bookmarkStart w:id="282" w:name="_Toc2222"/>
      <w:bookmarkStart w:id="283" w:name="_Toc152045553"/>
      <w:bookmarkStart w:id="284" w:name="_Toc144974521"/>
      <w:bookmarkStart w:id="285" w:name="_Toc21350"/>
      <w:r>
        <w:rPr>
          <w:rFonts w:hint="eastAsia" w:ascii="方正楷体_GBK" w:hAnsi="方正楷体_GBK" w:eastAsia="方正楷体_GBK" w:cs="方正楷体_GBK"/>
          <w:bCs w:val="0"/>
          <w:color w:val="auto"/>
          <w:kern w:val="2"/>
          <w:sz w:val="24"/>
          <w:szCs w:val="24"/>
          <w:lang w:val="en-US" w:eastAsia="zh-CN" w:bidi="ar-SA"/>
        </w:rPr>
        <w:t>3.6 备选投标方案</w:t>
      </w:r>
      <w:bookmarkEnd w:id="276"/>
      <w:bookmarkEnd w:id="277"/>
      <w:bookmarkEnd w:id="278"/>
      <w:bookmarkEnd w:id="279"/>
      <w:bookmarkEnd w:id="280"/>
      <w:bookmarkEnd w:id="281"/>
      <w:bookmarkEnd w:id="282"/>
      <w:bookmarkEnd w:id="283"/>
      <w:bookmarkEnd w:id="284"/>
      <w:bookmarkEnd w:id="285"/>
    </w:p>
    <w:p w14:paraId="77BCB881">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除投标人须知前附表另有规定外，投标人不得递交备选投标方案。允许投标人递交备选投标方案的，只有中标人所递交的备选投标方案方可予以考虑。</w:t>
      </w:r>
    </w:p>
    <w:p w14:paraId="74401C03">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86" w:name="_Toc18114"/>
      <w:bookmarkStart w:id="287" w:name="_Toc152042330"/>
      <w:bookmarkStart w:id="288" w:name="_Toc29750"/>
      <w:bookmarkStart w:id="289" w:name="_Toc9191"/>
      <w:bookmarkStart w:id="290" w:name="_Toc247513978"/>
      <w:bookmarkStart w:id="291" w:name="_Toc12597"/>
      <w:bookmarkStart w:id="292" w:name="_Toc152045554"/>
      <w:bookmarkStart w:id="293" w:name="_Toc247527579"/>
      <w:bookmarkStart w:id="294" w:name="_Toc29108"/>
      <w:bookmarkStart w:id="295" w:name="_Toc144974522"/>
      <w:r>
        <w:rPr>
          <w:rFonts w:hint="eastAsia" w:ascii="方正楷体_GBK" w:hAnsi="方正楷体_GBK" w:eastAsia="方正楷体_GBK" w:cs="方正楷体_GBK"/>
          <w:bCs w:val="0"/>
          <w:color w:val="auto"/>
          <w:kern w:val="2"/>
          <w:sz w:val="24"/>
          <w:szCs w:val="24"/>
          <w:lang w:val="en-US" w:eastAsia="zh-CN" w:bidi="ar-SA"/>
        </w:rPr>
        <w:t>3.7 投标文件的编制</w:t>
      </w:r>
      <w:bookmarkEnd w:id="286"/>
      <w:bookmarkEnd w:id="287"/>
      <w:bookmarkEnd w:id="288"/>
      <w:bookmarkEnd w:id="289"/>
      <w:bookmarkEnd w:id="290"/>
      <w:bookmarkEnd w:id="291"/>
      <w:bookmarkEnd w:id="292"/>
      <w:bookmarkEnd w:id="293"/>
      <w:bookmarkEnd w:id="294"/>
      <w:bookmarkEnd w:id="295"/>
    </w:p>
    <w:p w14:paraId="5AD22DD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37907C1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3.7.2 投标文件应当对招标文件有关招标范围、投标有效期、工期、质量标准、发包人要求等实质性内容作出响应。</w:t>
      </w:r>
    </w:p>
    <w:p w14:paraId="2B996F4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3.7.3 投标文件签字或盖章的具体要求见投标人须知前附表。</w:t>
      </w:r>
    </w:p>
    <w:p w14:paraId="49295E2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3.7.4 投标文件</w:t>
      </w:r>
      <w:r>
        <w:rPr>
          <w:rFonts w:hint="eastAsia" w:ascii="宋体" w:hAnsi="宋体" w:eastAsia="宋体" w:cs="宋体"/>
          <w:color w:val="auto"/>
          <w:sz w:val="24"/>
          <w:szCs w:val="24"/>
          <w:lang w:eastAsia="zh-CN"/>
        </w:rPr>
        <w:t>份数具体要求见投标人须知前附表。</w:t>
      </w:r>
    </w:p>
    <w:p w14:paraId="20A057E0">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296" w:name="_Toc465"/>
      <w:bookmarkStart w:id="297" w:name="_Toc152045555"/>
      <w:bookmarkStart w:id="298" w:name="_Toc152042331"/>
      <w:bookmarkStart w:id="299" w:name="_Toc247527580"/>
      <w:bookmarkStart w:id="300" w:name="_Toc11719"/>
      <w:bookmarkStart w:id="301" w:name="_Toc247513979"/>
      <w:bookmarkStart w:id="302" w:name="_Toc8109"/>
      <w:bookmarkStart w:id="303" w:name="_Toc5147"/>
      <w:bookmarkStart w:id="304" w:name="_Toc27028"/>
      <w:bookmarkStart w:id="305" w:name="_Toc144974523"/>
      <w:bookmarkStart w:id="306" w:name="_Toc6597"/>
      <w:r>
        <w:rPr>
          <w:rFonts w:hint="eastAsia" w:ascii="方正黑体_GBK" w:hAnsi="方正黑体_GBK" w:eastAsia="方正黑体_GBK" w:cs="方正黑体_GBK"/>
          <w:color w:val="auto"/>
          <w:sz w:val="24"/>
          <w:szCs w:val="24"/>
        </w:rPr>
        <w:t>4. 投标</w:t>
      </w:r>
      <w:bookmarkEnd w:id="296"/>
      <w:bookmarkEnd w:id="297"/>
      <w:bookmarkEnd w:id="298"/>
      <w:bookmarkEnd w:id="299"/>
      <w:bookmarkEnd w:id="300"/>
      <w:bookmarkEnd w:id="301"/>
      <w:bookmarkEnd w:id="302"/>
      <w:bookmarkEnd w:id="303"/>
      <w:bookmarkEnd w:id="304"/>
      <w:bookmarkEnd w:id="305"/>
      <w:bookmarkEnd w:id="306"/>
    </w:p>
    <w:p w14:paraId="25347D22">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07" w:name="_Toc152045557"/>
      <w:bookmarkStart w:id="308" w:name="_Toc247513981"/>
      <w:bookmarkStart w:id="309" w:name="_Toc23146"/>
      <w:bookmarkStart w:id="310" w:name="_Toc20608"/>
      <w:bookmarkStart w:id="311" w:name="_Toc9898"/>
      <w:bookmarkStart w:id="312" w:name="_Toc20627"/>
      <w:bookmarkStart w:id="313" w:name="_Toc144974525"/>
      <w:bookmarkStart w:id="314" w:name="_Toc152042333"/>
      <w:bookmarkStart w:id="315" w:name="_Toc8637"/>
      <w:bookmarkStart w:id="316" w:name="_Toc8870"/>
      <w:bookmarkStart w:id="317" w:name="_Toc247527582"/>
      <w:r>
        <w:rPr>
          <w:rFonts w:hint="eastAsia" w:ascii="方正楷体_GBK" w:hAnsi="方正楷体_GBK" w:eastAsia="方正楷体_GBK" w:cs="方正楷体_GBK"/>
          <w:bCs w:val="0"/>
          <w:color w:val="auto"/>
          <w:kern w:val="2"/>
          <w:sz w:val="24"/>
          <w:szCs w:val="24"/>
          <w:lang w:val="en-US" w:eastAsia="zh-CN" w:bidi="ar-SA"/>
        </w:rPr>
        <w:t>4.1 投标文件的递交</w:t>
      </w:r>
      <w:bookmarkEnd w:id="307"/>
      <w:bookmarkEnd w:id="308"/>
      <w:bookmarkEnd w:id="309"/>
      <w:bookmarkEnd w:id="310"/>
      <w:bookmarkEnd w:id="311"/>
      <w:bookmarkEnd w:id="312"/>
      <w:bookmarkEnd w:id="313"/>
      <w:bookmarkEnd w:id="314"/>
      <w:bookmarkEnd w:id="315"/>
      <w:bookmarkEnd w:id="316"/>
      <w:bookmarkEnd w:id="317"/>
    </w:p>
    <w:p w14:paraId="06D13B3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投标人应在规定的投标截止时间前递交投标文件。</w:t>
      </w:r>
    </w:p>
    <w:p w14:paraId="6983DBD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投标人递交投标文件的</w:t>
      </w:r>
      <w:r>
        <w:rPr>
          <w:rFonts w:hint="eastAsia" w:ascii="宋体" w:hAnsi="宋体" w:cs="宋体"/>
          <w:color w:val="auto"/>
          <w:sz w:val="24"/>
          <w:szCs w:val="24"/>
          <w:lang w:eastAsia="zh-CN"/>
        </w:rPr>
        <w:t>方式</w:t>
      </w:r>
      <w:r>
        <w:rPr>
          <w:rFonts w:hint="eastAsia" w:ascii="宋体" w:hAnsi="宋体" w:eastAsia="宋体" w:cs="宋体"/>
          <w:color w:val="auto"/>
          <w:sz w:val="24"/>
          <w:szCs w:val="24"/>
        </w:rPr>
        <w:t>：见投标人须知前附表。</w:t>
      </w:r>
    </w:p>
    <w:p w14:paraId="490AB3A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 除投标人须知前附表另有规定外，投标人所递交的投标文件不予退还。</w:t>
      </w:r>
    </w:p>
    <w:p w14:paraId="7F47A59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.4投标人完成电子投标文件上传后，电子招标投标交易平台即时向投标人发出递交回执通知。递交时间以递交回执通知载明的传输完成时间为准。</w:t>
      </w:r>
    </w:p>
    <w:p w14:paraId="0FCC99C1">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.5投标文件的拒收情形：见投标须知前附表。</w:t>
      </w:r>
    </w:p>
    <w:p w14:paraId="39A308E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18" w:name="_Toc16765"/>
      <w:bookmarkStart w:id="319" w:name="_Toc144974526"/>
      <w:bookmarkStart w:id="320" w:name="_Toc152042334"/>
      <w:bookmarkStart w:id="321" w:name="_Toc22763"/>
      <w:bookmarkStart w:id="322" w:name="_Toc4374"/>
      <w:bookmarkStart w:id="323" w:name="_Toc12949"/>
      <w:bookmarkStart w:id="324" w:name="_Toc247527583"/>
      <w:bookmarkStart w:id="325" w:name="_Toc152045558"/>
      <w:bookmarkStart w:id="326" w:name="_Toc19398"/>
      <w:bookmarkStart w:id="327" w:name="_Toc247513982"/>
      <w:bookmarkStart w:id="328" w:name="_Toc15471"/>
      <w:r>
        <w:rPr>
          <w:rFonts w:hint="eastAsia" w:ascii="方正楷体_GBK" w:hAnsi="方正楷体_GBK" w:eastAsia="方正楷体_GBK" w:cs="方正楷体_GBK"/>
          <w:bCs w:val="0"/>
          <w:color w:val="auto"/>
          <w:kern w:val="2"/>
          <w:sz w:val="24"/>
          <w:szCs w:val="24"/>
          <w:lang w:val="en-US" w:eastAsia="zh-CN" w:bidi="ar-SA"/>
        </w:rPr>
        <w:t>4.2 投标文件的修改与撤回</w:t>
      </w:r>
      <w:bookmarkEnd w:id="318"/>
      <w:bookmarkEnd w:id="319"/>
      <w:bookmarkEnd w:id="320"/>
      <w:bookmarkEnd w:id="321"/>
      <w:bookmarkEnd w:id="322"/>
      <w:bookmarkEnd w:id="323"/>
      <w:bookmarkEnd w:id="324"/>
      <w:bookmarkEnd w:id="325"/>
      <w:bookmarkEnd w:id="326"/>
      <w:bookmarkEnd w:id="327"/>
      <w:bookmarkEnd w:id="328"/>
    </w:p>
    <w:p w14:paraId="353FC20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在规定的投标截止时间前，投标人可以修改或撤回已递交的投标文件，但应以书面形式通知招标人。</w:t>
      </w:r>
    </w:p>
    <w:p w14:paraId="5685345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投标人修改或撤回已递交投标文件的书面通知应按照本章第3.7.3项的要求签字或盖章。</w:t>
      </w:r>
      <w:r>
        <w:rPr>
          <w:rFonts w:hint="eastAsia" w:ascii="宋体" w:hAnsi="宋体" w:eastAsia="宋体" w:cs="宋体"/>
          <w:color w:val="auto"/>
          <w:sz w:val="24"/>
          <w:szCs w:val="24"/>
          <w:lang w:eastAsia="zh-CN"/>
        </w:rPr>
        <w:t>电子招标投标交易平台</w:t>
      </w:r>
      <w:r>
        <w:rPr>
          <w:rFonts w:hint="eastAsia" w:ascii="宋体" w:hAnsi="宋体" w:eastAsia="宋体" w:cs="宋体"/>
          <w:color w:val="auto"/>
          <w:sz w:val="24"/>
          <w:szCs w:val="24"/>
        </w:rPr>
        <w:t>收到书面通知后，</w:t>
      </w:r>
      <w:r>
        <w:rPr>
          <w:rFonts w:hint="eastAsia" w:ascii="宋体" w:hAnsi="宋体" w:eastAsia="宋体" w:cs="宋体"/>
          <w:color w:val="auto"/>
          <w:sz w:val="24"/>
          <w:szCs w:val="24"/>
          <w:lang w:eastAsia="zh-CN"/>
        </w:rPr>
        <w:t>即时</w:t>
      </w:r>
      <w:r>
        <w:rPr>
          <w:rFonts w:hint="eastAsia" w:ascii="宋体" w:hAnsi="宋体" w:eastAsia="宋体" w:cs="宋体"/>
          <w:color w:val="auto"/>
          <w:sz w:val="24"/>
          <w:szCs w:val="24"/>
        </w:rPr>
        <w:t>向投标人</w:t>
      </w:r>
      <w:r>
        <w:rPr>
          <w:rFonts w:hint="eastAsia" w:ascii="宋体" w:hAnsi="宋体" w:eastAsia="宋体" w:cs="宋体"/>
          <w:color w:val="auto"/>
          <w:sz w:val="24"/>
          <w:szCs w:val="24"/>
          <w:lang w:eastAsia="zh-CN"/>
        </w:rPr>
        <w:t>发出确认回执通知</w:t>
      </w:r>
      <w:r>
        <w:rPr>
          <w:rFonts w:hint="eastAsia" w:ascii="宋体" w:hAnsi="宋体" w:eastAsia="宋体" w:cs="宋体"/>
          <w:color w:val="auto"/>
          <w:sz w:val="24"/>
          <w:szCs w:val="24"/>
        </w:rPr>
        <w:t>。</w:t>
      </w:r>
    </w:p>
    <w:p w14:paraId="26757D2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投标人撤回投标文件的，招标人自收到投标人书面撤回通知之日起5日内退还已收取的投标保证金。</w:t>
      </w:r>
    </w:p>
    <w:p w14:paraId="3224C341">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 修改的内容为投标文件的组成部分。修改的投标文件应按照本章规定进行编制、标记和递交，并标明“修改”字样。</w:t>
      </w:r>
      <w:bookmarkStart w:id="329" w:name="_Toc152042335"/>
      <w:bookmarkStart w:id="330" w:name="_Toc247527584"/>
      <w:bookmarkStart w:id="331" w:name="_Toc9326"/>
      <w:bookmarkStart w:id="332" w:name="_Toc18781"/>
      <w:bookmarkStart w:id="333" w:name="_Toc17598"/>
      <w:bookmarkStart w:id="334" w:name="_Toc247513983"/>
      <w:bookmarkStart w:id="335" w:name="_Toc152045559"/>
      <w:bookmarkStart w:id="336" w:name="_Toc30579"/>
      <w:bookmarkStart w:id="337" w:name="_Toc28966"/>
      <w:bookmarkStart w:id="338" w:name="_Toc144974527"/>
    </w:p>
    <w:p w14:paraId="726FFD42">
      <w:pPr>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1"/>
        <w:rPr>
          <w:rFonts w:hint="eastAsia" w:ascii="方正黑体_GBK" w:hAnsi="方正黑体_GBK" w:eastAsia="方正黑体_GBK" w:cs="方正黑体_GBK"/>
          <w:color w:val="auto"/>
          <w:sz w:val="24"/>
          <w:szCs w:val="24"/>
        </w:rPr>
      </w:pPr>
      <w:bookmarkStart w:id="339" w:name="_Toc10747"/>
      <w:r>
        <w:rPr>
          <w:rFonts w:hint="eastAsia" w:ascii="方正黑体_GBK" w:hAnsi="方正黑体_GBK" w:eastAsia="方正黑体_GBK" w:cs="方正黑体_GBK"/>
          <w:color w:val="auto"/>
          <w:sz w:val="24"/>
          <w:szCs w:val="24"/>
        </w:rPr>
        <w:t>5. 开标</w:t>
      </w:r>
      <w:bookmarkEnd w:id="329"/>
      <w:bookmarkEnd w:id="330"/>
      <w:bookmarkEnd w:id="331"/>
      <w:bookmarkEnd w:id="332"/>
      <w:bookmarkEnd w:id="333"/>
      <w:bookmarkEnd w:id="334"/>
      <w:bookmarkEnd w:id="335"/>
      <w:bookmarkEnd w:id="336"/>
      <w:bookmarkEnd w:id="337"/>
      <w:bookmarkEnd w:id="338"/>
      <w:bookmarkEnd w:id="339"/>
    </w:p>
    <w:p w14:paraId="2B6CB76D">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40" w:name="_Toc15397"/>
      <w:bookmarkStart w:id="341" w:name="_Toc247513984"/>
      <w:bookmarkStart w:id="342" w:name="_Toc27817"/>
      <w:bookmarkStart w:id="343" w:name="_Toc495"/>
      <w:bookmarkStart w:id="344" w:name="_Toc247527585"/>
      <w:bookmarkStart w:id="345" w:name="_Toc152042336"/>
      <w:bookmarkStart w:id="346" w:name="_Toc12000"/>
      <w:bookmarkStart w:id="347" w:name="_Toc152045560"/>
      <w:bookmarkStart w:id="348" w:name="_Toc13509"/>
      <w:bookmarkStart w:id="349" w:name="_Toc144974528"/>
      <w:bookmarkStart w:id="350" w:name="_Toc20288"/>
      <w:r>
        <w:rPr>
          <w:rFonts w:hint="eastAsia" w:ascii="方正楷体_GBK" w:hAnsi="方正楷体_GBK" w:eastAsia="方正楷体_GBK" w:cs="方正楷体_GBK"/>
          <w:bCs w:val="0"/>
          <w:color w:val="auto"/>
          <w:kern w:val="2"/>
          <w:sz w:val="24"/>
          <w:szCs w:val="24"/>
          <w:lang w:val="en-US" w:eastAsia="zh-CN" w:bidi="ar-SA"/>
        </w:rPr>
        <w:t>5.1 开标时间、地点</w:t>
      </w:r>
      <w:bookmarkEnd w:id="340"/>
      <w:bookmarkEnd w:id="341"/>
      <w:bookmarkEnd w:id="342"/>
      <w:bookmarkEnd w:id="343"/>
      <w:bookmarkEnd w:id="344"/>
      <w:bookmarkEnd w:id="345"/>
      <w:bookmarkEnd w:id="346"/>
      <w:bookmarkEnd w:id="347"/>
      <w:bookmarkEnd w:id="348"/>
      <w:bookmarkEnd w:id="349"/>
      <w:r>
        <w:rPr>
          <w:rFonts w:hint="eastAsia" w:ascii="方正楷体_GBK" w:hAnsi="方正楷体_GBK" w:eastAsia="方正楷体_GBK" w:cs="方正楷体_GBK"/>
          <w:bCs w:val="0"/>
          <w:color w:val="auto"/>
          <w:kern w:val="2"/>
          <w:sz w:val="24"/>
          <w:szCs w:val="24"/>
          <w:lang w:val="en-US" w:eastAsia="zh-CN" w:bidi="ar-SA"/>
        </w:rPr>
        <w:t>和要求</w:t>
      </w:r>
      <w:bookmarkEnd w:id="350"/>
    </w:p>
    <w:p w14:paraId="124F215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招标人在本章第2.2.2规定的投标截止时间（开标时间）和投标人须知前附表规定的地点和要求公开开标。</w:t>
      </w:r>
      <w:r>
        <w:rPr>
          <w:rFonts w:hint="eastAsia" w:ascii="宋体" w:hAnsi="宋体" w:cs="宋体"/>
          <w:color w:val="auto"/>
          <w:sz w:val="24"/>
          <w:szCs w:val="24"/>
          <w:lang w:eastAsia="zh-CN"/>
        </w:rPr>
        <w:t>所有投标人均应当准时在线参加开标。</w:t>
      </w:r>
    </w:p>
    <w:p w14:paraId="653CC67E">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51" w:name="_Toc7690"/>
      <w:bookmarkStart w:id="352" w:name="_Toc152042337"/>
      <w:bookmarkStart w:id="353" w:name="_Toc152045561"/>
      <w:bookmarkStart w:id="354" w:name="_Toc17692"/>
      <w:bookmarkStart w:id="355" w:name="_Toc29464"/>
      <w:bookmarkStart w:id="356" w:name="_Toc20454"/>
      <w:bookmarkStart w:id="357" w:name="_Toc247513985"/>
      <w:bookmarkStart w:id="358" w:name="_Toc144974529"/>
      <w:bookmarkStart w:id="359" w:name="_Toc22976"/>
      <w:bookmarkStart w:id="360" w:name="_Toc1984"/>
      <w:bookmarkStart w:id="361" w:name="_Toc247527586"/>
      <w:r>
        <w:rPr>
          <w:rFonts w:hint="eastAsia" w:ascii="方正楷体_GBK" w:hAnsi="方正楷体_GBK" w:eastAsia="方正楷体_GBK" w:cs="方正楷体_GBK"/>
          <w:bCs w:val="0"/>
          <w:color w:val="auto"/>
          <w:kern w:val="2"/>
          <w:sz w:val="24"/>
          <w:szCs w:val="24"/>
          <w:lang w:val="en-US" w:eastAsia="zh-CN" w:bidi="ar-SA"/>
        </w:rPr>
        <w:t>5.2 开标程序</w:t>
      </w:r>
      <w:bookmarkEnd w:id="351"/>
      <w:bookmarkEnd w:id="352"/>
      <w:bookmarkEnd w:id="353"/>
      <w:bookmarkEnd w:id="354"/>
      <w:bookmarkEnd w:id="355"/>
      <w:bookmarkEnd w:id="356"/>
      <w:bookmarkEnd w:id="357"/>
      <w:bookmarkEnd w:id="358"/>
      <w:bookmarkEnd w:id="359"/>
      <w:bookmarkEnd w:id="360"/>
      <w:bookmarkEnd w:id="361"/>
    </w:p>
    <w:p w14:paraId="74AEA535">
      <w:pPr>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outlineLvl w:val="9"/>
        <w:rPr>
          <w:rFonts w:hint="eastAsia" w:ascii="宋体" w:hAnsi="宋体" w:eastAsia="宋体" w:cs="宋体"/>
          <w:color w:val="auto"/>
          <w:sz w:val="24"/>
          <w:szCs w:val="24"/>
          <w:lang w:eastAsia="zh-CN"/>
        </w:rPr>
      </w:pPr>
      <w:bookmarkStart w:id="362" w:name="_Toc1035780616"/>
      <w:bookmarkStart w:id="363" w:name="_Toc247513986"/>
      <w:bookmarkStart w:id="364" w:name="_Toc152045562"/>
      <w:bookmarkStart w:id="365" w:name="_Toc19869"/>
      <w:bookmarkStart w:id="366" w:name="_Toc10669"/>
      <w:bookmarkStart w:id="367" w:name="_Toc20815"/>
      <w:bookmarkStart w:id="368" w:name="_Toc144974530"/>
      <w:bookmarkStart w:id="369" w:name="_Toc32376"/>
      <w:bookmarkStart w:id="370" w:name="_Toc247527587"/>
      <w:bookmarkStart w:id="371" w:name="_Toc152042338"/>
      <w:bookmarkStart w:id="372" w:name="_Toc8729"/>
      <w:r>
        <w:rPr>
          <w:rFonts w:hint="eastAsia" w:ascii="宋体" w:hAnsi="宋体" w:eastAsia="宋体" w:cs="宋体"/>
          <w:color w:val="auto"/>
          <w:sz w:val="24"/>
          <w:szCs w:val="24"/>
          <w:lang w:eastAsia="zh-CN"/>
        </w:rPr>
        <w:t>开标程序见</w:t>
      </w:r>
      <w:r>
        <w:rPr>
          <w:rFonts w:hint="eastAsia" w:ascii="宋体" w:hAnsi="宋体" w:eastAsia="宋体" w:cs="宋体"/>
          <w:color w:val="auto"/>
          <w:sz w:val="24"/>
          <w:szCs w:val="24"/>
        </w:rPr>
        <w:t>投标人须知前附表。</w:t>
      </w:r>
      <w:bookmarkEnd w:id="362"/>
    </w:p>
    <w:p w14:paraId="25F2F9EA">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373" w:name="_Toc3586"/>
      <w:r>
        <w:rPr>
          <w:rFonts w:hint="eastAsia" w:ascii="方正黑体_GBK" w:hAnsi="方正黑体_GBK" w:eastAsia="方正黑体_GBK" w:cs="方正黑体_GBK"/>
          <w:color w:val="auto"/>
          <w:sz w:val="24"/>
          <w:szCs w:val="24"/>
        </w:rPr>
        <w:t>6. 评标</w:t>
      </w:r>
      <w:bookmarkEnd w:id="363"/>
      <w:bookmarkEnd w:id="364"/>
      <w:bookmarkEnd w:id="365"/>
      <w:bookmarkEnd w:id="366"/>
      <w:bookmarkEnd w:id="367"/>
      <w:bookmarkEnd w:id="368"/>
      <w:bookmarkEnd w:id="369"/>
      <w:bookmarkEnd w:id="370"/>
      <w:bookmarkEnd w:id="371"/>
      <w:bookmarkEnd w:id="372"/>
      <w:bookmarkEnd w:id="373"/>
    </w:p>
    <w:p w14:paraId="4D72A8C1">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74" w:name="_Toc7986"/>
      <w:bookmarkStart w:id="375" w:name="_Toc144974531"/>
      <w:bookmarkStart w:id="376" w:name="_Toc247513987"/>
      <w:bookmarkStart w:id="377" w:name="_Toc29125"/>
      <w:bookmarkStart w:id="378" w:name="_Toc152042339"/>
      <w:bookmarkStart w:id="379" w:name="_Toc10698"/>
      <w:bookmarkStart w:id="380" w:name="_Toc17071"/>
      <w:bookmarkStart w:id="381" w:name="_Toc1294"/>
      <w:bookmarkStart w:id="382" w:name="_Toc152045563"/>
      <w:bookmarkStart w:id="383" w:name="_Toc13764"/>
      <w:bookmarkStart w:id="384" w:name="_Toc247527588"/>
      <w:r>
        <w:rPr>
          <w:rFonts w:hint="eastAsia" w:ascii="方正楷体_GBK" w:hAnsi="方正楷体_GBK" w:eastAsia="方正楷体_GBK" w:cs="方正楷体_GBK"/>
          <w:bCs w:val="0"/>
          <w:color w:val="auto"/>
          <w:kern w:val="2"/>
          <w:sz w:val="24"/>
          <w:szCs w:val="24"/>
          <w:lang w:val="en-US" w:eastAsia="zh-CN" w:bidi="ar-SA"/>
        </w:rPr>
        <w:t>6.1 评标委员会</w:t>
      </w:r>
      <w:bookmarkEnd w:id="374"/>
      <w:bookmarkEnd w:id="375"/>
      <w:bookmarkEnd w:id="376"/>
      <w:bookmarkEnd w:id="377"/>
      <w:bookmarkEnd w:id="378"/>
      <w:bookmarkEnd w:id="379"/>
      <w:bookmarkEnd w:id="380"/>
      <w:bookmarkEnd w:id="381"/>
      <w:bookmarkEnd w:id="382"/>
      <w:bookmarkEnd w:id="383"/>
      <w:bookmarkEnd w:id="384"/>
    </w:p>
    <w:p w14:paraId="564FC7A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AD91CB9">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6.1.2 评标委员会成员有下列情形之一的，应当回避：</w:t>
      </w:r>
    </w:p>
    <w:p w14:paraId="1557584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（1）投标人或投标人主要负责人的近亲属；</w:t>
      </w:r>
    </w:p>
    <w:p w14:paraId="412157C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（2）项目主管部门或者行政监督部门的人员；</w:t>
      </w:r>
    </w:p>
    <w:p w14:paraId="0850C2E1">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（3）与投标人有经济利益关系，可能影响对投标公正评审的；</w:t>
      </w:r>
    </w:p>
    <w:p w14:paraId="53A9528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（4）曾因在招标、评标以及其他与招标投标有关活动中从事违法行为而受过行政处罚或刑事处罚的；</w:t>
      </w:r>
    </w:p>
    <w:p w14:paraId="059E18F9">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（5）与投标人有其他利害关系。</w:t>
      </w:r>
    </w:p>
    <w:p w14:paraId="5F138E3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14:paraId="3E59478A">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85" w:name="_Toc152045564"/>
      <w:bookmarkStart w:id="386" w:name="_Toc26697"/>
      <w:bookmarkStart w:id="387" w:name="_Toc247513988"/>
      <w:bookmarkStart w:id="388" w:name="_Toc144974532"/>
      <w:bookmarkStart w:id="389" w:name="_Toc19834"/>
      <w:bookmarkStart w:id="390" w:name="_Toc152042340"/>
      <w:bookmarkStart w:id="391" w:name="_Toc9740"/>
      <w:bookmarkStart w:id="392" w:name="_Toc247527589"/>
      <w:bookmarkStart w:id="393" w:name="_Toc24126"/>
      <w:bookmarkStart w:id="394" w:name="_Toc13327"/>
      <w:bookmarkStart w:id="395" w:name="_Toc11142"/>
      <w:r>
        <w:rPr>
          <w:rFonts w:hint="eastAsia" w:ascii="方正楷体_GBK" w:hAnsi="方正楷体_GBK" w:eastAsia="方正楷体_GBK" w:cs="方正楷体_GBK"/>
          <w:bCs w:val="0"/>
          <w:color w:val="auto"/>
          <w:kern w:val="2"/>
          <w:sz w:val="24"/>
          <w:szCs w:val="24"/>
          <w:lang w:val="en-US" w:eastAsia="zh-CN" w:bidi="ar-SA"/>
        </w:rPr>
        <w:t>6.2 评标原则</w:t>
      </w:r>
      <w:bookmarkEnd w:id="385"/>
      <w:bookmarkEnd w:id="386"/>
      <w:bookmarkEnd w:id="387"/>
      <w:bookmarkEnd w:id="388"/>
      <w:bookmarkEnd w:id="389"/>
      <w:bookmarkEnd w:id="390"/>
      <w:bookmarkEnd w:id="391"/>
      <w:bookmarkEnd w:id="392"/>
      <w:bookmarkEnd w:id="393"/>
      <w:bookmarkEnd w:id="394"/>
      <w:bookmarkEnd w:id="395"/>
    </w:p>
    <w:p w14:paraId="430FF6F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评标活动遵循公平、公正、科学和择优的原则。</w:t>
      </w:r>
    </w:p>
    <w:p w14:paraId="274A2953">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96" w:name="_Toc144974533"/>
      <w:bookmarkStart w:id="397" w:name="_Toc152045565"/>
      <w:bookmarkStart w:id="398" w:name="_Toc8080"/>
      <w:bookmarkStart w:id="399" w:name="_Toc19316"/>
      <w:bookmarkStart w:id="400" w:name="_Toc247513989"/>
      <w:bookmarkStart w:id="401" w:name="_Toc247527590"/>
      <w:bookmarkStart w:id="402" w:name="_Toc14090"/>
      <w:bookmarkStart w:id="403" w:name="_Toc24448"/>
      <w:bookmarkStart w:id="404" w:name="_Toc8798"/>
      <w:bookmarkStart w:id="405" w:name="_Toc6806"/>
      <w:bookmarkStart w:id="406" w:name="_Toc152042341"/>
      <w:r>
        <w:rPr>
          <w:rFonts w:hint="eastAsia" w:ascii="方正楷体_GBK" w:hAnsi="方正楷体_GBK" w:eastAsia="方正楷体_GBK" w:cs="方正楷体_GBK"/>
          <w:bCs w:val="0"/>
          <w:color w:val="auto"/>
          <w:kern w:val="2"/>
          <w:sz w:val="24"/>
          <w:szCs w:val="24"/>
          <w:lang w:val="en-US" w:eastAsia="zh-CN" w:bidi="ar-SA"/>
        </w:rPr>
        <w:t>6.3 评标</w:t>
      </w:r>
      <w:bookmarkEnd w:id="396"/>
      <w:bookmarkEnd w:id="397"/>
      <w:bookmarkEnd w:id="398"/>
      <w:bookmarkEnd w:id="399"/>
      <w:bookmarkEnd w:id="400"/>
      <w:bookmarkEnd w:id="401"/>
      <w:bookmarkEnd w:id="402"/>
      <w:bookmarkEnd w:id="403"/>
      <w:bookmarkEnd w:id="404"/>
      <w:bookmarkEnd w:id="405"/>
      <w:bookmarkEnd w:id="406"/>
    </w:p>
    <w:p w14:paraId="7D97170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6.3.1</w:t>
      </w:r>
      <w:r>
        <w:rPr>
          <w:rFonts w:hint="eastAsia" w:ascii="宋体" w:hAnsi="宋体" w:eastAsia="宋体" w:cs="宋体"/>
          <w:color w:val="auto"/>
          <w:sz w:val="24"/>
          <w:szCs w:val="24"/>
        </w:rPr>
        <w:t>评标委员会按照第三章“评标办法”规定的方法、评审因素、标准和程序对投标文件进行评审。第三章“评标办法”没有规定的方法、评审因素和标准，不作为评标依据。</w:t>
      </w:r>
    </w:p>
    <w:p w14:paraId="4985437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6.3.2 评标委员会推荐中标候选人的</w:t>
      </w:r>
      <w:r>
        <w:rPr>
          <w:rFonts w:hint="eastAsia" w:ascii="宋体" w:hAnsi="宋体" w:cs="宋体"/>
          <w:color w:val="auto"/>
          <w:sz w:val="24"/>
          <w:szCs w:val="24"/>
          <w:lang w:eastAsia="zh-CN"/>
        </w:rPr>
        <w:t>数量</w:t>
      </w:r>
      <w:r>
        <w:rPr>
          <w:rFonts w:hint="eastAsia" w:ascii="宋体" w:hAnsi="宋体" w:eastAsia="宋体" w:cs="宋体"/>
          <w:color w:val="auto"/>
          <w:sz w:val="24"/>
          <w:szCs w:val="24"/>
        </w:rPr>
        <w:t>和是否排序见投标人须知前附表。</w:t>
      </w:r>
    </w:p>
    <w:p w14:paraId="64E4433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07" w:name="_Toc12743"/>
      <w:r>
        <w:rPr>
          <w:rFonts w:hint="eastAsia" w:ascii="方正楷体_GBK" w:hAnsi="方正楷体_GBK" w:eastAsia="方正楷体_GBK" w:cs="方正楷体_GBK"/>
          <w:bCs w:val="0"/>
          <w:color w:val="auto"/>
          <w:kern w:val="2"/>
          <w:sz w:val="24"/>
          <w:szCs w:val="24"/>
          <w:lang w:val="en-US" w:eastAsia="zh-CN" w:bidi="ar-SA"/>
        </w:rPr>
        <w:t>6.4 中标候选人公示</w:t>
      </w:r>
      <w:bookmarkEnd w:id="407"/>
    </w:p>
    <w:p w14:paraId="193744A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招标人自收到评标报告之日起3日内公示中标候选人，公示期不少于3日，公示媒介详见投标人须知前附表</w:t>
      </w:r>
      <w:r>
        <w:rPr>
          <w:rFonts w:hint="eastAsia" w:ascii="宋体" w:hAnsi="宋体" w:eastAsia="宋体" w:cs="宋体"/>
          <w:color w:val="auto"/>
          <w:sz w:val="24"/>
          <w:szCs w:val="24"/>
          <w:lang w:eastAsia="zh-CN"/>
        </w:rPr>
        <w:t>。</w:t>
      </w:r>
    </w:p>
    <w:p w14:paraId="18EB17C3">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408" w:name="_Toc152042342"/>
      <w:bookmarkStart w:id="409" w:name="_Toc11985"/>
      <w:bookmarkStart w:id="410" w:name="_Toc13980"/>
      <w:bookmarkStart w:id="411" w:name="_Toc247527591"/>
      <w:bookmarkStart w:id="412" w:name="_Toc13213"/>
      <w:bookmarkStart w:id="413" w:name="_Toc18290"/>
      <w:bookmarkStart w:id="414" w:name="_Toc144974534"/>
      <w:bookmarkStart w:id="415" w:name="_Toc247513990"/>
      <w:bookmarkStart w:id="416" w:name="_Toc11735"/>
      <w:bookmarkStart w:id="417" w:name="_Toc152045566"/>
      <w:bookmarkStart w:id="418" w:name="_Toc15872"/>
      <w:r>
        <w:rPr>
          <w:rFonts w:hint="eastAsia" w:ascii="方正黑体_GBK" w:hAnsi="方正黑体_GBK" w:eastAsia="方正黑体_GBK" w:cs="方正黑体_GBK"/>
          <w:color w:val="auto"/>
          <w:sz w:val="24"/>
          <w:szCs w:val="24"/>
        </w:rPr>
        <w:t>7. 合同授予</w:t>
      </w:r>
      <w:bookmarkEnd w:id="408"/>
      <w:bookmarkEnd w:id="409"/>
      <w:bookmarkEnd w:id="410"/>
      <w:bookmarkEnd w:id="411"/>
      <w:bookmarkEnd w:id="412"/>
      <w:bookmarkEnd w:id="413"/>
      <w:bookmarkEnd w:id="414"/>
      <w:bookmarkEnd w:id="415"/>
      <w:bookmarkEnd w:id="416"/>
      <w:bookmarkEnd w:id="417"/>
      <w:bookmarkEnd w:id="418"/>
    </w:p>
    <w:p w14:paraId="4E800180">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19" w:name="_Toc21629"/>
      <w:bookmarkStart w:id="420" w:name="_Toc14405"/>
      <w:bookmarkStart w:id="421" w:name="_Toc247513991"/>
      <w:bookmarkStart w:id="422" w:name="_Toc152045567"/>
      <w:bookmarkStart w:id="423" w:name="_Toc247527592"/>
      <w:bookmarkStart w:id="424" w:name="_Toc144974535"/>
      <w:bookmarkStart w:id="425" w:name="_Toc152042343"/>
      <w:r>
        <w:rPr>
          <w:rFonts w:hint="eastAsia" w:ascii="方正楷体_GBK" w:hAnsi="方正楷体_GBK" w:eastAsia="方正楷体_GBK" w:cs="方正楷体_GBK"/>
          <w:bCs w:val="0"/>
          <w:color w:val="auto"/>
          <w:kern w:val="2"/>
          <w:sz w:val="24"/>
          <w:szCs w:val="24"/>
          <w:lang w:val="en-US" w:eastAsia="zh-CN" w:bidi="ar-SA"/>
        </w:rPr>
        <w:t>7.1 确定中标人</w:t>
      </w:r>
      <w:bookmarkEnd w:id="419"/>
    </w:p>
    <w:p w14:paraId="09AD0D4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7.1.1</w:t>
      </w:r>
      <w:r>
        <w:rPr>
          <w:rFonts w:hint="eastAsia" w:ascii="宋体" w:hAnsi="宋体" w:eastAsia="宋体" w:cs="宋体"/>
          <w:color w:val="auto"/>
          <w:sz w:val="24"/>
          <w:szCs w:val="24"/>
          <w:lang w:eastAsia="zh-CN"/>
        </w:rPr>
        <w:t>确定中标人具体方式</w:t>
      </w:r>
      <w:r>
        <w:rPr>
          <w:rFonts w:hint="eastAsia" w:ascii="宋体" w:hAnsi="宋体" w:eastAsia="宋体" w:cs="宋体"/>
          <w:color w:val="auto"/>
          <w:sz w:val="24"/>
          <w:szCs w:val="24"/>
        </w:rPr>
        <w:t>见投标人须知前附表</w:t>
      </w:r>
      <w:r>
        <w:rPr>
          <w:rFonts w:hint="eastAsia" w:ascii="宋体" w:hAnsi="宋体" w:eastAsia="宋体" w:cs="宋体"/>
          <w:color w:val="auto"/>
          <w:sz w:val="24"/>
          <w:szCs w:val="24"/>
          <w:lang w:eastAsia="zh-CN"/>
        </w:rPr>
        <w:t>。</w:t>
      </w:r>
    </w:p>
    <w:p w14:paraId="12CA0A4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7.1.2 定标原则：招标人负责制、公开透明、诚信守约的原则。</w:t>
      </w:r>
    </w:p>
    <w:p w14:paraId="053CE6C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招标人应当将中标结果情况</w:t>
      </w:r>
      <w:r>
        <w:rPr>
          <w:rFonts w:hint="eastAsia" w:ascii="宋体" w:hAnsi="宋体" w:eastAsia="宋体" w:cs="宋体"/>
          <w:color w:val="auto"/>
          <w:sz w:val="24"/>
          <w:szCs w:val="24"/>
          <w:lang w:eastAsia="zh-CN"/>
        </w:rPr>
        <w:t>按照</w:t>
      </w:r>
      <w:r>
        <w:rPr>
          <w:rFonts w:hint="eastAsia" w:ascii="宋体" w:hAnsi="宋体" w:eastAsia="宋体" w:cs="宋体"/>
          <w:color w:val="auto"/>
          <w:sz w:val="24"/>
          <w:szCs w:val="24"/>
        </w:rPr>
        <w:t>投标须知前附表7.1.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规定的媒介</w:t>
      </w:r>
      <w:r>
        <w:rPr>
          <w:rFonts w:hint="eastAsia" w:ascii="宋体" w:hAnsi="宋体" w:eastAsia="宋体" w:cs="宋体"/>
          <w:color w:val="auto"/>
          <w:sz w:val="24"/>
          <w:szCs w:val="24"/>
          <w:lang w:eastAsia="zh-CN"/>
        </w:rPr>
        <w:t>和期限进行公示</w:t>
      </w:r>
      <w:r>
        <w:rPr>
          <w:rFonts w:hint="eastAsia" w:ascii="宋体" w:hAnsi="宋体" w:eastAsia="宋体" w:cs="宋体"/>
          <w:color w:val="auto"/>
          <w:sz w:val="24"/>
          <w:szCs w:val="24"/>
        </w:rPr>
        <w:t>。</w:t>
      </w:r>
    </w:p>
    <w:p w14:paraId="547D1B85">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26" w:name="_Toc9679"/>
      <w:bookmarkStart w:id="427" w:name="_Toc106913"/>
      <w:bookmarkStart w:id="428" w:name="_Toc22588"/>
      <w:bookmarkStart w:id="429" w:name="_Toc10256"/>
      <w:bookmarkStart w:id="430" w:name="_Toc20015"/>
      <w:bookmarkStart w:id="431" w:name="_Toc6338"/>
      <w:r>
        <w:rPr>
          <w:rFonts w:hint="eastAsia" w:ascii="方正楷体_GBK" w:hAnsi="方正楷体_GBK" w:eastAsia="方正楷体_GBK" w:cs="方正楷体_GBK"/>
          <w:bCs w:val="0"/>
          <w:color w:val="auto"/>
          <w:kern w:val="2"/>
          <w:sz w:val="24"/>
          <w:szCs w:val="24"/>
          <w:lang w:val="en-US" w:eastAsia="zh-CN" w:bidi="ar-SA"/>
        </w:rPr>
        <w:t>7.2中标通知</w:t>
      </w:r>
      <w:bookmarkEnd w:id="426"/>
      <w:bookmarkEnd w:id="427"/>
      <w:bookmarkEnd w:id="428"/>
      <w:bookmarkEnd w:id="429"/>
      <w:bookmarkEnd w:id="430"/>
      <w:bookmarkEnd w:id="431"/>
    </w:p>
    <w:p w14:paraId="3C9FF9A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在本章第 3.3 款规定的投标有效期内，招标人</w:t>
      </w:r>
      <w:r>
        <w:rPr>
          <w:rFonts w:hint="eastAsia" w:ascii="宋体" w:hAnsi="宋体" w:eastAsia="宋体" w:cs="宋体"/>
          <w:color w:val="auto"/>
          <w:sz w:val="24"/>
          <w:szCs w:val="24"/>
          <w:lang w:eastAsia="zh-CN"/>
        </w:rPr>
        <w:t>通过电子招标投标交易平台以数据电文形式</w:t>
      </w:r>
      <w:r>
        <w:rPr>
          <w:rFonts w:hint="eastAsia" w:ascii="宋体" w:hAnsi="宋体" w:eastAsia="宋体" w:cs="宋体"/>
          <w:color w:val="auto"/>
          <w:sz w:val="24"/>
          <w:szCs w:val="24"/>
        </w:rPr>
        <w:t>向中标人发出中标通知书，同时将中标结果通知未中标的投标人。</w:t>
      </w:r>
      <w:bookmarkEnd w:id="420"/>
      <w:bookmarkEnd w:id="421"/>
      <w:bookmarkEnd w:id="422"/>
      <w:bookmarkEnd w:id="423"/>
      <w:bookmarkEnd w:id="424"/>
      <w:bookmarkEnd w:id="425"/>
      <w:bookmarkStart w:id="432" w:name="_Toc4913"/>
      <w:bookmarkStart w:id="433" w:name="_Toc144974537"/>
      <w:bookmarkStart w:id="434" w:name="_Toc247527594"/>
      <w:bookmarkStart w:id="435" w:name="_Toc152042345"/>
      <w:bookmarkStart w:id="436" w:name="_Toc152045569"/>
      <w:bookmarkStart w:id="437" w:name="_Toc247513993"/>
    </w:p>
    <w:p w14:paraId="6D5E244D">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38" w:name="_Toc28875"/>
      <w:bookmarkStart w:id="439" w:name="_Toc21581"/>
      <w:bookmarkStart w:id="440" w:name="_Toc24121"/>
      <w:bookmarkStart w:id="441" w:name="_Toc10339"/>
      <w:bookmarkStart w:id="442" w:name="_Toc19798"/>
      <w:r>
        <w:rPr>
          <w:rFonts w:hint="eastAsia" w:ascii="方正楷体_GBK" w:hAnsi="方正楷体_GBK" w:eastAsia="方正楷体_GBK" w:cs="方正楷体_GBK"/>
          <w:bCs w:val="0"/>
          <w:color w:val="auto"/>
          <w:kern w:val="2"/>
          <w:sz w:val="24"/>
          <w:szCs w:val="24"/>
          <w:lang w:val="en-US" w:eastAsia="zh-CN" w:bidi="ar-SA"/>
        </w:rPr>
        <w:t>7.3 履约</w:t>
      </w:r>
      <w:bookmarkEnd w:id="432"/>
      <w:bookmarkEnd w:id="433"/>
      <w:bookmarkEnd w:id="434"/>
      <w:bookmarkEnd w:id="435"/>
      <w:bookmarkEnd w:id="436"/>
      <w:bookmarkEnd w:id="437"/>
      <w:bookmarkEnd w:id="438"/>
      <w:bookmarkEnd w:id="439"/>
      <w:bookmarkEnd w:id="440"/>
      <w:bookmarkEnd w:id="441"/>
      <w:r>
        <w:rPr>
          <w:rFonts w:hint="eastAsia" w:ascii="方正楷体_GBK" w:hAnsi="方正楷体_GBK" w:eastAsia="方正楷体_GBK" w:cs="方正楷体_GBK"/>
          <w:bCs w:val="0"/>
          <w:color w:val="auto"/>
          <w:kern w:val="2"/>
          <w:sz w:val="24"/>
          <w:szCs w:val="24"/>
          <w:lang w:val="en-US" w:eastAsia="zh-CN" w:bidi="ar-SA"/>
        </w:rPr>
        <w:t>保证金</w:t>
      </w:r>
      <w:bookmarkEnd w:id="442"/>
    </w:p>
    <w:p w14:paraId="47E1D7A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7.3.1 在签订合同前，中标人应按投标人须知前附表规定的金额、形式向招标人递交履约保证金，并应符合招标文件第四章“合同条款及格式 ”规定的履约保证金要求。 联合体中标的，其履约保证金由牵头人递交。招标人要求中标人提供履约担保的，招标人也应当同时向中标人提供工程款支付担保。</w:t>
      </w:r>
    </w:p>
    <w:p w14:paraId="6790C25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7.3.2 中标人不能按本章第7.3.1要求递交履约保证金的，视为放弃中标，其投标保证金不予退还，给招标人造成的损失超过投标保证金数额的，中标人还应当对超过部分予以赔偿。</w:t>
      </w:r>
    </w:p>
    <w:p w14:paraId="30F7249E">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43" w:name="_Toc1885"/>
      <w:bookmarkStart w:id="444" w:name="_Toc19044"/>
      <w:bookmarkStart w:id="445" w:name="_Toc30388"/>
      <w:bookmarkStart w:id="446" w:name="_Toc8987"/>
      <w:bookmarkStart w:id="447" w:name="_Toc6822"/>
      <w:bookmarkStart w:id="448" w:name="_Toc106911"/>
      <w:r>
        <w:rPr>
          <w:rFonts w:hint="eastAsia" w:ascii="方正楷体_GBK" w:hAnsi="方正楷体_GBK" w:eastAsia="方正楷体_GBK" w:cs="方正楷体_GBK"/>
          <w:bCs w:val="0"/>
          <w:color w:val="auto"/>
          <w:kern w:val="2"/>
          <w:sz w:val="24"/>
          <w:szCs w:val="24"/>
          <w:lang w:val="en-US" w:eastAsia="zh-CN" w:bidi="ar-SA"/>
        </w:rPr>
        <w:t>7.4 中标候选人履约能力审查</w:t>
      </w:r>
      <w:bookmarkEnd w:id="443"/>
      <w:bookmarkEnd w:id="444"/>
      <w:bookmarkEnd w:id="445"/>
      <w:bookmarkEnd w:id="446"/>
      <w:bookmarkEnd w:id="447"/>
      <w:bookmarkEnd w:id="448"/>
    </w:p>
    <w:p w14:paraId="2B8DB8F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40BF3A5F">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49" w:name="_Toc247527595"/>
      <w:bookmarkStart w:id="450" w:name="_Toc19331"/>
      <w:bookmarkStart w:id="451" w:name="_Toc144974538"/>
      <w:bookmarkStart w:id="452" w:name="_Toc17419"/>
      <w:bookmarkStart w:id="453" w:name="_Toc247513994"/>
      <w:bookmarkStart w:id="454" w:name="_Toc152045570"/>
      <w:bookmarkStart w:id="455" w:name="_Toc902"/>
      <w:bookmarkStart w:id="456" w:name="_Toc10468"/>
      <w:bookmarkStart w:id="457" w:name="_Toc10107"/>
      <w:bookmarkStart w:id="458" w:name="_Toc23292"/>
      <w:bookmarkStart w:id="459" w:name="_Toc152042346"/>
      <w:r>
        <w:rPr>
          <w:rFonts w:hint="eastAsia" w:ascii="方正楷体_GBK" w:hAnsi="方正楷体_GBK" w:eastAsia="方正楷体_GBK" w:cs="方正楷体_GBK"/>
          <w:bCs w:val="0"/>
          <w:color w:val="auto"/>
          <w:kern w:val="2"/>
          <w:sz w:val="24"/>
          <w:szCs w:val="24"/>
          <w:lang w:val="en-US" w:eastAsia="zh-CN" w:bidi="ar-SA"/>
        </w:rPr>
        <w:t>7.5 签订合同</w:t>
      </w:r>
      <w:bookmarkEnd w:id="449"/>
      <w:bookmarkEnd w:id="450"/>
      <w:bookmarkEnd w:id="451"/>
      <w:bookmarkEnd w:id="452"/>
      <w:bookmarkEnd w:id="453"/>
      <w:bookmarkEnd w:id="454"/>
      <w:bookmarkEnd w:id="455"/>
      <w:bookmarkEnd w:id="456"/>
      <w:bookmarkEnd w:id="457"/>
      <w:bookmarkEnd w:id="458"/>
      <w:bookmarkEnd w:id="459"/>
    </w:p>
    <w:p w14:paraId="5018609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 招标人和中标人应当自中标通知书发出之日起30日内，根据招标文件和中标人的投标文件订立合同。中标人无正当理由拒签合同的或在签订合同时向招标人提出附加条件的，招标人取消其中标资格，其投标保证金不予退还；给招标人造成的损失超过投标保证金数额的，中标人还应当对超过部分予以赔偿。</w:t>
      </w:r>
    </w:p>
    <w:p w14:paraId="7A46CCA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 发出中标通知书后，招标人无正当理由拒签合同的，招标人向中标人退还投标保证金及银行同期存款利息；给中标人造成损失的，还应当赔偿损失。</w:t>
      </w:r>
    </w:p>
    <w:p w14:paraId="7C8117FA">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bCs/>
          <w:color w:val="auto"/>
          <w:sz w:val="24"/>
          <w:szCs w:val="24"/>
          <w:lang w:val="en-US" w:eastAsia="zh-CN"/>
        </w:rPr>
      </w:pPr>
      <w:bookmarkStart w:id="460" w:name="_Toc23745"/>
      <w:r>
        <w:rPr>
          <w:rFonts w:hint="eastAsia" w:ascii="方正黑体_GBK" w:hAnsi="方正黑体_GBK" w:eastAsia="方正黑体_GBK" w:cs="方正黑体_GBK"/>
          <w:bCs/>
          <w:color w:val="auto"/>
          <w:sz w:val="24"/>
          <w:szCs w:val="24"/>
          <w:lang w:val="en-US" w:eastAsia="zh-CN"/>
        </w:rPr>
        <w:t>8.重新招标和不再招标</w:t>
      </w:r>
      <w:bookmarkEnd w:id="460"/>
    </w:p>
    <w:p w14:paraId="0DCA7FF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61" w:name="_Toc5156"/>
      <w:r>
        <w:rPr>
          <w:rFonts w:hint="eastAsia" w:ascii="方正楷体_GBK" w:hAnsi="方正楷体_GBK" w:eastAsia="方正楷体_GBK" w:cs="方正楷体_GBK"/>
          <w:bCs w:val="0"/>
          <w:color w:val="auto"/>
          <w:kern w:val="2"/>
          <w:sz w:val="24"/>
          <w:szCs w:val="24"/>
          <w:lang w:val="en-US" w:eastAsia="zh-CN" w:bidi="ar-SA"/>
        </w:rPr>
        <w:t>8.1 重新招标</w:t>
      </w:r>
      <w:bookmarkEnd w:id="461"/>
    </w:p>
    <w:p w14:paraId="7769BB3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有下列情形之一的，招标人将重新招标：</w:t>
      </w:r>
    </w:p>
    <w:p w14:paraId="7AF0BDB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投标截止时间止，投标人少于3个的；</w:t>
      </w:r>
    </w:p>
    <w:p w14:paraId="0B1215D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经评标委员会评审后否决所有投标的；</w:t>
      </w:r>
    </w:p>
    <w:p w14:paraId="6FA6F48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其他情形：详见投标人须知前附表。</w:t>
      </w:r>
    </w:p>
    <w:p w14:paraId="6D7F7D3A">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62" w:name="_Toc30826"/>
      <w:r>
        <w:rPr>
          <w:rFonts w:hint="eastAsia" w:ascii="方正楷体_GBK" w:hAnsi="方正楷体_GBK" w:eastAsia="方正楷体_GBK" w:cs="方正楷体_GBK"/>
          <w:bCs w:val="0"/>
          <w:color w:val="auto"/>
          <w:kern w:val="2"/>
          <w:sz w:val="24"/>
          <w:szCs w:val="24"/>
          <w:lang w:val="en-US" w:eastAsia="zh-CN" w:bidi="ar-SA"/>
        </w:rPr>
        <w:t>8.2 不再招标</w:t>
      </w:r>
      <w:bookmarkEnd w:id="462"/>
    </w:p>
    <w:p w14:paraId="498E41C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重新招标后投标人仍少于3个或者所有投标被否决的，属于必须审批或核准的工程建设项目，经原审批或核准部门批准后可以不再进行招标。</w:t>
      </w:r>
    </w:p>
    <w:p w14:paraId="03859569">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463" w:name="_Toc152042347"/>
      <w:bookmarkStart w:id="464" w:name="_Toc144974539"/>
      <w:bookmarkStart w:id="465" w:name="_Toc247513995"/>
      <w:bookmarkStart w:id="466" w:name="_Toc247527596"/>
      <w:bookmarkStart w:id="467" w:name="_Toc152045571"/>
      <w:bookmarkStart w:id="468" w:name="_Toc17017"/>
      <w:bookmarkStart w:id="469" w:name="_Toc31958"/>
      <w:bookmarkStart w:id="470" w:name="_Toc5119"/>
      <w:bookmarkStart w:id="471" w:name="_Toc606"/>
      <w:bookmarkStart w:id="472" w:name="_Toc21855"/>
      <w:bookmarkStart w:id="473" w:name="_Toc5402"/>
      <w:r>
        <w:rPr>
          <w:rFonts w:hint="eastAsia" w:ascii="方正黑体_GBK" w:hAnsi="方正黑体_GBK" w:eastAsia="方正黑体_GBK" w:cs="方正黑体_GBK"/>
          <w:color w:val="auto"/>
          <w:sz w:val="24"/>
          <w:szCs w:val="24"/>
          <w:lang w:val="en-US" w:eastAsia="zh-CN"/>
        </w:rPr>
        <w:t>9</w:t>
      </w:r>
      <w:r>
        <w:rPr>
          <w:rFonts w:hint="eastAsia" w:ascii="方正黑体_GBK" w:hAnsi="方正黑体_GBK" w:eastAsia="方正黑体_GBK" w:cs="方正黑体_GBK"/>
          <w:color w:val="auto"/>
          <w:sz w:val="24"/>
          <w:szCs w:val="24"/>
        </w:rPr>
        <w:t>.</w:t>
      </w:r>
      <w:bookmarkEnd w:id="463"/>
      <w:bookmarkEnd w:id="464"/>
      <w:bookmarkEnd w:id="465"/>
      <w:bookmarkEnd w:id="466"/>
      <w:bookmarkEnd w:id="467"/>
      <w:bookmarkStart w:id="474" w:name="_Toc247527599"/>
      <w:bookmarkStart w:id="475" w:name="_Toc152045574"/>
      <w:bookmarkStart w:id="476" w:name="_Toc247513998"/>
      <w:bookmarkStart w:id="477" w:name="_Toc152042350"/>
      <w:bookmarkStart w:id="478" w:name="_Toc144974542"/>
      <w:r>
        <w:rPr>
          <w:rFonts w:hint="eastAsia" w:ascii="方正黑体_GBK" w:hAnsi="方正黑体_GBK" w:eastAsia="方正黑体_GBK" w:cs="方正黑体_GBK"/>
          <w:color w:val="auto"/>
          <w:sz w:val="24"/>
          <w:szCs w:val="24"/>
        </w:rPr>
        <w:t xml:space="preserve"> 纪律和监督</w:t>
      </w:r>
      <w:bookmarkEnd w:id="468"/>
      <w:bookmarkEnd w:id="469"/>
      <w:bookmarkEnd w:id="470"/>
      <w:bookmarkEnd w:id="471"/>
      <w:bookmarkEnd w:id="472"/>
      <w:bookmarkEnd w:id="473"/>
      <w:bookmarkEnd w:id="474"/>
      <w:bookmarkEnd w:id="475"/>
      <w:bookmarkEnd w:id="476"/>
      <w:bookmarkEnd w:id="477"/>
      <w:bookmarkEnd w:id="478"/>
    </w:p>
    <w:p w14:paraId="7544FD1E">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79" w:name="_Toc32025"/>
      <w:bookmarkStart w:id="480" w:name="_Toc247527600"/>
      <w:bookmarkStart w:id="481" w:name="_Toc8565"/>
      <w:bookmarkStart w:id="482" w:name="_Toc152045575"/>
      <w:bookmarkStart w:id="483" w:name="_Toc18864"/>
      <w:bookmarkStart w:id="484" w:name="_Toc144974543"/>
      <w:bookmarkStart w:id="485" w:name="_Toc12763"/>
      <w:bookmarkStart w:id="486" w:name="_Toc152042351"/>
      <w:bookmarkStart w:id="487" w:name="_Toc6217"/>
      <w:bookmarkStart w:id="488" w:name="_Toc9882"/>
      <w:bookmarkStart w:id="489" w:name="_Toc247513999"/>
      <w:r>
        <w:rPr>
          <w:rFonts w:hint="eastAsia" w:ascii="方正楷体_GBK" w:hAnsi="方正楷体_GBK" w:eastAsia="方正楷体_GBK" w:cs="方正楷体_GBK"/>
          <w:bCs w:val="0"/>
          <w:color w:val="auto"/>
          <w:kern w:val="2"/>
          <w:sz w:val="24"/>
          <w:szCs w:val="24"/>
          <w:lang w:val="en-US" w:eastAsia="zh-CN" w:bidi="ar-SA"/>
        </w:rPr>
        <w:t>9.1 对招标人的纪律要求</w:t>
      </w:r>
      <w:bookmarkEnd w:id="479"/>
      <w:bookmarkEnd w:id="480"/>
      <w:bookmarkEnd w:id="481"/>
      <w:bookmarkEnd w:id="482"/>
      <w:bookmarkEnd w:id="483"/>
      <w:bookmarkEnd w:id="484"/>
      <w:bookmarkEnd w:id="485"/>
      <w:bookmarkEnd w:id="486"/>
      <w:bookmarkEnd w:id="487"/>
      <w:bookmarkEnd w:id="488"/>
      <w:bookmarkEnd w:id="489"/>
    </w:p>
    <w:p w14:paraId="448D598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招标人不得泄漏招标投标活动中应当保密的情况和资料，不得与投标人串通损害国家利益、社会公共利益或者他人合法权益。</w:t>
      </w:r>
    </w:p>
    <w:p w14:paraId="5AF98D2A">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90" w:name="_Toc144974544"/>
      <w:bookmarkStart w:id="491" w:name="_Toc10623"/>
      <w:bookmarkStart w:id="492" w:name="_Toc1498"/>
      <w:bookmarkStart w:id="493" w:name="_Toc247514000"/>
      <w:bookmarkStart w:id="494" w:name="_Toc247527601"/>
      <w:bookmarkStart w:id="495" w:name="_Toc152042352"/>
      <w:bookmarkStart w:id="496" w:name="_Toc152045576"/>
      <w:bookmarkStart w:id="497" w:name="_Toc19072"/>
      <w:bookmarkStart w:id="498" w:name="_Toc19503"/>
      <w:bookmarkStart w:id="499" w:name="_Toc5261"/>
      <w:bookmarkStart w:id="500" w:name="_Toc31942"/>
      <w:r>
        <w:rPr>
          <w:rFonts w:hint="eastAsia" w:ascii="方正楷体_GBK" w:hAnsi="方正楷体_GBK" w:eastAsia="方正楷体_GBK" w:cs="方正楷体_GBK"/>
          <w:bCs w:val="0"/>
          <w:color w:val="auto"/>
          <w:kern w:val="2"/>
          <w:sz w:val="24"/>
          <w:szCs w:val="24"/>
          <w:lang w:val="en-US" w:eastAsia="zh-CN" w:bidi="ar-SA"/>
        </w:rPr>
        <w:t>9.2 对投标人的纪律要求</w:t>
      </w:r>
      <w:bookmarkEnd w:id="490"/>
      <w:bookmarkEnd w:id="491"/>
      <w:bookmarkEnd w:id="492"/>
      <w:bookmarkEnd w:id="493"/>
      <w:bookmarkEnd w:id="494"/>
      <w:bookmarkEnd w:id="495"/>
      <w:bookmarkEnd w:id="496"/>
      <w:bookmarkEnd w:id="497"/>
      <w:bookmarkEnd w:id="498"/>
      <w:bookmarkEnd w:id="499"/>
      <w:bookmarkEnd w:id="500"/>
    </w:p>
    <w:p w14:paraId="2E581A1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967E3B1">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501" w:name="_Toc12655"/>
      <w:bookmarkStart w:id="502" w:name="_Toc152045577"/>
      <w:bookmarkStart w:id="503" w:name="_Toc247527602"/>
      <w:bookmarkStart w:id="504" w:name="_Toc27195"/>
      <w:bookmarkStart w:id="505" w:name="_Toc247514001"/>
      <w:bookmarkStart w:id="506" w:name="_Toc17388"/>
      <w:bookmarkStart w:id="507" w:name="_Toc13293"/>
      <w:bookmarkStart w:id="508" w:name="_Toc21353"/>
      <w:bookmarkStart w:id="509" w:name="_Toc152042353"/>
      <w:bookmarkStart w:id="510" w:name="_Toc1542"/>
      <w:bookmarkStart w:id="511" w:name="_Toc144974545"/>
      <w:r>
        <w:rPr>
          <w:rFonts w:hint="eastAsia" w:ascii="方正楷体_GBK" w:hAnsi="方正楷体_GBK" w:eastAsia="方正楷体_GBK" w:cs="方正楷体_GBK"/>
          <w:bCs w:val="0"/>
          <w:color w:val="auto"/>
          <w:kern w:val="2"/>
          <w:sz w:val="24"/>
          <w:szCs w:val="24"/>
          <w:lang w:val="en-US" w:eastAsia="zh-CN" w:bidi="ar-SA"/>
        </w:rPr>
        <w:t>9.3 对评标委员会成员的纪律要求</w:t>
      </w:r>
      <w:bookmarkEnd w:id="501"/>
      <w:bookmarkEnd w:id="502"/>
      <w:bookmarkEnd w:id="503"/>
      <w:bookmarkEnd w:id="504"/>
      <w:bookmarkEnd w:id="505"/>
      <w:bookmarkEnd w:id="506"/>
      <w:bookmarkEnd w:id="507"/>
      <w:bookmarkEnd w:id="508"/>
      <w:bookmarkEnd w:id="509"/>
      <w:bookmarkEnd w:id="510"/>
      <w:bookmarkEnd w:id="511"/>
    </w:p>
    <w:p w14:paraId="4AEFA63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85D891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512" w:name="_Toc6422"/>
      <w:bookmarkStart w:id="513" w:name="_Toc247527603"/>
      <w:bookmarkStart w:id="514" w:name="_Toc24637"/>
      <w:bookmarkStart w:id="515" w:name="_Toc152045578"/>
      <w:bookmarkStart w:id="516" w:name="_Toc5234"/>
      <w:bookmarkStart w:id="517" w:name="_Toc16981"/>
      <w:bookmarkStart w:id="518" w:name="_Toc247514002"/>
      <w:bookmarkStart w:id="519" w:name="_Toc32082"/>
      <w:bookmarkStart w:id="520" w:name="_Toc27265"/>
      <w:bookmarkStart w:id="521" w:name="_Toc152042354"/>
      <w:bookmarkStart w:id="522" w:name="_Toc144974546"/>
      <w:r>
        <w:rPr>
          <w:rFonts w:hint="eastAsia" w:ascii="方正楷体_GBK" w:hAnsi="方正楷体_GBK" w:eastAsia="方正楷体_GBK" w:cs="方正楷体_GBK"/>
          <w:bCs w:val="0"/>
          <w:color w:val="auto"/>
          <w:kern w:val="2"/>
          <w:sz w:val="24"/>
          <w:szCs w:val="24"/>
          <w:lang w:val="en-US" w:eastAsia="zh-CN" w:bidi="ar-SA"/>
        </w:rPr>
        <w:t>9.4 对与评标活动有关的工作人员的纪律要求</w:t>
      </w:r>
      <w:bookmarkEnd w:id="512"/>
      <w:bookmarkEnd w:id="513"/>
      <w:bookmarkEnd w:id="514"/>
      <w:bookmarkEnd w:id="515"/>
      <w:bookmarkEnd w:id="516"/>
      <w:bookmarkEnd w:id="517"/>
      <w:bookmarkEnd w:id="518"/>
      <w:bookmarkEnd w:id="519"/>
      <w:bookmarkEnd w:id="520"/>
      <w:bookmarkEnd w:id="521"/>
    </w:p>
    <w:p w14:paraId="668DFF5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523" w:name="_Toc152042355"/>
      <w:r>
        <w:rPr>
          <w:rFonts w:hint="eastAsia" w:ascii="宋体" w:hAnsi="宋体" w:eastAsia="宋体" w:cs="宋体"/>
          <w:color w:val="auto"/>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23"/>
    </w:p>
    <w:p w14:paraId="495FC52D">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bCs/>
          <w:color w:val="auto"/>
          <w:sz w:val="24"/>
          <w:szCs w:val="24"/>
          <w:lang w:val="en-US" w:eastAsia="zh-CN"/>
        </w:rPr>
      </w:pPr>
      <w:bookmarkStart w:id="524" w:name="_Toc16435"/>
      <w:r>
        <w:rPr>
          <w:rFonts w:hint="eastAsia" w:ascii="方正黑体_GBK" w:hAnsi="方正黑体_GBK" w:eastAsia="方正黑体_GBK" w:cs="方正黑体_GBK"/>
          <w:bCs/>
          <w:color w:val="auto"/>
          <w:sz w:val="24"/>
          <w:szCs w:val="24"/>
          <w:lang w:val="en-US" w:eastAsia="zh-CN"/>
        </w:rPr>
        <w:t>10. 需要补充的其他内容</w:t>
      </w:r>
      <w:bookmarkEnd w:id="524"/>
    </w:p>
    <w:p w14:paraId="6380166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10.1 否决投标的情形：见投标人须知前附表。</w:t>
      </w:r>
    </w:p>
    <w:p w14:paraId="17A4A1A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10.2 异议和投诉：见投标人须知前附表。</w:t>
      </w:r>
    </w:p>
    <w:p w14:paraId="60DE523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10.</w:t>
      </w:r>
      <w:r>
        <w:rPr>
          <w:rFonts w:hint="eastAsia" w:ascii="方正楷体_GBK" w:hAnsi="方正楷体_GBK" w:eastAsia="方正楷体_GBK" w:cs="方正楷体_GBK"/>
          <w:color w:val="auto"/>
          <w:sz w:val="24"/>
          <w:szCs w:val="24"/>
          <w:lang w:val="en-US" w:eastAsia="zh-CN"/>
        </w:rPr>
        <w:t>3</w:t>
      </w:r>
      <w:r>
        <w:rPr>
          <w:rFonts w:hint="eastAsia" w:ascii="方正楷体_GBK" w:hAnsi="方正楷体_GBK" w:eastAsia="方正楷体_GBK" w:cs="方正楷体_GBK"/>
          <w:color w:val="auto"/>
          <w:sz w:val="24"/>
          <w:szCs w:val="24"/>
        </w:rPr>
        <w:t xml:space="preserve"> 在建合同工程的认定及变更证明：见投标人须知前附表。</w:t>
      </w:r>
    </w:p>
    <w:p w14:paraId="74BECC4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10.4 投标文件的澄清、说明：</w:t>
      </w:r>
      <w:r>
        <w:rPr>
          <w:rFonts w:hint="eastAsia" w:ascii="方正楷体_GBK" w:hAnsi="方正楷体_GBK" w:eastAsia="方正楷体_GBK" w:cs="方正楷体_GBK"/>
          <w:color w:val="auto"/>
          <w:sz w:val="24"/>
          <w:szCs w:val="24"/>
        </w:rPr>
        <w:t>见投标人须知前附表。</w:t>
      </w:r>
    </w:p>
    <w:p w14:paraId="0D49EFA1">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 xml:space="preserve">10.5 </w:t>
      </w:r>
      <w:r>
        <w:rPr>
          <w:rFonts w:hint="eastAsia" w:ascii="方正楷体_GBK" w:hAnsi="方正楷体_GBK" w:eastAsia="方正楷体_GBK" w:cs="方正楷体_GBK"/>
          <w:color w:val="auto"/>
          <w:sz w:val="24"/>
          <w:szCs w:val="24"/>
          <w:lang w:eastAsia="zh-CN"/>
        </w:rPr>
        <w:t>质量保证金：</w:t>
      </w:r>
      <w:r>
        <w:rPr>
          <w:rFonts w:hint="eastAsia" w:ascii="方正楷体_GBK" w:hAnsi="方正楷体_GBK" w:eastAsia="方正楷体_GBK" w:cs="方正楷体_GBK"/>
          <w:color w:val="auto"/>
          <w:sz w:val="24"/>
          <w:szCs w:val="24"/>
        </w:rPr>
        <w:t>见投标人须知前附表。</w:t>
      </w:r>
    </w:p>
    <w:p w14:paraId="61C4D57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10.6 暂估价：</w:t>
      </w:r>
      <w:r>
        <w:rPr>
          <w:rFonts w:hint="eastAsia" w:ascii="方正楷体_GBK" w:hAnsi="方正楷体_GBK" w:eastAsia="方正楷体_GBK" w:cs="方正楷体_GBK"/>
          <w:color w:val="auto"/>
          <w:sz w:val="24"/>
          <w:szCs w:val="24"/>
        </w:rPr>
        <w:t>见投标人须知前附表。</w:t>
      </w:r>
      <w:r>
        <w:rPr>
          <w:rFonts w:hint="eastAsia" w:ascii="宋体" w:hAnsi="宋体" w:cs="宋体"/>
          <w:color w:val="auto"/>
          <w:sz w:val="24"/>
          <w:szCs w:val="24"/>
          <w:u w:val="none"/>
          <w:lang w:val="en-US" w:eastAsia="zh-CN"/>
        </w:rPr>
        <w:t>以暂估价形式包括在总承包范围内的工程、货物、服务属于依法必须进行招标的项目范围且达到国家规定规模标准的，应当依法招标。在工程总承包合同中，应当明确暂估价工程的招标主体、总承包管理费以及双方的权利义务。</w:t>
      </w:r>
    </w:p>
    <w:p w14:paraId="44BF2F8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val="en-US" w:eastAsia="zh-CN"/>
        </w:rPr>
        <w:t>10.7 危大工程：</w:t>
      </w:r>
      <w:r>
        <w:rPr>
          <w:rFonts w:hint="eastAsia" w:ascii="方正楷体_GBK" w:hAnsi="方正楷体_GBK" w:eastAsia="方正楷体_GBK" w:cs="方正楷体_GBK"/>
          <w:color w:val="auto"/>
          <w:sz w:val="24"/>
          <w:szCs w:val="24"/>
        </w:rPr>
        <w:t>见投标人须知前附表。</w:t>
      </w:r>
    </w:p>
    <w:p w14:paraId="19FE1F1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val="en-US" w:eastAsia="zh-CN"/>
        </w:rPr>
        <w:t>10.8 BIM技术应用：</w:t>
      </w:r>
      <w:r>
        <w:rPr>
          <w:rFonts w:hint="eastAsia" w:ascii="方正楷体_GBK" w:hAnsi="方正楷体_GBK" w:eastAsia="方正楷体_GBK" w:cs="方正楷体_GBK"/>
          <w:color w:val="auto"/>
          <w:sz w:val="24"/>
          <w:szCs w:val="24"/>
        </w:rPr>
        <w:t>见投标人须知前附表。</w:t>
      </w:r>
    </w:p>
    <w:p w14:paraId="3538FBF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10.9 技术标编制要求：</w:t>
      </w:r>
      <w:r>
        <w:rPr>
          <w:rFonts w:hint="eastAsia" w:ascii="方正楷体_GBK" w:hAnsi="方正楷体_GBK" w:eastAsia="方正楷体_GBK" w:cs="方正楷体_GBK"/>
          <w:color w:val="auto"/>
          <w:sz w:val="24"/>
          <w:szCs w:val="24"/>
        </w:rPr>
        <w:t>见投标人须知前附表。</w:t>
      </w:r>
    </w:p>
    <w:p w14:paraId="42CBC0E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10.10 技术暗标编制说明：</w:t>
      </w:r>
      <w:r>
        <w:rPr>
          <w:rFonts w:hint="eastAsia" w:ascii="方正楷体_GBK" w:hAnsi="方正楷体_GBK" w:eastAsia="方正楷体_GBK" w:cs="方正楷体_GBK"/>
          <w:color w:val="auto"/>
          <w:sz w:val="24"/>
          <w:szCs w:val="24"/>
        </w:rPr>
        <w:t>见投标人须知前附表。</w:t>
      </w:r>
    </w:p>
    <w:p w14:paraId="627648A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10.11 开标解密失败的补救措施：</w:t>
      </w:r>
      <w:r>
        <w:rPr>
          <w:rFonts w:hint="eastAsia" w:ascii="方正楷体_GBK" w:hAnsi="方正楷体_GBK" w:eastAsia="方正楷体_GBK" w:cs="方正楷体_GBK"/>
          <w:color w:val="auto"/>
          <w:sz w:val="24"/>
          <w:szCs w:val="24"/>
        </w:rPr>
        <w:t>见投标人须知前附表。</w:t>
      </w:r>
    </w:p>
    <w:p w14:paraId="075B6D3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10.12 特殊说明：</w:t>
      </w:r>
      <w:r>
        <w:rPr>
          <w:rFonts w:hint="eastAsia" w:ascii="方正楷体_GBK" w:hAnsi="方正楷体_GBK" w:eastAsia="方正楷体_GBK" w:cs="方正楷体_GBK"/>
          <w:color w:val="auto"/>
          <w:sz w:val="24"/>
          <w:szCs w:val="24"/>
        </w:rPr>
        <w:t>见投标人须知前附表。</w:t>
      </w:r>
    </w:p>
    <w:p w14:paraId="642262A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lang w:eastAsia="zh-CN"/>
        </w:rPr>
      </w:pPr>
      <w:r>
        <w:rPr>
          <w:rFonts w:hint="eastAsia" w:ascii="方正楷体_GBK" w:hAnsi="方正楷体_GBK" w:eastAsia="方正楷体_GBK" w:cs="方正楷体_GBK"/>
          <w:color w:val="auto"/>
          <w:sz w:val="24"/>
          <w:szCs w:val="24"/>
        </w:rPr>
        <w:t>10.</w:t>
      </w:r>
      <w:r>
        <w:rPr>
          <w:rFonts w:hint="eastAsia" w:ascii="方正楷体_GBK" w:hAnsi="方正楷体_GBK" w:eastAsia="方正楷体_GBK" w:cs="方正楷体_GBK"/>
          <w:color w:val="auto"/>
          <w:sz w:val="24"/>
          <w:szCs w:val="24"/>
          <w:lang w:val="en-US" w:eastAsia="zh-CN"/>
        </w:rPr>
        <w:t>13</w:t>
      </w:r>
      <w:r>
        <w:rPr>
          <w:rFonts w:hint="eastAsia" w:ascii="方正楷体_GBK" w:hAnsi="方正楷体_GBK" w:eastAsia="方正楷体_GBK" w:cs="方正楷体_GBK"/>
          <w:color w:val="auto"/>
          <w:sz w:val="24"/>
          <w:szCs w:val="24"/>
        </w:rPr>
        <w:t xml:space="preserve"> 其他：见投标人须知前附表</w:t>
      </w:r>
      <w:r>
        <w:rPr>
          <w:rFonts w:hint="eastAsia" w:ascii="方正楷体_GBK" w:hAnsi="方正楷体_GBK" w:eastAsia="方正楷体_GBK" w:cs="方正楷体_GBK"/>
          <w:color w:val="auto"/>
          <w:sz w:val="24"/>
          <w:szCs w:val="24"/>
          <w:lang w:eastAsia="zh-CN"/>
        </w:rPr>
        <w:t>。</w:t>
      </w:r>
    </w:p>
    <w:bookmarkEnd w:id="522"/>
    <w:p w14:paraId="2AE59378">
      <w:pPr>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outlineLvl w:val="9"/>
        <w:rPr>
          <w:rFonts w:hint="eastAsia" w:ascii="方正楷体_GBK" w:hAnsi="方正楷体_GBK" w:eastAsia="方正楷体_GBK" w:cs="方正楷体_GBK"/>
          <w:color w:val="auto"/>
          <w:sz w:val="24"/>
          <w:szCs w:val="24"/>
          <w:lang w:eastAsia="zh-CN"/>
        </w:rPr>
      </w:pPr>
      <w:bookmarkStart w:id="525" w:name="_Toc16168"/>
      <w:bookmarkStart w:id="526" w:name="_Toc11083"/>
      <w:bookmarkStart w:id="527" w:name="_Toc4018"/>
      <w:bookmarkStart w:id="528" w:name="_Toc15681"/>
      <w:bookmarkStart w:id="529" w:name="_Toc22133"/>
      <w:r>
        <w:rPr>
          <w:rFonts w:hint="eastAsia" w:ascii="方正楷体_GBK" w:hAnsi="方正楷体_GBK" w:eastAsia="方正楷体_GBK" w:cs="方正楷体_GBK"/>
          <w:color w:val="auto"/>
          <w:sz w:val="24"/>
          <w:szCs w:val="24"/>
          <w:lang w:val="en-US" w:eastAsia="zh-CN"/>
        </w:rPr>
        <w:t xml:space="preserve">10.14 </w:t>
      </w:r>
      <w:r>
        <w:rPr>
          <w:rFonts w:hint="eastAsia" w:ascii="方正楷体_GBK" w:hAnsi="方正楷体_GBK" w:eastAsia="方正楷体_GBK" w:cs="方正楷体_GBK"/>
          <w:color w:val="auto"/>
          <w:sz w:val="24"/>
          <w:szCs w:val="24"/>
        </w:rPr>
        <w:t>电子招标投标</w:t>
      </w:r>
      <w:bookmarkEnd w:id="525"/>
      <w:bookmarkEnd w:id="526"/>
      <w:bookmarkEnd w:id="527"/>
      <w:bookmarkEnd w:id="528"/>
      <w:bookmarkEnd w:id="529"/>
      <w:r>
        <w:rPr>
          <w:rFonts w:hint="eastAsia" w:ascii="方正楷体_GBK" w:hAnsi="方正楷体_GBK" w:eastAsia="方正楷体_GBK" w:cs="方正楷体_GBK"/>
          <w:color w:val="auto"/>
          <w:sz w:val="24"/>
          <w:szCs w:val="24"/>
        </w:rPr>
        <w:t>：见投标人须知前附表</w:t>
      </w:r>
      <w:r>
        <w:rPr>
          <w:rFonts w:hint="eastAsia" w:ascii="方正楷体_GBK" w:hAnsi="方正楷体_GBK" w:eastAsia="方正楷体_GBK" w:cs="方正楷体_GBK"/>
          <w:color w:val="auto"/>
          <w:sz w:val="24"/>
          <w:szCs w:val="24"/>
          <w:lang w:eastAsia="zh-CN"/>
        </w:rPr>
        <w:t>。</w:t>
      </w:r>
    </w:p>
    <w:p w14:paraId="04D9C1D6">
      <w:pPr>
        <w:pageBreakBefore w:val="0"/>
        <w:widowControl w:val="0"/>
        <w:kinsoku/>
        <w:wordWrap w:val="0"/>
        <w:overflowPunct/>
        <w:topLinePunct w:val="0"/>
        <w:autoSpaceDE/>
        <w:autoSpaceDN/>
        <w:bidi w:val="0"/>
        <w:adjustRightInd/>
        <w:snapToGrid/>
        <w:spacing w:before="0" w:beforeLines="0" w:after="0" w:afterLines="0" w:line="400" w:lineRule="exact"/>
        <w:ind w:firstLine="420" w:firstLineChars="200"/>
        <w:textAlignment w:val="auto"/>
        <w:outlineLvl w:val="1"/>
        <w:rPr>
          <w:color w:val="auto"/>
        </w:rPr>
      </w:pPr>
      <w:r>
        <w:rPr>
          <w:color w:val="auto"/>
        </w:rPr>
        <w:br w:type="page"/>
      </w:r>
      <w:bookmarkStart w:id="530" w:name="_Toc18210"/>
      <w:bookmarkStart w:id="531" w:name="_Toc26283"/>
      <w:bookmarkStart w:id="532" w:name="_Toc7387"/>
      <w:bookmarkStart w:id="533" w:name="_Toc300835002"/>
      <w:bookmarkStart w:id="534" w:name="_Toc247527606"/>
      <w:bookmarkStart w:id="535" w:name="_Toc152045581"/>
      <w:bookmarkStart w:id="536" w:name="_Toc247514005"/>
      <w:bookmarkStart w:id="537" w:name="_Toc144974548"/>
      <w:bookmarkStart w:id="538" w:name="_Toc21915"/>
      <w:bookmarkStart w:id="539" w:name="_Toc152042358"/>
      <w:r>
        <w:rPr>
          <w:rStyle w:val="48"/>
          <w:rFonts w:hint="eastAsia"/>
          <w:color w:val="auto"/>
        </w:rPr>
        <w:t>附表一：开标记录表</w:t>
      </w:r>
      <w:bookmarkEnd w:id="530"/>
      <w:bookmarkEnd w:id="531"/>
      <w:bookmarkEnd w:id="532"/>
      <w:bookmarkEnd w:id="533"/>
      <w:r>
        <w:rPr>
          <w:color w:val="auto"/>
        </w:rPr>
        <w:t xml:space="preserve">          </w:t>
      </w:r>
      <w:bookmarkStart w:id="540" w:name="_Toc300835003"/>
      <w:bookmarkStart w:id="541" w:name="_Toc15133"/>
      <w:bookmarkStart w:id="542" w:name="_Toc30035"/>
      <w:bookmarkStart w:id="543" w:name="_Toc30512"/>
      <w:bookmarkStart w:id="544" w:name="_Toc741"/>
    </w:p>
    <w:p w14:paraId="43EC8FF9">
      <w:pPr>
        <w:pageBreakBefore w:val="0"/>
        <w:widowControl w:val="0"/>
        <w:kinsoku/>
        <w:wordWrap w:val="0"/>
        <w:overflowPunct/>
        <w:topLinePunct w:val="0"/>
        <w:autoSpaceDE/>
        <w:autoSpaceDN/>
        <w:bidi w:val="0"/>
        <w:adjustRightInd/>
        <w:snapToGrid/>
        <w:spacing w:before="0" w:beforeLines="0" w:after="0" w:afterLines="0" w:line="400" w:lineRule="exact"/>
        <w:ind w:left="0" w:leftChars="0" w:firstLine="0" w:firstLineChars="0"/>
        <w:textAlignment w:val="auto"/>
        <w:outlineLvl w:val="9"/>
        <w:rPr>
          <w:rFonts w:hint="eastAsia" w:ascii="宋体" w:hAnsi="宋体" w:eastAsia="宋体" w:cs="宋体"/>
          <w:color w:val="auto"/>
          <w:sz w:val="24"/>
          <w:szCs w:val="24"/>
          <w:lang w:val="en-US" w:eastAsia="zh-CN"/>
        </w:rPr>
      </w:pPr>
      <w:bookmarkStart w:id="545" w:name="_Toc324707972"/>
      <w:r>
        <w:rPr>
          <w:rFonts w:hint="eastAsia" w:ascii="宋体" w:hAnsi="宋体" w:eastAsia="宋体" w:cs="宋体"/>
          <w:color w:val="auto"/>
          <w:sz w:val="24"/>
          <w:szCs w:val="24"/>
          <w:lang w:val="en-US" w:eastAsia="zh-CN"/>
        </w:rPr>
        <w:t>招标编码：</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 xml:space="preserve">     工程名称：</w:t>
      </w:r>
      <w:bookmarkEnd w:id="545"/>
    </w:p>
    <w:p w14:paraId="68AFF62D">
      <w:pPr>
        <w:spacing w:line="400" w:lineRule="exact"/>
        <w:ind w:left="0" w:leftChars="0" w:firstLine="0" w:firstLineChars="0"/>
        <w:jc w:val="both"/>
        <w:rPr>
          <w:rFonts w:hint="eastAsia"/>
          <w:color w:val="auto"/>
          <w:sz w:val="24"/>
          <w:szCs w:val="24"/>
          <w:u w:val="single"/>
          <w:lang w:val="en-US" w:eastAsia="zh-CN"/>
        </w:rPr>
      </w:pPr>
      <w:r>
        <w:rPr>
          <w:rFonts w:hint="eastAsia"/>
          <w:color w:val="auto"/>
          <w:sz w:val="24"/>
          <w:szCs w:val="24"/>
        </w:rPr>
        <w:t>开标时间：</w:t>
      </w:r>
      <w:r>
        <w:rPr>
          <w:rFonts w:hint="eastAsia"/>
          <w:color w:val="auto"/>
          <w:sz w:val="24"/>
          <w:szCs w:val="24"/>
          <w:u w:val="single"/>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w:t>
      </w:r>
      <w:r>
        <w:rPr>
          <w:rFonts w:hint="eastAsia"/>
          <w:color w:val="auto"/>
          <w:sz w:val="24"/>
          <w:szCs w:val="24"/>
          <w:u w:val="single"/>
        </w:rPr>
        <w:t xml:space="preserve">    </w:t>
      </w:r>
      <w:r>
        <w:rPr>
          <w:rFonts w:hint="eastAsia"/>
          <w:color w:val="auto"/>
          <w:sz w:val="24"/>
          <w:szCs w:val="24"/>
        </w:rPr>
        <w:t>时</w:t>
      </w:r>
      <w:r>
        <w:rPr>
          <w:rFonts w:hint="eastAsia"/>
          <w:color w:val="auto"/>
          <w:sz w:val="24"/>
          <w:szCs w:val="24"/>
          <w:u w:val="single"/>
        </w:rPr>
        <w:t xml:space="preserve">    </w:t>
      </w:r>
      <w:r>
        <w:rPr>
          <w:rFonts w:hint="eastAsia"/>
          <w:color w:val="auto"/>
          <w:sz w:val="24"/>
          <w:szCs w:val="24"/>
        </w:rPr>
        <w:t>分</w:t>
      </w:r>
      <w:r>
        <w:rPr>
          <w:rFonts w:hint="eastAsia"/>
          <w:color w:val="auto"/>
          <w:sz w:val="24"/>
          <w:szCs w:val="24"/>
          <w:lang w:val="en-US" w:eastAsia="zh-CN"/>
        </w:rPr>
        <w:tab/>
      </w:r>
      <w:r>
        <w:rPr>
          <w:rFonts w:hint="eastAsia"/>
          <w:color w:val="auto"/>
          <w:sz w:val="24"/>
          <w:szCs w:val="24"/>
          <w:lang w:val="en-US" w:eastAsia="zh-CN"/>
        </w:rPr>
        <w:t xml:space="preserve"> </w:t>
      </w:r>
      <w:r>
        <w:rPr>
          <w:rFonts w:hint="eastAsia"/>
          <w:color w:val="auto"/>
          <w:sz w:val="24"/>
          <w:szCs w:val="24"/>
          <w:lang w:eastAsia="zh-CN"/>
        </w:rPr>
        <w:t>开标地点</w:t>
      </w:r>
      <w:r>
        <w:rPr>
          <w:rFonts w:hint="eastAsia"/>
          <w:color w:val="auto"/>
          <w:sz w:val="24"/>
          <w:szCs w:val="24"/>
          <w:lang w:val="en-US" w:eastAsia="zh-CN"/>
        </w:rPr>
        <w:t>/平台：</w:t>
      </w:r>
    </w:p>
    <w:p w14:paraId="760927FF">
      <w:pPr>
        <w:spacing w:line="400" w:lineRule="exact"/>
        <w:ind w:left="0" w:leftChars="0" w:firstLine="0" w:firstLineChars="0"/>
        <w:jc w:val="both"/>
        <w:rPr>
          <w:rFonts w:hint="default" w:eastAsia="宋体"/>
          <w:color w:val="auto"/>
          <w:sz w:val="24"/>
          <w:szCs w:val="24"/>
          <w:u w:val="single"/>
          <w:lang w:val="en-US" w:eastAsia="zh-CN"/>
        </w:rPr>
      </w:pPr>
      <w:r>
        <w:rPr>
          <w:rFonts w:hint="eastAsia"/>
          <w:color w:val="auto"/>
          <w:sz w:val="24"/>
          <w:szCs w:val="24"/>
          <w:lang w:eastAsia="zh-CN"/>
        </w:rPr>
        <w:t>收到投标文件</w:t>
      </w:r>
      <w:r>
        <w:rPr>
          <w:rFonts w:hint="eastAsia"/>
          <w:color w:val="auto"/>
          <w:sz w:val="24"/>
          <w:szCs w:val="24"/>
          <w:u w:val="single"/>
          <w:lang w:val="en-US" w:eastAsia="zh-CN"/>
        </w:rPr>
        <w:t xml:space="preserve">     </w:t>
      </w:r>
      <w:r>
        <w:rPr>
          <w:rFonts w:hint="eastAsia"/>
          <w:color w:val="auto"/>
          <w:sz w:val="24"/>
          <w:szCs w:val="24"/>
          <w:u w:val="none"/>
          <w:lang w:val="en-US" w:eastAsia="zh-CN"/>
        </w:rPr>
        <w:t>份</w:t>
      </w:r>
      <w:r>
        <w:rPr>
          <w:rFonts w:hint="eastAsia"/>
          <w:color w:val="auto"/>
          <w:sz w:val="24"/>
          <w:szCs w:val="24"/>
          <w:lang w:val="en-US" w:eastAsia="zh-CN"/>
        </w:rPr>
        <w:t>，开标</w:t>
      </w:r>
      <w:r>
        <w:rPr>
          <w:rFonts w:hint="eastAsia"/>
          <w:color w:val="auto"/>
          <w:sz w:val="24"/>
          <w:szCs w:val="24"/>
          <w:u w:val="single"/>
          <w:lang w:val="en-US" w:eastAsia="zh-CN"/>
        </w:rPr>
        <w:t xml:space="preserve">     </w:t>
      </w:r>
      <w:r>
        <w:rPr>
          <w:rFonts w:hint="eastAsia"/>
          <w:color w:val="auto"/>
          <w:sz w:val="24"/>
          <w:szCs w:val="24"/>
          <w:u w:val="none"/>
          <w:lang w:val="en-US" w:eastAsia="zh-CN"/>
        </w:rPr>
        <w:t>份</w:t>
      </w:r>
    </w:p>
    <w:tbl>
      <w:tblPr>
        <w:tblStyle w:val="38"/>
        <w:tblW w:w="4910" w:type="pct"/>
        <w:jc w:val="center"/>
        <w:tblLayout w:type="autofit"/>
        <w:tblCellMar>
          <w:top w:w="0" w:type="dxa"/>
          <w:left w:w="108" w:type="dxa"/>
          <w:bottom w:w="0" w:type="dxa"/>
          <w:right w:w="108" w:type="dxa"/>
        </w:tblCellMar>
      </w:tblPr>
      <w:tblGrid>
        <w:gridCol w:w="840"/>
        <w:gridCol w:w="1180"/>
        <w:gridCol w:w="1292"/>
        <w:gridCol w:w="1370"/>
        <w:gridCol w:w="1355"/>
        <w:gridCol w:w="1213"/>
        <w:gridCol w:w="1329"/>
        <w:gridCol w:w="1097"/>
      </w:tblGrid>
      <w:tr w14:paraId="79ADCB08">
        <w:tblPrEx>
          <w:tblCellMar>
            <w:top w:w="0" w:type="dxa"/>
            <w:left w:w="108" w:type="dxa"/>
            <w:bottom w:w="0" w:type="dxa"/>
            <w:right w:w="108" w:type="dxa"/>
          </w:tblCellMar>
        </w:tblPrEx>
        <w:trPr>
          <w:trHeight w:val="696"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3DC690F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color w:val="auto"/>
                <w:sz w:val="24"/>
                <w:szCs w:val="24"/>
              </w:rPr>
              <w:t>序号</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69BD72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color w:val="auto"/>
                <w:sz w:val="24"/>
                <w:szCs w:val="24"/>
              </w:rPr>
              <w:t>投标人</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68EA35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投标报价（万元）</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2CB8C6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质量标准</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3DB9E50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工期</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C6516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Calibri" w:hAnsi="Calibri" w:cs="Times New Roman"/>
                <w:color w:val="auto"/>
                <w:kern w:val="2"/>
                <w:sz w:val="24"/>
                <w:szCs w:val="24"/>
                <w:lang w:val="en-US" w:eastAsia="zh-CN" w:bidi="ar-SA"/>
              </w:rPr>
              <w:t>项目经理</w:t>
            </w:r>
          </w:p>
        </w:tc>
        <w:tc>
          <w:tcPr>
            <w:tcW w:w="1329" w:type="dxa"/>
            <w:tcBorders>
              <w:top w:val="single" w:color="auto" w:sz="4" w:space="0"/>
              <w:left w:val="single" w:color="auto" w:sz="4" w:space="0"/>
              <w:bottom w:val="single" w:color="auto" w:sz="4" w:space="0"/>
              <w:right w:val="single" w:color="auto" w:sz="4" w:space="0"/>
            </w:tcBorders>
            <w:noWrap w:val="0"/>
            <w:vAlign w:val="center"/>
          </w:tcPr>
          <w:p w14:paraId="596B8C9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设计负责人</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32B38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施工负责人</w:t>
            </w:r>
          </w:p>
        </w:tc>
      </w:tr>
      <w:tr w14:paraId="492D2121">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4C140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15A95F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12B3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6C60E6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321A8C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070D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0F669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4C862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26931213">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65776D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58535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A1AD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50EE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1D23E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E40D5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050475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041C4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4"/>
                <w:szCs w:val="24"/>
                <w:lang w:eastAsia="zh-CN"/>
              </w:rPr>
            </w:pPr>
          </w:p>
        </w:tc>
      </w:tr>
      <w:tr w14:paraId="60F294C2">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39FB3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0D27A1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EFC04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2ECC4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0370C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6F41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28A8D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422B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2E8C9B54">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29034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536FBF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9682F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2F40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5511E4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EE85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2BE72F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4F3E5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50F0E1EE">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35C9FB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30876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0AD10F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5B5520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4AB94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DDA92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2626AE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02E255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5127D295">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5773B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FBC60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AB77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6ED27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34DC8E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3E77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4AA8BD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6D5DA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68FB7422">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6B5CE1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E55E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0A93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5AD37D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528D0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57AC1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4EA4B6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171E4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0CD964A0">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081F4B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4F617D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EC59B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33F766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44E023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FABB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08280C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48D10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7734DB48">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732F1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38317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F05B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602F8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E571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3331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276ED7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035B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70E426F0">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40FC1E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05C70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265DB1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46CC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8F27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E18E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52604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33E0F6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28D3DC8B">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55E84D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3BC86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F2CF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212D2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578471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1EA00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189A7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997FB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bl>
    <w:p w14:paraId="48878E7B">
      <w:pPr>
        <w:keepNext w:val="0"/>
        <w:keepLines w:val="0"/>
        <w:pageBreakBefore w:val="0"/>
        <w:widowControl w:val="0"/>
        <w:kinsoku/>
        <w:overflowPunct/>
        <w:topLinePunct w:val="0"/>
        <w:autoSpaceDE/>
        <w:autoSpaceDN/>
        <w:bidi w:val="0"/>
        <w:adjustRightInd/>
        <w:snapToGrid/>
        <w:spacing w:line="400" w:lineRule="exact"/>
        <w:ind w:left="0" w:leftChars="0" w:firstLine="0" w:firstLineChars="0"/>
        <w:textAlignment w:val="auto"/>
        <w:rPr>
          <w:color w:val="auto"/>
          <w:sz w:val="24"/>
          <w:szCs w:val="24"/>
        </w:rPr>
      </w:pPr>
      <w:r>
        <w:rPr>
          <w:color w:val="auto"/>
          <w:sz w:val="24"/>
          <w:szCs w:val="24"/>
        </w:rPr>
        <w:t>招标人：</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 xml:space="preserve"> </w:t>
      </w:r>
    </w:p>
    <w:p w14:paraId="44F1FB51">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default" w:eastAsia="宋体"/>
          <w:color w:val="auto"/>
          <w:sz w:val="24"/>
          <w:szCs w:val="24"/>
          <w:u w:val="single"/>
          <w:lang w:val="en-US" w:eastAsia="zh-CN"/>
        </w:rPr>
      </w:pPr>
      <w:r>
        <w:rPr>
          <w:rFonts w:hint="eastAsia"/>
          <w:color w:val="auto"/>
          <w:sz w:val="24"/>
          <w:szCs w:val="24"/>
          <w:u w:val="none"/>
          <w:lang w:eastAsia="zh-CN"/>
        </w:rPr>
        <w:t>招标代理机构：</w:t>
      </w:r>
      <w:r>
        <w:rPr>
          <w:rFonts w:hint="eastAsia"/>
          <w:color w:val="auto"/>
          <w:sz w:val="24"/>
          <w:szCs w:val="24"/>
          <w:u w:val="single"/>
          <w:lang w:val="en-US" w:eastAsia="zh-CN"/>
        </w:rPr>
        <w:t xml:space="preserve">                        </w:t>
      </w:r>
    </w:p>
    <w:p w14:paraId="3CFDC99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default" w:eastAsia="宋体"/>
          <w:color w:val="auto"/>
          <w:sz w:val="24"/>
          <w:szCs w:val="24"/>
          <w:u w:val="single"/>
          <w:lang w:val="en-US" w:eastAsia="zh-CN"/>
        </w:rPr>
      </w:pPr>
      <w:r>
        <w:rPr>
          <w:rFonts w:hint="eastAsia"/>
          <w:color w:val="auto"/>
          <w:sz w:val="24"/>
          <w:szCs w:val="24"/>
          <w:u w:val="none"/>
          <w:lang w:eastAsia="zh-CN"/>
        </w:rPr>
        <w:t>招标代理机构项目负责人：</w:t>
      </w:r>
      <w:r>
        <w:rPr>
          <w:rFonts w:hint="eastAsia"/>
          <w:color w:val="auto"/>
          <w:sz w:val="24"/>
          <w:szCs w:val="24"/>
          <w:u w:val="single"/>
          <w:lang w:val="en-US" w:eastAsia="zh-CN"/>
        </w:rPr>
        <w:t xml:space="preserve">                        </w:t>
      </w:r>
    </w:p>
    <w:p w14:paraId="086264A4">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00" w:lineRule="exact"/>
        <w:jc w:val="both"/>
        <w:textAlignment w:val="auto"/>
        <w:outlineLvl w:val="9"/>
        <w:rPr>
          <w:rFonts w:hint="default" w:eastAsia="宋体"/>
          <w:color w:val="auto"/>
          <w:sz w:val="24"/>
          <w:szCs w:val="24"/>
          <w:u w:val="single"/>
          <w:lang w:val="en-US" w:eastAsia="zh-CN"/>
        </w:rPr>
      </w:pPr>
      <w:r>
        <w:rPr>
          <w:rFonts w:hint="eastAsia" w:ascii="Times New Roman" w:hAnsi="Times New Roman" w:eastAsia="宋体" w:cs="Times New Roman"/>
          <w:color w:val="auto"/>
          <w:sz w:val="24"/>
          <w:szCs w:val="24"/>
          <w:u w:val="none"/>
          <w:lang w:val="en-US" w:eastAsia="zh-CN"/>
        </w:rPr>
        <w:t>行政监督部门现场监督</w:t>
      </w:r>
      <w:r>
        <w:rPr>
          <w:rFonts w:hint="eastAsia" w:ascii="Times New Roman" w:hAnsi="Times New Roman" w:eastAsia="宋体" w:cs="Times New Roman"/>
          <w:color w:val="auto"/>
          <w:sz w:val="24"/>
          <w:szCs w:val="24"/>
          <w:u w:val="none"/>
          <w:lang w:eastAsia="zh-CN"/>
        </w:rPr>
        <w:t>人</w:t>
      </w:r>
      <w:r>
        <w:rPr>
          <w:rFonts w:hint="eastAsia"/>
          <w:color w:val="auto"/>
          <w:sz w:val="24"/>
          <w:szCs w:val="24"/>
          <w:lang w:eastAsia="zh-CN"/>
        </w:rPr>
        <w:t>员</w:t>
      </w:r>
      <w:r>
        <w:rPr>
          <w:rFonts w:hint="eastAsia"/>
          <w:color w:val="auto"/>
          <w:sz w:val="24"/>
          <w:szCs w:val="24"/>
          <w:u w:val="none"/>
          <w:lang w:eastAsia="zh-CN"/>
        </w:rPr>
        <w:t>：</w:t>
      </w:r>
      <w:r>
        <w:rPr>
          <w:rFonts w:hint="eastAsia"/>
          <w:color w:val="auto"/>
          <w:sz w:val="24"/>
          <w:szCs w:val="24"/>
          <w:u w:val="single"/>
          <w:lang w:val="en-US" w:eastAsia="zh-CN"/>
        </w:rPr>
        <w:t xml:space="preserve">                      </w:t>
      </w:r>
    </w:p>
    <w:p w14:paraId="461ECB62">
      <w:pPr>
        <w:spacing w:line="620" w:lineRule="exact"/>
        <w:rPr>
          <w:rFonts w:hint="eastAsia" w:ascii="方正黑体_GBK" w:hAnsi="方正黑体_GBK" w:eastAsia="方正黑体_GBK" w:cs="方正黑体_GBK"/>
          <w:color w:val="auto"/>
          <w:sz w:val="24"/>
          <w:szCs w:val="24"/>
          <w:lang w:val="en-US" w:eastAsia="zh-CN"/>
        </w:rPr>
      </w:pPr>
      <w:r>
        <w:rPr>
          <w:color w:val="auto"/>
          <w:sz w:val="24"/>
          <w:szCs w:val="24"/>
        </w:rPr>
        <w:t xml:space="preserve">                                    </w:t>
      </w:r>
      <w:r>
        <w:rPr>
          <w:color w:val="auto"/>
          <w:sz w:val="24"/>
          <w:szCs w:val="24"/>
          <w:u w:val="single"/>
        </w:rPr>
        <w:t xml:space="preserve">    </w:t>
      </w:r>
      <w:r>
        <w:rPr>
          <w:color w:val="auto"/>
          <w:sz w:val="24"/>
          <w:szCs w:val="24"/>
        </w:rPr>
        <w:t>年</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p>
    <w:p w14:paraId="37BE57F1">
      <w:pPr>
        <w:keepNext w:val="0"/>
        <w:keepLines w:val="0"/>
        <w:pageBreakBefore w:val="0"/>
        <w:widowControl w:val="0"/>
        <w:numPr>
          <w:ilvl w:val="0"/>
          <w:numId w:val="10"/>
        </w:numPr>
        <w:kinsoku/>
        <w:wordWrap w:val="0"/>
        <w:overflowPunct/>
        <w:topLinePunct w:val="0"/>
        <w:autoSpaceDE/>
        <w:autoSpaceDN/>
        <w:bidi w:val="0"/>
        <w:adjustRightInd/>
        <w:snapToGrid/>
        <w:spacing w:line="560" w:lineRule="exact"/>
        <w:ind w:left="0" w:leftChars="0" w:firstLine="480" w:firstLineChars="200"/>
        <w:textAlignment w:val="auto"/>
        <w:outlineLvl w:val="0"/>
        <w:rPr>
          <w:rFonts w:hint="eastAsia" w:ascii="方正黑体_GBK" w:hAnsi="方正黑体_GBK" w:eastAsia="方正黑体_GBK" w:cs="方正黑体_GBK"/>
          <w:color w:val="auto"/>
          <w:sz w:val="24"/>
          <w:szCs w:val="24"/>
          <w:lang w:val="en-US" w:eastAsia="zh-CN"/>
        </w:rPr>
        <w:sectPr>
          <w:footerReference r:id="rId8"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4E6319B7">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textAlignment w:val="auto"/>
        <w:outlineLvl w:val="1"/>
        <w:rPr>
          <w:rStyle w:val="48"/>
          <w:color w:val="auto"/>
        </w:rPr>
      </w:pPr>
      <w:bookmarkStart w:id="546" w:name="_Toc26450"/>
      <w:r>
        <w:rPr>
          <w:rStyle w:val="48"/>
          <w:color w:val="auto"/>
        </w:rPr>
        <w:t>附</w:t>
      </w:r>
      <w:r>
        <w:rPr>
          <w:rStyle w:val="48"/>
          <w:rFonts w:hint="eastAsia"/>
          <w:color w:val="auto"/>
        </w:rPr>
        <w:t>表</w:t>
      </w:r>
      <w:r>
        <w:rPr>
          <w:rStyle w:val="48"/>
          <w:color w:val="auto"/>
        </w:rPr>
        <w:t>二：</w:t>
      </w:r>
      <w:r>
        <w:rPr>
          <w:rStyle w:val="48"/>
          <w:rFonts w:hint="eastAsia"/>
          <w:color w:val="auto"/>
        </w:rPr>
        <w:t>投标文件</w:t>
      </w:r>
      <w:r>
        <w:rPr>
          <w:rStyle w:val="48"/>
          <w:color w:val="auto"/>
        </w:rPr>
        <w:t>澄清通知</w:t>
      </w:r>
      <w:bookmarkEnd w:id="540"/>
      <w:bookmarkEnd w:id="541"/>
      <w:bookmarkEnd w:id="542"/>
      <w:bookmarkEnd w:id="546"/>
    </w:p>
    <w:bookmarkEnd w:id="543"/>
    <w:bookmarkEnd w:id="544"/>
    <w:p w14:paraId="0BEE9853">
      <w:pPr>
        <w:pageBreakBefore w:val="0"/>
        <w:kinsoku/>
        <w:wordWrap w:val="0"/>
        <w:overflowPunct/>
        <w:bidi w:val="0"/>
        <w:spacing w:line="440" w:lineRule="exact"/>
        <w:jc w:val="center"/>
        <w:rPr>
          <w:color w:val="auto"/>
          <w:szCs w:val="21"/>
        </w:rPr>
      </w:pPr>
    </w:p>
    <w:p w14:paraId="6B1768DC">
      <w:pPr>
        <w:pageBreakBefore w:val="0"/>
        <w:kinsoku/>
        <w:wordWrap w:val="0"/>
        <w:overflowPunct/>
        <w:bidi w:val="0"/>
        <w:spacing w:line="440" w:lineRule="exact"/>
        <w:jc w:val="center"/>
        <w:rPr>
          <w:rFonts w:eastAsia="黑体"/>
          <w:color w:val="auto"/>
          <w:sz w:val="28"/>
          <w:szCs w:val="28"/>
        </w:rPr>
      </w:pPr>
      <w:bookmarkStart w:id="547" w:name="_Toc29118"/>
      <w:r>
        <w:rPr>
          <w:rFonts w:hint="eastAsia" w:eastAsia="黑体"/>
          <w:color w:val="auto"/>
          <w:sz w:val="28"/>
          <w:szCs w:val="28"/>
          <w:lang w:eastAsia="zh-CN"/>
        </w:rPr>
        <w:t>投标文件</w:t>
      </w:r>
      <w:r>
        <w:rPr>
          <w:rFonts w:eastAsia="黑体"/>
          <w:color w:val="auto"/>
          <w:sz w:val="28"/>
          <w:szCs w:val="28"/>
        </w:rPr>
        <w:t>澄清通知</w:t>
      </w:r>
      <w:bookmarkEnd w:id="547"/>
    </w:p>
    <w:p w14:paraId="2F29FC9C">
      <w:pPr>
        <w:pageBreakBefore w:val="0"/>
        <w:kinsoku/>
        <w:wordWrap w:val="0"/>
        <w:overflowPunct/>
        <w:bidi w:val="0"/>
        <w:spacing w:line="440" w:lineRule="exact"/>
        <w:rPr>
          <w:color w:val="auto"/>
          <w:szCs w:val="21"/>
        </w:rPr>
      </w:pPr>
      <w:r>
        <w:rPr>
          <w:color w:val="auto"/>
          <w:szCs w:val="21"/>
        </w:rPr>
        <w:t xml:space="preserve">                              </w:t>
      </w:r>
    </w:p>
    <w:p w14:paraId="7A1DB403">
      <w:pPr>
        <w:pageBreakBefore w:val="0"/>
        <w:kinsoku/>
        <w:wordWrap w:val="0"/>
        <w:overflowPunct/>
        <w:bidi w:val="0"/>
        <w:spacing w:line="440" w:lineRule="exact"/>
        <w:rPr>
          <w:color w:val="auto"/>
          <w:szCs w:val="21"/>
        </w:rPr>
      </w:pPr>
    </w:p>
    <w:p w14:paraId="53E41382">
      <w:pPr>
        <w:pageBreakBefore w:val="0"/>
        <w:kinsoku/>
        <w:wordWrap w:val="0"/>
        <w:overflowPunct/>
        <w:bidi w:val="0"/>
        <w:spacing w:line="440" w:lineRule="exact"/>
        <w:ind w:left="0" w:leftChars="0" w:firstLine="0" w:firstLineChars="0"/>
        <w:rPr>
          <w:color w:val="auto"/>
          <w:sz w:val="24"/>
          <w:szCs w:val="24"/>
        </w:rPr>
      </w:pPr>
      <w:r>
        <w:rPr>
          <w:i/>
          <w:iCs/>
          <w:color w:val="auto"/>
          <w:sz w:val="24"/>
          <w:szCs w:val="24"/>
          <w:u w:val="single"/>
        </w:rPr>
        <w:t>（投标人名称）</w:t>
      </w:r>
      <w:r>
        <w:rPr>
          <w:color w:val="auto"/>
          <w:sz w:val="24"/>
          <w:szCs w:val="24"/>
        </w:rPr>
        <w:t>：</w:t>
      </w:r>
    </w:p>
    <w:p w14:paraId="05E15898">
      <w:pPr>
        <w:pageBreakBefore w:val="0"/>
        <w:kinsoku/>
        <w:wordWrap w:val="0"/>
        <w:overflowPunct/>
        <w:bidi w:val="0"/>
        <w:spacing w:line="440" w:lineRule="exact"/>
        <w:rPr>
          <w:color w:val="auto"/>
          <w:sz w:val="24"/>
          <w:szCs w:val="24"/>
        </w:rPr>
      </w:pPr>
    </w:p>
    <w:p w14:paraId="1D6516CC">
      <w:pPr>
        <w:pageBreakBefore w:val="0"/>
        <w:kinsoku/>
        <w:wordWrap w:val="0"/>
        <w:overflowPunct/>
        <w:bidi w:val="0"/>
        <w:spacing w:line="440" w:lineRule="exact"/>
        <w:rPr>
          <w:color w:val="auto"/>
          <w:sz w:val="24"/>
          <w:szCs w:val="24"/>
        </w:rPr>
      </w:pPr>
      <w:r>
        <w:rPr>
          <w:i/>
          <w:iCs/>
          <w:color w:val="auto"/>
          <w:sz w:val="24"/>
          <w:szCs w:val="24"/>
          <w:u w:val="single"/>
        </w:rPr>
        <w:t>（</w:t>
      </w:r>
      <w:r>
        <w:rPr>
          <w:rFonts w:hint="eastAsia"/>
          <w:i/>
          <w:iCs/>
          <w:color w:val="auto"/>
          <w:sz w:val="24"/>
          <w:szCs w:val="24"/>
          <w:u w:val="single"/>
          <w:lang w:eastAsia="zh-CN"/>
        </w:rPr>
        <w:t>工程</w:t>
      </w:r>
      <w:r>
        <w:rPr>
          <w:i/>
          <w:iCs/>
          <w:color w:val="auto"/>
          <w:sz w:val="24"/>
          <w:szCs w:val="24"/>
          <w:u w:val="single"/>
        </w:rPr>
        <w:t>名称）</w:t>
      </w:r>
      <w:r>
        <w:rPr>
          <w:color w:val="auto"/>
          <w:sz w:val="24"/>
          <w:szCs w:val="24"/>
        </w:rPr>
        <w:t>招标的评标委员会，对你方的投标文件进行了仔细的审查，现需你方对下列问题以书面形式予以澄清：</w:t>
      </w:r>
    </w:p>
    <w:p w14:paraId="5F3009FA">
      <w:pPr>
        <w:pageBreakBefore w:val="0"/>
        <w:kinsoku/>
        <w:wordWrap w:val="0"/>
        <w:overflowPunct/>
        <w:bidi w:val="0"/>
        <w:spacing w:line="440" w:lineRule="exact"/>
        <w:rPr>
          <w:color w:val="auto"/>
          <w:sz w:val="24"/>
          <w:szCs w:val="24"/>
        </w:rPr>
      </w:pPr>
      <w:r>
        <w:rPr>
          <w:color w:val="auto"/>
          <w:sz w:val="24"/>
          <w:szCs w:val="24"/>
        </w:rPr>
        <w:t xml:space="preserve">    </w:t>
      </w:r>
      <w:bookmarkStart w:id="548" w:name="_Toc10338"/>
      <w:r>
        <w:rPr>
          <w:color w:val="auto"/>
          <w:sz w:val="24"/>
          <w:szCs w:val="24"/>
        </w:rPr>
        <w:t>1.</w:t>
      </w:r>
      <w:bookmarkEnd w:id="548"/>
    </w:p>
    <w:p w14:paraId="755754C1">
      <w:pPr>
        <w:pageBreakBefore w:val="0"/>
        <w:kinsoku/>
        <w:wordWrap w:val="0"/>
        <w:overflowPunct/>
        <w:bidi w:val="0"/>
        <w:spacing w:line="440" w:lineRule="exact"/>
        <w:rPr>
          <w:color w:val="auto"/>
          <w:sz w:val="24"/>
          <w:szCs w:val="24"/>
        </w:rPr>
      </w:pPr>
      <w:r>
        <w:rPr>
          <w:color w:val="auto"/>
          <w:sz w:val="24"/>
          <w:szCs w:val="24"/>
        </w:rPr>
        <w:t xml:space="preserve">    </w:t>
      </w:r>
      <w:bookmarkStart w:id="549" w:name="_Toc32723"/>
      <w:r>
        <w:rPr>
          <w:color w:val="auto"/>
          <w:sz w:val="24"/>
          <w:szCs w:val="24"/>
        </w:rPr>
        <w:t>2.</w:t>
      </w:r>
      <w:bookmarkEnd w:id="549"/>
    </w:p>
    <w:p w14:paraId="6A80891E">
      <w:pPr>
        <w:pageBreakBefore w:val="0"/>
        <w:kinsoku/>
        <w:wordWrap w:val="0"/>
        <w:overflowPunct/>
        <w:bidi w:val="0"/>
        <w:spacing w:line="440" w:lineRule="exact"/>
        <w:rPr>
          <w:color w:val="auto"/>
          <w:sz w:val="24"/>
          <w:szCs w:val="24"/>
        </w:rPr>
      </w:pPr>
      <w:r>
        <w:rPr>
          <w:color w:val="auto"/>
          <w:sz w:val="24"/>
          <w:szCs w:val="24"/>
        </w:rPr>
        <w:t xml:space="preserve">     ......   </w:t>
      </w:r>
    </w:p>
    <w:p w14:paraId="56544A3D">
      <w:pPr>
        <w:pageBreakBefore w:val="0"/>
        <w:kinsoku/>
        <w:wordWrap w:val="0"/>
        <w:overflowPunct/>
        <w:bidi w:val="0"/>
        <w:spacing w:line="440" w:lineRule="exact"/>
        <w:rPr>
          <w:rFonts w:hint="eastAsia" w:eastAsia="宋体"/>
          <w:color w:val="auto"/>
          <w:sz w:val="24"/>
          <w:szCs w:val="24"/>
          <w:lang w:eastAsia="zh-CN"/>
        </w:rPr>
      </w:pPr>
    </w:p>
    <w:p w14:paraId="5F3720D7">
      <w:pPr>
        <w:pageBreakBefore w:val="0"/>
        <w:kinsoku/>
        <w:wordWrap w:val="0"/>
        <w:overflowPunct/>
        <w:bidi w:val="0"/>
        <w:spacing w:line="440" w:lineRule="exact"/>
        <w:rPr>
          <w:color w:val="auto"/>
          <w:sz w:val="24"/>
          <w:szCs w:val="24"/>
        </w:rPr>
      </w:pPr>
      <w:r>
        <w:rPr>
          <w:color w:val="auto"/>
          <w:sz w:val="24"/>
          <w:szCs w:val="24"/>
        </w:rPr>
        <w:t>请将上述问题的澄清于</w:t>
      </w:r>
      <w:r>
        <w:rPr>
          <w:color w:val="auto"/>
          <w:sz w:val="24"/>
          <w:szCs w:val="24"/>
          <w:u w:val="single"/>
        </w:rPr>
        <w:t xml:space="preserve">     </w:t>
      </w:r>
      <w:r>
        <w:rPr>
          <w:color w:val="auto"/>
          <w:sz w:val="24"/>
          <w:szCs w:val="24"/>
        </w:rPr>
        <w:t>年</w:t>
      </w:r>
      <w:r>
        <w:rPr>
          <w:color w:val="auto"/>
          <w:sz w:val="24"/>
          <w:szCs w:val="24"/>
          <w:u w:val="single"/>
        </w:rPr>
        <w:t xml:space="preserve">   </w:t>
      </w:r>
      <w:r>
        <w:rPr>
          <w:rFonts w:hint="eastAsia"/>
          <w:color w:val="auto"/>
          <w:sz w:val="24"/>
          <w:szCs w:val="24"/>
          <w:u w:val="single"/>
        </w:rPr>
        <w:t xml:space="preserve">  </w:t>
      </w:r>
      <w:r>
        <w:rPr>
          <w:color w:val="auto"/>
          <w:sz w:val="24"/>
          <w:szCs w:val="24"/>
        </w:rPr>
        <w:t>月</w:t>
      </w:r>
      <w:r>
        <w:rPr>
          <w:color w:val="auto"/>
          <w:sz w:val="24"/>
          <w:szCs w:val="24"/>
          <w:u w:val="single"/>
        </w:rPr>
        <w:t xml:space="preserve">   </w:t>
      </w:r>
      <w:r>
        <w:rPr>
          <w:rFonts w:hint="eastAsia"/>
          <w:color w:val="auto"/>
          <w:sz w:val="24"/>
          <w:szCs w:val="24"/>
          <w:u w:val="single"/>
        </w:rPr>
        <w:t xml:space="preserve">  </w:t>
      </w:r>
      <w:r>
        <w:rPr>
          <w:color w:val="auto"/>
          <w:sz w:val="24"/>
          <w:szCs w:val="24"/>
        </w:rPr>
        <w:t>日</w:t>
      </w:r>
      <w:r>
        <w:rPr>
          <w:color w:val="auto"/>
          <w:sz w:val="24"/>
          <w:szCs w:val="24"/>
          <w:u w:val="single"/>
        </w:rPr>
        <w:t xml:space="preserve">     </w:t>
      </w:r>
      <w:r>
        <w:rPr>
          <w:color w:val="auto"/>
          <w:sz w:val="24"/>
          <w:szCs w:val="24"/>
        </w:rPr>
        <w:t>时前</w:t>
      </w:r>
      <w:r>
        <w:rPr>
          <w:rFonts w:hint="eastAsia" w:ascii="宋体" w:hAnsi="宋体" w:eastAsia="宋体" w:cs="宋体"/>
          <w:color w:val="auto"/>
          <w:sz w:val="24"/>
          <w:szCs w:val="24"/>
          <w:lang w:eastAsia="zh-CN"/>
        </w:rPr>
        <w:t>通过电子招标投标交易平台提交</w:t>
      </w:r>
      <w:r>
        <w:rPr>
          <w:color w:val="auto"/>
          <w:sz w:val="24"/>
          <w:szCs w:val="24"/>
        </w:rPr>
        <w:t>。</w:t>
      </w:r>
    </w:p>
    <w:p w14:paraId="4590A918">
      <w:pPr>
        <w:pageBreakBefore w:val="0"/>
        <w:kinsoku/>
        <w:wordWrap w:val="0"/>
        <w:overflowPunct/>
        <w:bidi w:val="0"/>
        <w:spacing w:line="440" w:lineRule="exact"/>
        <w:rPr>
          <w:color w:val="auto"/>
          <w:sz w:val="24"/>
          <w:szCs w:val="24"/>
        </w:rPr>
      </w:pPr>
    </w:p>
    <w:p w14:paraId="15751A9A">
      <w:pPr>
        <w:pageBreakBefore w:val="0"/>
        <w:kinsoku/>
        <w:wordWrap w:val="0"/>
        <w:overflowPunct/>
        <w:bidi w:val="0"/>
        <w:spacing w:line="440" w:lineRule="exact"/>
        <w:rPr>
          <w:color w:val="auto"/>
          <w:sz w:val="24"/>
          <w:szCs w:val="24"/>
        </w:rPr>
      </w:pPr>
    </w:p>
    <w:p w14:paraId="038A4FC8">
      <w:pPr>
        <w:pageBreakBefore w:val="0"/>
        <w:kinsoku/>
        <w:wordWrap w:val="0"/>
        <w:overflowPunct/>
        <w:bidi w:val="0"/>
        <w:spacing w:line="440" w:lineRule="exact"/>
        <w:rPr>
          <w:rFonts w:hint="eastAsia"/>
          <w:color w:val="auto"/>
          <w:sz w:val="24"/>
          <w:szCs w:val="24"/>
        </w:rPr>
      </w:pPr>
      <w:r>
        <w:rPr>
          <w:color w:val="auto"/>
          <w:sz w:val="24"/>
          <w:szCs w:val="24"/>
        </w:rPr>
        <w:t xml:space="preserve">                        </w:t>
      </w:r>
      <w:r>
        <w:rPr>
          <w:rFonts w:hint="eastAsia"/>
          <w:color w:val="auto"/>
          <w:sz w:val="24"/>
          <w:szCs w:val="24"/>
          <w:lang w:val="en-US" w:eastAsia="zh-CN"/>
        </w:rPr>
        <w:t xml:space="preserve">  </w:t>
      </w:r>
      <w:r>
        <w:rPr>
          <w:color w:val="auto"/>
          <w:sz w:val="24"/>
          <w:szCs w:val="24"/>
        </w:rPr>
        <w:t xml:space="preserve"> </w:t>
      </w:r>
      <w:r>
        <w:rPr>
          <w:rFonts w:hint="eastAsia"/>
          <w:color w:val="auto"/>
          <w:sz w:val="24"/>
          <w:szCs w:val="24"/>
          <w:lang w:val="en-US" w:eastAsia="zh-CN"/>
        </w:rPr>
        <w:t xml:space="preserve">   </w:t>
      </w:r>
    </w:p>
    <w:p w14:paraId="51728E7B">
      <w:pPr>
        <w:pageBreakBefore w:val="0"/>
        <w:kinsoku/>
        <w:wordWrap w:val="0"/>
        <w:overflowPunct/>
        <w:bidi w:val="0"/>
        <w:spacing w:line="440" w:lineRule="exact"/>
        <w:rPr>
          <w:color w:val="auto"/>
          <w:sz w:val="24"/>
          <w:szCs w:val="24"/>
        </w:rPr>
      </w:pPr>
    </w:p>
    <w:p w14:paraId="7CB403BE">
      <w:pPr>
        <w:pageBreakBefore w:val="0"/>
        <w:kinsoku/>
        <w:wordWrap w:val="0"/>
        <w:overflowPunct/>
        <w:bidi w:val="0"/>
        <w:spacing w:line="440" w:lineRule="exact"/>
        <w:rPr>
          <w:color w:val="auto"/>
          <w:szCs w:val="21"/>
        </w:rPr>
      </w:pPr>
      <w:r>
        <w:rPr>
          <w:color w:val="auto"/>
          <w:sz w:val="24"/>
          <w:szCs w:val="24"/>
        </w:rPr>
        <w:t xml:space="preserve">                                  </w:t>
      </w:r>
      <w:r>
        <w:rPr>
          <w:rFonts w:hint="eastAsia"/>
          <w:color w:val="auto"/>
          <w:sz w:val="24"/>
          <w:szCs w:val="24"/>
        </w:rPr>
        <w:t xml:space="preserve">            </w:t>
      </w:r>
      <w:r>
        <w:rPr>
          <w:rFonts w:ascii="宋体" w:hAnsi="宋体"/>
          <w:color w:val="auto"/>
          <w:sz w:val="24"/>
          <w:szCs w:val="24"/>
          <w:u w:val="single"/>
        </w:rPr>
        <w:t xml:space="preserve">     </w:t>
      </w:r>
      <w:r>
        <w:rPr>
          <w:color w:val="auto"/>
          <w:sz w:val="24"/>
          <w:szCs w:val="24"/>
        </w:rPr>
        <w:t>年</w:t>
      </w:r>
      <w:r>
        <w:rPr>
          <w:rFonts w:ascii="宋体" w:hAnsi="宋体"/>
          <w:color w:val="auto"/>
          <w:sz w:val="24"/>
          <w:szCs w:val="24"/>
          <w:u w:val="single"/>
        </w:rPr>
        <w:t xml:space="preserve">     </w:t>
      </w:r>
      <w:r>
        <w:rPr>
          <w:color w:val="auto"/>
          <w:sz w:val="24"/>
          <w:szCs w:val="24"/>
        </w:rPr>
        <w:t>月</w:t>
      </w:r>
      <w:r>
        <w:rPr>
          <w:rFonts w:ascii="宋体" w:hAnsi="宋体"/>
          <w:color w:val="auto"/>
          <w:sz w:val="24"/>
          <w:szCs w:val="24"/>
          <w:u w:val="single"/>
        </w:rPr>
        <w:t xml:space="preserve">     </w:t>
      </w:r>
      <w:r>
        <w:rPr>
          <w:color w:val="auto"/>
          <w:sz w:val="24"/>
          <w:szCs w:val="24"/>
        </w:rPr>
        <w:t>日</w:t>
      </w:r>
    </w:p>
    <w:p w14:paraId="17BB4E84">
      <w:pPr>
        <w:pageBreakBefore w:val="0"/>
        <w:kinsoku/>
        <w:wordWrap w:val="0"/>
        <w:overflowPunct/>
        <w:bidi w:val="0"/>
        <w:spacing w:line="400" w:lineRule="exact"/>
        <w:rPr>
          <w:color w:val="auto"/>
        </w:rPr>
      </w:pPr>
    </w:p>
    <w:p w14:paraId="1FE9AC79">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outlineLvl w:val="1"/>
        <w:rPr>
          <w:rStyle w:val="48"/>
          <w:color w:val="auto"/>
        </w:rPr>
      </w:pPr>
      <w:r>
        <w:rPr>
          <w:color w:val="auto"/>
        </w:rPr>
        <w:br w:type="page"/>
      </w:r>
      <w:bookmarkStart w:id="550" w:name="_Toc5694"/>
      <w:bookmarkStart w:id="551" w:name="_Toc300835004"/>
      <w:bookmarkStart w:id="552" w:name="_Toc9877"/>
      <w:bookmarkStart w:id="553" w:name="_Toc28075"/>
      <w:bookmarkStart w:id="554" w:name="_Toc26453"/>
      <w:bookmarkStart w:id="555" w:name="_Toc5776"/>
      <w:r>
        <w:rPr>
          <w:rStyle w:val="48"/>
          <w:rFonts w:hint="eastAsia"/>
          <w:color w:val="auto"/>
        </w:rPr>
        <w:t>附表三：投标文件澄清</w:t>
      </w:r>
      <w:bookmarkEnd w:id="550"/>
      <w:bookmarkEnd w:id="551"/>
      <w:bookmarkEnd w:id="552"/>
      <w:r>
        <w:rPr>
          <w:rStyle w:val="48"/>
          <w:rFonts w:hint="eastAsia"/>
          <w:color w:val="auto"/>
        </w:rPr>
        <w:t>回复</w:t>
      </w:r>
      <w:bookmarkEnd w:id="553"/>
    </w:p>
    <w:bookmarkEnd w:id="554"/>
    <w:bookmarkEnd w:id="555"/>
    <w:p w14:paraId="768AFF53">
      <w:pPr>
        <w:pageBreakBefore w:val="0"/>
        <w:kinsoku/>
        <w:wordWrap w:val="0"/>
        <w:overflowPunct/>
        <w:bidi w:val="0"/>
        <w:spacing w:line="400" w:lineRule="exact"/>
        <w:jc w:val="center"/>
        <w:outlineLvl w:val="9"/>
        <w:rPr>
          <w:rFonts w:ascii="黑体" w:eastAsia="黑体"/>
          <w:color w:val="auto"/>
          <w:sz w:val="28"/>
          <w:szCs w:val="28"/>
        </w:rPr>
      </w:pPr>
    </w:p>
    <w:p w14:paraId="49F13A4C">
      <w:pPr>
        <w:pageBreakBefore w:val="0"/>
        <w:kinsoku/>
        <w:wordWrap w:val="0"/>
        <w:overflowPunct/>
        <w:bidi w:val="0"/>
        <w:spacing w:line="400" w:lineRule="exact"/>
        <w:jc w:val="center"/>
        <w:outlineLvl w:val="9"/>
        <w:rPr>
          <w:rFonts w:ascii="黑体" w:eastAsia="黑体"/>
          <w:color w:val="auto"/>
          <w:sz w:val="28"/>
          <w:szCs w:val="28"/>
        </w:rPr>
      </w:pPr>
      <w:bookmarkStart w:id="556" w:name="_Toc3453"/>
      <w:bookmarkStart w:id="557" w:name="_Toc1877029230"/>
      <w:bookmarkStart w:id="558" w:name="_Toc11098"/>
      <w:bookmarkStart w:id="559" w:name="_Toc17960"/>
      <w:r>
        <w:rPr>
          <w:rStyle w:val="48"/>
          <w:rFonts w:hint="eastAsia"/>
          <w:color w:val="auto"/>
        </w:rPr>
        <w:t>投标文件澄清回复</w:t>
      </w:r>
      <w:bookmarkEnd w:id="556"/>
      <w:bookmarkEnd w:id="557"/>
      <w:bookmarkEnd w:id="558"/>
      <w:bookmarkEnd w:id="559"/>
    </w:p>
    <w:p w14:paraId="45E51221">
      <w:pPr>
        <w:pageBreakBefore w:val="0"/>
        <w:kinsoku/>
        <w:wordWrap w:val="0"/>
        <w:overflowPunct/>
        <w:bidi w:val="0"/>
        <w:spacing w:line="400" w:lineRule="exact"/>
        <w:rPr>
          <w:color w:val="auto"/>
          <w:szCs w:val="21"/>
        </w:rPr>
      </w:pPr>
    </w:p>
    <w:p w14:paraId="59DD759B">
      <w:pPr>
        <w:pageBreakBefore w:val="0"/>
        <w:kinsoku/>
        <w:wordWrap w:val="0"/>
        <w:overflowPunct/>
        <w:bidi w:val="0"/>
        <w:spacing w:line="440" w:lineRule="exact"/>
        <w:ind w:left="0" w:leftChars="0" w:firstLine="0" w:firstLineChars="0"/>
        <w:rPr>
          <w:color w:val="auto"/>
          <w:sz w:val="24"/>
          <w:szCs w:val="24"/>
        </w:rPr>
      </w:pPr>
      <w:r>
        <w:rPr>
          <w:i/>
          <w:iCs/>
          <w:color w:val="auto"/>
          <w:sz w:val="24"/>
          <w:szCs w:val="24"/>
          <w:u w:val="single"/>
        </w:rPr>
        <w:t>（</w:t>
      </w:r>
      <w:r>
        <w:rPr>
          <w:rFonts w:hint="eastAsia"/>
          <w:i/>
          <w:iCs/>
          <w:color w:val="auto"/>
          <w:sz w:val="24"/>
          <w:szCs w:val="24"/>
          <w:u w:val="single"/>
          <w:lang w:eastAsia="zh-CN"/>
        </w:rPr>
        <w:t>工程</w:t>
      </w:r>
      <w:r>
        <w:rPr>
          <w:i/>
          <w:iCs/>
          <w:color w:val="auto"/>
          <w:sz w:val="24"/>
          <w:szCs w:val="24"/>
          <w:u w:val="single"/>
        </w:rPr>
        <w:t>名称）</w:t>
      </w:r>
      <w:r>
        <w:rPr>
          <w:rFonts w:hint="eastAsia"/>
          <w:i w:val="0"/>
          <w:iCs w:val="0"/>
          <w:color w:val="auto"/>
          <w:sz w:val="24"/>
          <w:szCs w:val="24"/>
          <w:u w:val="none"/>
          <w:lang w:eastAsia="zh-CN"/>
        </w:rPr>
        <w:t>工程总承包</w:t>
      </w:r>
      <w:r>
        <w:rPr>
          <w:color w:val="auto"/>
          <w:sz w:val="24"/>
          <w:szCs w:val="24"/>
        </w:rPr>
        <w:t>招标评标委员会：</w:t>
      </w:r>
    </w:p>
    <w:p w14:paraId="69D5F51D">
      <w:pPr>
        <w:pageBreakBefore w:val="0"/>
        <w:kinsoku/>
        <w:wordWrap w:val="0"/>
        <w:overflowPunct/>
        <w:bidi w:val="0"/>
        <w:spacing w:line="440" w:lineRule="exact"/>
        <w:rPr>
          <w:color w:val="auto"/>
          <w:sz w:val="24"/>
          <w:szCs w:val="24"/>
        </w:rPr>
      </w:pPr>
    </w:p>
    <w:p w14:paraId="28BE3098">
      <w:pPr>
        <w:pageBreakBefore w:val="0"/>
        <w:kinsoku/>
        <w:wordWrap w:val="0"/>
        <w:overflowPunct/>
        <w:bidi w:val="0"/>
        <w:spacing w:line="440" w:lineRule="exact"/>
        <w:rPr>
          <w:color w:val="auto"/>
          <w:sz w:val="24"/>
          <w:szCs w:val="24"/>
        </w:rPr>
      </w:pPr>
      <w:r>
        <w:rPr>
          <w:rFonts w:hint="eastAsia"/>
          <w:color w:val="auto"/>
          <w:sz w:val="24"/>
          <w:szCs w:val="24"/>
        </w:rPr>
        <w:t>投标文件</w:t>
      </w:r>
      <w:r>
        <w:rPr>
          <w:color w:val="auto"/>
          <w:sz w:val="24"/>
          <w:szCs w:val="24"/>
        </w:rPr>
        <w:t>澄清通知已收悉，现</w:t>
      </w:r>
      <w:r>
        <w:rPr>
          <w:rFonts w:hint="eastAsia"/>
          <w:color w:val="auto"/>
          <w:sz w:val="24"/>
          <w:szCs w:val="24"/>
          <w:lang w:eastAsia="zh-CN"/>
        </w:rPr>
        <w:t>回复</w:t>
      </w:r>
      <w:r>
        <w:rPr>
          <w:color w:val="auto"/>
          <w:sz w:val="24"/>
          <w:szCs w:val="24"/>
        </w:rPr>
        <w:t>如下：</w:t>
      </w:r>
    </w:p>
    <w:p w14:paraId="639337A5">
      <w:pPr>
        <w:pageBreakBefore w:val="0"/>
        <w:kinsoku/>
        <w:wordWrap w:val="0"/>
        <w:overflowPunct/>
        <w:bidi w:val="0"/>
        <w:spacing w:line="440" w:lineRule="exact"/>
        <w:rPr>
          <w:color w:val="auto"/>
          <w:sz w:val="24"/>
          <w:szCs w:val="24"/>
        </w:rPr>
      </w:pPr>
      <w:r>
        <w:rPr>
          <w:color w:val="auto"/>
          <w:sz w:val="24"/>
          <w:szCs w:val="24"/>
        </w:rPr>
        <w:t xml:space="preserve">     </w:t>
      </w:r>
      <w:bookmarkStart w:id="560" w:name="_Toc24555"/>
      <w:r>
        <w:rPr>
          <w:color w:val="auto"/>
          <w:sz w:val="24"/>
          <w:szCs w:val="24"/>
        </w:rPr>
        <w:t>1.</w:t>
      </w:r>
      <w:bookmarkEnd w:id="560"/>
    </w:p>
    <w:p w14:paraId="105F2EED">
      <w:pPr>
        <w:pageBreakBefore w:val="0"/>
        <w:kinsoku/>
        <w:wordWrap w:val="0"/>
        <w:overflowPunct/>
        <w:bidi w:val="0"/>
        <w:spacing w:line="440" w:lineRule="exact"/>
        <w:rPr>
          <w:color w:val="auto"/>
          <w:sz w:val="24"/>
          <w:szCs w:val="24"/>
        </w:rPr>
      </w:pPr>
      <w:r>
        <w:rPr>
          <w:color w:val="auto"/>
          <w:sz w:val="24"/>
          <w:szCs w:val="24"/>
        </w:rPr>
        <w:t xml:space="preserve">     </w:t>
      </w:r>
      <w:bookmarkStart w:id="561" w:name="_Toc18723"/>
      <w:r>
        <w:rPr>
          <w:color w:val="auto"/>
          <w:sz w:val="24"/>
          <w:szCs w:val="24"/>
        </w:rPr>
        <w:t>2.</w:t>
      </w:r>
      <w:bookmarkEnd w:id="561"/>
    </w:p>
    <w:p w14:paraId="4C04AD64">
      <w:pPr>
        <w:pageBreakBefore w:val="0"/>
        <w:kinsoku/>
        <w:wordWrap w:val="0"/>
        <w:overflowPunct/>
        <w:bidi w:val="0"/>
        <w:spacing w:line="440" w:lineRule="exact"/>
        <w:rPr>
          <w:color w:val="auto"/>
          <w:sz w:val="24"/>
          <w:szCs w:val="24"/>
        </w:rPr>
      </w:pPr>
      <w:r>
        <w:rPr>
          <w:color w:val="auto"/>
          <w:sz w:val="24"/>
          <w:szCs w:val="24"/>
        </w:rPr>
        <w:t xml:space="preserve">    .....</w:t>
      </w:r>
    </w:p>
    <w:p w14:paraId="585C8114">
      <w:pPr>
        <w:pageBreakBefore w:val="0"/>
        <w:kinsoku/>
        <w:wordWrap w:val="0"/>
        <w:overflowPunct/>
        <w:bidi w:val="0"/>
        <w:spacing w:line="440" w:lineRule="exact"/>
        <w:rPr>
          <w:color w:val="auto"/>
          <w:sz w:val="24"/>
          <w:szCs w:val="24"/>
        </w:rPr>
      </w:pPr>
      <w:r>
        <w:rPr>
          <w:color w:val="auto"/>
          <w:sz w:val="24"/>
          <w:szCs w:val="24"/>
        </w:rPr>
        <w:t xml:space="preserve">                       </w:t>
      </w:r>
    </w:p>
    <w:p w14:paraId="7AB393CC">
      <w:pPr>
        <w:pageBreakBefore w:val="0"/>
        <w:kinsoku/>
        <w:wordWrap w:val="0"/>
        <w:overflowPunct/>
        <w:bidi w:val="0"/>
        <w:spacing w:line="440" w:lineRule="exact"/>
        <w:rPr>
          <w:color w:val="auto"/>
          <w:sz w:val="24"/>
          <w:szCs w:val="24"/>
        </w:rPr>
      </w:pPr>
      <w:r>
        <w:rPr>
          <w:color w:val="auto"/>
          <w:sz w:val="24"/>
          <w:szCs w:val="24"/>
        </w:rPr>
        <w:t xml:space="preserve"> </w:t>
      </w:r>
    </w:p>
    <w:p w14:paraId="2274CBA4">
      <w:pPr>
        <w:pageBreakBefore w:val="0"/>
        <w:kinsoku/>
        <w:wordWrap w:val="0"/>
        <w:overflowPunct/>
        <w:bidi w:val="0"/>
        <w:spacing w:line="440" w:lineRule="exact"/>
        <w:rPr>
          <w:color w:val="auto"/>
          <w:sz w:val="24"/>
          <w:szCs w:val="24"/>
        </w:rPr>
      </w:pPr>
    </w:p>
    <w:p w14:paraId="1C9015F9">
      <w:pPr>
        <w:pageBreakBefore w:val="0"/>
        <w:kinsoku/>
        <w:wordWrap w:val="0"/>
        <w:overflowPunct/>
        <w:bidi w:val="0"/>
        <w:spacing w:line="440" w:lineRule="exact"/>
        <w:rPr>
          <w:color w:val="auto"/>
          <w:sz w:val="24"/>
          <w:szCs w:val="24"/>
        </w:rPr>
      </w:pPr>
    </w:p>
    <w:p w14:paraId="41A3A101">
      <w:pPr>
        <w:pageBreakBefore w:val="0"/>
        <w:kinsoku/>
        <w:wordWrap w:val="0"/>
        <w:overflowPunct/>
        <w:bidi w:val="0"/>
        <w:spacing w:line="440" w:lineRule="exact"/>
        <w:rPr>
          <w:color w:val="auto"/>
          <w:sz w:val="24"/>
          <w:szCs w:val="24"/>
        </w:rPr>
      </w:pPr>
    </w:p>
    <w:p w14:paraId="666D13D6">
      <w:pPr>
        <w:pageBreakBefore w:val="0"/>
        <w:kinsoku/>
        <w:wordWrap w:val="0"/>
        <w:overflowPunct/>
        <w:bidi w:val="0"/>
        <w:spacing w:line="440" w:lineRule="exact"/>
        <w:rPr>
          <w:color w:val="auto"/>
          <w:sz w:val="24"/>
          <w:szCs w:val="24"/>
        </w:rPr>
      </w:pPr>
    </w:p>
    <w:p w14:paraId="3267E3CE">
      <w:pPr>
        <w:pageBreakBefore w:val="0"/>
        <w:kinsoku/>
        <w:wordWrap w:val="0"/>
        <w:overflowPunct/>
        <w:bidi w:val="0"/>
        <w:spacing w:line="440" w:lineRule="exact"/>
        <w:jc w:val="right"/>
        <w:rPr>
          <w:color w:val="auto"/>
          <w:sz w:val="24"/>
          <w:szCs w:val="24"/>
        </w:rPr>
      </w:pPr>
      <w:r>
        <w:rPr>
          <w:color w:val="auto"/>
          <w:sz w:val="24"/>
          <w:szCs w:val="24"/>
        </w:rPr>
        <w:t>投标人：</w:t>
      </w:r>
      <w:r>
        <w:rPr>
          <w:color w:val="auto"/>
          <w:sz w:val="24"/>
          <w:szCs w:val="24"/>
          <w:u w:val="single"/>
        </w:rPr>
        <w:t xml:space="preserve">                      </w:t>
      </w:r>
      <w:r>
        <w:rPr>
          <w:rFonts w:hint="eastAsia"/>
          <w:color w:val="auto"/>
          <w:sz w:val="24"/>
          <w:szCs w:val="24"/>
          <w:u w:val="single"/>
        </w:rPr>
        <w:t xml:space="preserve">  </w:t>
      </w:r>
      <w:r>
        <w:rPr>
          <w:color w:val="auto"/>
          <w:sz w:val="24"/>
          <w:szCs w:val="24"/>
        </w:rPr>
        <w:t>（盖章）</w:t>
      </w:r>
    </w:p>
    <w:p w14:paraId="10A3F129">
      <w:pPr>
        <w:pageBreakBefore w:val="0"/>
        <w:kinsoku/>
        <w:wordWrap w:val="0"/>
        <w:overflowPunct/>
        <w:bidi w:val="0"/>
        <w:spacing w:line="440" w:lineRule="exact"/>
        <w:jc w:val="right"/>
        <w:rPr>
          <w:rFonts w:hint="eastAsia" w:eastAsia="宋体"/>
          <w:color w:val="auto"/>
          <w:sz w:val="24"/>
          <w:szCs w:val="24"/>
          <w:lang w:eastAsia="zh-CN"/>
        </w:rPr>
      </w:pPr>
    </w:p>
    <w:p w14:paraId="0038220D">
      <w:pPr>
        <w:pageBreakBefore w:val="0"/>
        <w:kinsoku/>
        <w:wordWrap w:val="0"/>
        <w:overflowPunct/>
        <w:bidi w:val="0"/>
        <w:spacing w:line="440" w:lineRule="exact"/>
        <w:jc w:val="right"/>
        <w:rPr>
          <w:color w:val="auto"/>
          <w:sz w:val="24"/>
          <w:szCs w:val="24"/>
        </w:rPr>
      </w:pPr>
      <w:r>
        <w:rPr>
          <w:color w:val="auto"/>
          <w:sz w:val="24"/>
          <w:szCs w:val="24"/>
        </w:rPr>
        <w:t>法定代表人或其委托代理人：</w:t>
      </w:r>
      <w:r>
        <w:rPr>
          <w:color w:val="auto"/>
          <w:sz w:val="24"/>
          <w:szCs w:val="24"/>
          <w:u w:val="single"/>
        </w:rPr>
        <w:t xml:space="preserve">          </w:t>
      </w:r>
      <w:r>
        <w:rPr>
          <w:color w:val="auto"/>
          <w:sz w:val="24"/>
          <w:szCs w:val="24"/>
        </w:rPr>
        <w:t>（签字</w:t>
      </w:r>
      <w:r>
        <w:rPr>
          <w:rFonts w:hint="eastAsia"/>
          <w:color w:val="auto"/>
          <w:sz w:val="24"/>
          <w:szCs w:val="24"/>
        </w:rPr>
        <w:t>或盖章</w:t>
      </w:r>
      <w:r>
        <w:rPr>
          <w:color w:val="auto"/>
          <w:sz w:val="24"/>
          <w:szCs w:val="24"/>
        </w:rPr>
        <w:t>）</w:t>
      </w:r>
    </w:p>
    <w:p w14:paraId="6973911D">
      <w:pPr>
        <w:pageBreakBefore w:val="0"/>
        <w:kinsoku/>
        <w:wordWrap w:val="0"/>
        <w:overflowPunct/>
        <w:bidi w:val="0"/>
        <w:spacing w:line="440" w:lineRule="exact"/>
        <w:rPr>
          <w:rFonts w:hint="eastAsia" w:eastAsia="宋体"/>
          <w:color w:val="auto"/>
          <w:sz w:val="24"/>
          <w:szCs w:val="24"/>
          <w:lang w:eastAsia="zh-CN"/>
        </w:rPr>
      </w:pPr>
    </w:p>
    <w:p w14:paraId="40ED6CB0">
      <w:pPr>
        <w:pageBreakBefore w:val="0"/>
        <w:kinsoku/>
        <w:wordWrap w:val="0"/>
        <w:overflowPunct/>
        <w:bidi w:val="0"/>
        <w:spacing w:line="440" w:lineRule="exact"/>
        <w:jc w:val="right"/>
        <w:rPr>
          <w:color w:val="auto"/>
          <w:szCs w:val="21"/>
        </w:rPr>
      </w:pPr>
      <w:r>
        <w:rPr>
          <w:color w:val="auto"/>
          <w:sz w:val="24"/>
          <w:szCs w:val="24"/>
        </w:rPr>
        <w:t xml:space="preserve">        </w:t>
      </w:r>
      <w:r>
        <w:rPr>
          <w:rFonts w:ascii="宋体" w:hAnsi="宋体"/>
          <w:color w:val="auto"/>
          <w:sz w:val="24"/>
          <w:szCs w:val="24"/>
          <w:u w:val="single"/>
        </w:rPr>
        <w:t xml:space="preserve">     </w:t>
      </w:r>
      <w:r>
        <w:rPr>
          <w:color w:val="auto"/>
          <w:sz w:val="24"/>
          <w:szCs w:val="24"/>
        </w:rPr>
        <w:t>年</w:t>
      </w:r>
      <w:r>
        <w:rPr>
          <w:rFonts w:ascii="宋体" w:hAnsi="宋体"/>
          <w:color w:val="auto"/>
          <w:sz w:val="24"/>
          <w:szCs w:val="24"/>
          <w:u w:val="single"/>
        </w:rPr>
        <w:t xml:space="preserve">     </w:t>
      </w:r>
      <w:r>
        <w:rPr>
          <w:color w:val="auto"/>
          <w:sz w:val="24"/>
          <w:szCs w:val="24"/>
        </w:rPr>
        <w:t>月</w:t>
      </w:r>
      <w:r>
        <w:rPr>
          <w:rFonts w:ascii="宋体" w:hAnsi="宋体"/>
          <w:color w:val="auto"/>
          <w:sz w:val="24"/>
          <w:szCs w:val="24"/>
          <w:u w:val="single"/>
        </w:rPr>
        <w:t xml:space="preserve">     </w:t>
      </w:r>
      <w:r>
        <w:rPr>
          <w:color w:val="auto"/>
          <w:sz w:val="24"/>
          <w:szCs w:val="24"/>
        </w:rPr>
        <w:t>日</w:t>
      </w:r>
      <w:r>
        <w:rPr>
          <w:rFonts w:hint="eastAsia"/>
          <w:color w:val="auto"/>
          <w:sz w:val="24"/>
          <w:szCs w:val="24"/>
          <w:lang w:val="en-US" w:eastAsia="zh-CN"/>
        </w:rPr>
        <w:t xml:space="preserve"> </w:t>
      </w:r>
      <w:r>
        <w:rPr>
          <w:rFonts w:hint="eastAsia"/>
          <w:color w:val="auto"/>
          <w:szCs w:val="21"/>
          <w:lang w:val="en-US" w:eastAsia="zh-CN"/>
        </w:rPr>
        <w:t xml:space="preserve">          </w:t>
      </w:r>
    </w:p>
    <w:p w14:paraId="2C1BD466">
      <w:pPr>
        <w:pageBreakBefore w:val="0"/>
        <w:kinsoku/>
        <w:wordWrap w:val="0"/>
        <w:overflowPunct/>
        <w:bidi w:val="0"/>
        <w:spacing w:line="400" w:lineRule="exact"/>
        <w:rPr>
          <w:color w:val="auto"/>
        </w:rPr>
      </w:pPr>
    </w:p>
    <w:p w14:paraId="3D6BEAC2">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outlineLvl w:val="1"/>
        <w:rPr>
          <w:rStyle w:val="48"/>
          <w:color w:val="auto"/>
        </w:rPr>
      </w:pPr>
      <w:r>
        <w:rPr>
          <w:color w:val="auto"/>
        </w:rPr>
        <w:br w:type="page"/>
      </w:r>
      <w:bookmarkStart w:id="562" w:name="_Toc20167"/>
      <w:bookmarkStart w:id="563" w:name="_Toc18980"/>
      <w:bookmarkStart w:id="564" w:name="_Toc300835005"/>
      <w:bookmarkStart w:id="565" w:name="_Toc8612"/>
      <w:bookmarkStart w:id="566" w:name="_Toc8188"/>
      <w:bookmarkStart w:id="567" w:name="_Toc25115"/>
      <w:r>
        <w:rPr>
          <w:rStyle w:val="48"/>
          <w:rFonts w:hint="eastAsia"/>
          <w:color w:val="auto"/>
        </w:rPr>
        <w:t>附表四：中标通知书</w:t>
      </w:r>
      <w:bookmarkEnd w:id="562"/>
      <w:bookmarkEnd w:id="563"/>
      <w:bookmarkEnd w:id="564"/>
      <w:bookmarkEnd w:id="565"/>
    </w:p>
    <w:bookmarkEnd w:id="566"/>
    <w:bookmarkEnd w:id="567"/>
    <w:p w14:paraId="23DC5066">
      <w:pPr>
        <w:pageBreakBefore w:val="0"/>
        <w:kinsoku/>
        <w:wordWrap w:val="0"/>
        <w:overflowPunct/>
        <w:bidi w:val="0"/>
        <w:spacing w:line="400" w:lineRule="exact"/>
        <w:rPr>
          <w:color w:val="auto"/>
        </w:rPr>
      </w:pPr>
    </w:p>
    <w:p w14:paraId="1F87BF92">
      <w:pPr>
        <w:pageBreakBefore w:val="0"/>
        <w:kinsoku/>
        <w:wordWrap w:val="0"/>
        <w:overflowPunct/>
        <w:bidi w:val="0"/>
        <w:spacing w:line="400" w:lineRule="exact"/>
        <w:jc w:val="center"/>
        <w:rPr>
          <w:rFonts w:ascii="黑体" w:eastAsia="黑体"/>
          <w:color w:val="auto"/>
          <w:sz w:val="28"/>
          <w:szCs w:val="28"/>
        </w:rPr>
      </w:pPr>
      <w:bookmarkStart w:id="568" w:name="_Toc13970"/>
      <w:r>
        <w:rPr>
          <w:rFonts w:hint="eastAsia" w:ascii="黑体" w:eastAsia="黑体"/>
          <w:color w:val="auto"/>
          <w:sz w:val="28"/>
          <w:szCs w:val="28"/>
        </w:rPr>
        <w:t>中标通知书</w:t>
      </w:r>
      <w:bookmarkEnd w:id="568"/>
    </w:p>
    <w:p w14:paraId="71B71269">
      <w:pPr>
        <w:pageBreakBefore w:val="0"/>
        <w:kinsoku/>
        <w:wordWrap w:val="0"/>
        <w:overflowPunct/>
        <w:bidi w:val="0"/>
        <w:spacing w:line="400" w:lineRule="exact"/>
        <w:rPr>
          <w:color w:val="auto"/>
        </w:rPr>
      </w:pPr>
      <w:r>
        <w:rPr>
          <w:color w:val="auto"/>
        </w:rPr>
        <w:t xml:space="preserve">                              </w:t>
      </w:r>
    </w:p>
    <w:p w14:paraId="51908865">
      <w:pPr>
        <w:pageBreakBefore w:val="0"/>
        <w:kinsoku/>
        <w:wordWrap w:val="0"/>
        <w:overflowPunct/>
        <w:bidi w:val="0"/>
        <w:spacing w:line="440" w:lineRule="exact"/>
        <w:ind w:left="0" w:leftChars="0" w:firstLine="0" w:firstLineChars="0"/>
        <w:rPr>
          <w:color w:val="auto"/>
          <w:sz w:val="24"/>
          <w:szCs w:val="24"/>
        </w:rPr>
      </w:pPr>
      <w:r>
        <w:rPr>
          <w:i/>
          <w:iCs/>
          <w:color w:val="auto"/>
          <w:sz w:val="24"/>
          <w:szCs w:val="24"/>
          <w:u w:val="single"/>
        </w:rPr>
        <w:t>（中标人名称）</w:t>
      </w:r>
      <w:r>
        <w:rPr>
          <w:color w:val="auto"/>
          <w:sz w:val="24"/>
          <w:szCs w:val="24"/>
        </w:rPr>
        <w:t>：</w:t>
      </w:r>
    </w:p>
    <w:p w14:paraId="2A476AB2">
      <w:pPr>
        <w:pageBreakBefore w:val="0"/>
        <w:kinsoku/>
        <w:wordWrap w:val="0"/>
        <w:overflowPunct/>
        <w:bidi w:val="0"/>
        <w:spacing w:line="440" w:lineRule="exact"/>
        <w:rPr>
          <w:color w:val="auto"/>
          <w:sz w:val="24"/>
          <w:szCs w:val="24"/>
        </w:rPr>
      </w:pPr>
    </w:p>
    <w:p w14:paraId="0B736138">
      <w:pPr>
        <w:pageBreakBefore w:val="0"/>
        <w:kinsoku/>
        <w:wordWrap w:val="0"/>
        <w:overflowPunct/>
        <w:bidi w:val="0"/>
        <w:spacing w:line="440" w:lineRule="exact"/>
        <w:rPr>
          <w:color w:val="auto"/>
          <w:sz w:val="24"/>
          <w:szCs w:val="24"/>
        </w:rPr>
      </w:pPr>
      <w:r>
        <w:rPr>
          <w:color w:val="auto"/>
          <w:sz w:val="24"/>
          <w:szCs w:val="24"/>
        </w:rPr>
        <w:t>你方于</w:t>
      </w:r>
      <w:r>
        <w:rPr>
          <w:i/>
          <w:iCs/>
          <w:color w:val="auto"/>
          <w:sz w:val="24"/>
          <w:szCs w:val="24"/>
          <w:u w:val="single"/>
        </w:rPr>
        <w:t>（投标日期）</w:t>
      </w:r>
      <w:r>
        <w:rPr>
          <w:color w:val="auto"/>
          <w:sz w:val="24"/>
          <w:szCs w:val="24"/>
        </w:rPr>
        <w:t>所递交的</w:t>
      </w:r>
      <w:r>
        <w:rPr>
          <w:i/>
          <w:iCs/>
          <w:color w:val="auto"/>
          <w:sz w:val="24"/>
          <w:szCs w:val="24"/>
          <w:u w:val="single"/>
        </w:rPr>
        <w:t>（</w:t>
      </w:r>
      <w:r>
        <w:rPr>
          <w:rFonts w:hint="eastAsia"/>
          <w:i/>
          <w:iCs/>
          <w:color w:val="auto"/>
          <w:sz w:val="24"/>
          <w:szCs w:val="24"/>
          <w:u w:val="single"/>
          <w:lang w:eastAsia="zh-CN"/>
        </w:rPr>
        <w:t>工程</w:t>
      </w:r>
      <w:r>
        <w:rPr>
          <w:i/>
          <w:iCs/>
          <w:color w:val="auto"/>
          <w:sz w:val="24"/>
          <w:szCs w:val="24"/>
          <w:u w:val="single"/>
        </w:rPr>
        <w:t>名称）</w:t>
      </w:r>
      <w:r>
        <w:rPr>
          <w:rFonts w:hint="eastAsia"/>
          <w:i w:val="0"/>
          <w:iCs w:val="0"/>
          <w:color w:val="auto"/>
          <w:sz w:val="24"/>
          <w:szCs w:val="24"/>
          <w:u w:val="none"/>
          <w:lang w:eastAsia="zh-CN"/>
        </w:rPr>
        <w:t>工程总承包</w:t>
      </w:r>
      <w:r>
        <w:rPr>
          <w:rFonts w:hint="eastAsia"/>
          <w:color w:val="auto"/>
          <w:sz w:val="24"/>
          <w:szCs w:val="24"/>
        </w:rPr>
        <w:t>招标的</w:t>
      </w:r>
      <w:r>
        <w:rPr>
          <w:color w:val="auto"/>
          <w:sz w:val="24"/>
          <w:szCs w:val="24"/>
        </w:rPr>
        <w:t>投标文件已被我方接受，被确定为中标人。</w:t>
      </w:r>
    </w:p>
    <w:p w14:paraId="20880330">
      <w:pPr>
        <w:pageBreakBefore w:val="0"/>
        <w:kinsoku/>
        <w:wordWrap w:val="0"/>
        <w:overflowPunct/>
        <w:bidi w:val="0"/>
        <w:spacing w:line="440" w:lineRule="exact"/>
        <w:rPr>
          <w:color w:val="auto"/>
          <w:sz w:val="24"/>
          <w:szCs w:val="24"/>
        </w:rPr>
      </w:pPr>
      <w:r>
        <w:rPr>
          <w:color w:val="auto"/>
          <w:sz w:val="24"/>
          <w:szCs w:val="24"/>
        </w:rPr>
        <w:t>中标价：</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元。</w:t>
      </w:r>
    </w:p>
    <w:p w14:paraId="0C76C9C1">
      <w:pPr>
        <w:pageBreakBefore w:val="0"/>
        <w:kinsoku/>
        <w:wordWrap w:val="0"/>
        <w:overflowPunct/>
        <w:bidi w:val="0"/>
        <w:spacing w:line="440" w:lineRule="exact"/>
        <w:rPr>
          <w:color w:val="auto"/>
          <w:sz w:val="24"/>
          <w:szCs w:val="24"/>
        </w:rPr>
      </w:pPr>
      <w:r>
        <w:rPr>
          <w:color w:val="auto"/>
          <w:sz w:val="24"/>
          <w:szCs w:val="24"/>
        </w:rPr>
        <w:t>工</w:t>
      </w:r>
      <w:r>
        <w:rPr>
          <w:rFonts w:hint="eastAsia"/>
          <w:color w:val="auto"/>
          <w:sz w:val="24"/>
          <w:szCs w:val="24"/>
          <w:lang w:val="en-US" w:eastAsia="zh-CN"/>
        </w:rPr>
        <w:t xml:space="preserve">  </w:t>
      </w:r>
      <w:r>
        <w:rPr>
          <w:color w:val="auto"/>
          <w:sz w:val="24"/>
          <w:szCs w:val="24"/>
        </w:rPr>
        <w:t>期：</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日历天。</w:t>
      </w:r>
    </w:p>
    <w:p w14:paraId="32013DD3">
      <w:pPr>
        <w:pageBreakBefore w:val="0"/>
        <w:kinsoku/>
        <w:wordWrap w:val="0"/>
        <w:overflowPunct/>
        <w:bidi w:val="0"/>
        <w:spacing w:line="440" w:lineRule="exact"/>
        <w:rPr>
          <w:color w:val="auto"/>
          <w:sz w:val="24"/>
          <w:szCs w:val="24"/>
        </w:rPr>
      </w:pPr>
      <w:r>
        <w:rPr>
          <w:color w:val="auto"/>
          <w:sz w:val="24"/>
          <w:szCs w:val="24"/>
        </w:rPr>
        <w:t>质量标准：</w:t>
      </w:r>
      <w:r>
        <w:rPr>
          <w:color w:val="auto"/>
          <w:sz w:val="24"/>
          <w:szCs w:val="24"/>
          <w:u w:val="single"/>
        </w:rPr>
        <w:t xml:space="preserve">                      </w:t>
      </w:r>
      <w:r>
        <w:rPr>
          <w:color w:val="auto"/>
          <w:sz w:val="24"/>
          <w:szCs w:val="24"/>
        </w:rPr>
        <w:t>。</w:t>
      </w:r>
    </w:p>
    <w:p w14:paraId="270377E5">
      <w:pPr>
        <w:pageBreakBefore w:val="0"/>
        <w:kinsoku/>
        <w:wordWrap w:val="0"/>
        <w:overflowPunct/>
        <w:bidi w:val="0"/>
        <w:spacing w:line="440" w:lineRule="exact"/>
        <w:ind w:firstLine="420"/>
        <w:rPr>
          <w:rFonts w:hint="eastAsia"/>
          <w:color w:val="auto"/>
          <w:sz w:val="24"/>
          <w:szCs w:val="24"/>
        </w:rPr>
      </w:pPr>
      <w:r>
        <w:rPr>
          <w:color w:val="auto"/>
          <w:sz w:val="24"/>
          <w:szCs w:val="24"/>
        </w:rPr>
        <w:t>项目经理：</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color w:val="auto"/>
          <w:sz w:val="24"/>
          <w:szCs w:val="24"/>
        </w:rPr>
        <w:t>（姓名）。</w:t>
      </w:r>
    </w:p>
    <w:p w14:paraId="6D9E9F79">
      <w:pPr>
        <w:pageBreakBefore w:val="0"/>
        <w:kinsoku/>
        <w:wordWrap w:val="0"/>
        <w:overflowPunct/>
        <w:bidi w:val="0"/>
        <w:spacing w:line="440" w:lineRule="exact"/>
        <w:ind w:firstLine="420"/>
        <w:rPr>
          <w:rFonts w:hint="eastAsia"/>
          <w:color w:val="auto"/>
          <w:sz w:val="24"/>
          <w:szCs w:val="24"/>
        </w:rPr>
      </w:pPr>
      <w:r>
        <w:rPr>
          <w:rFonts w:hint="eastAsia"/>
          <w:color w:val="auto"/>
          <w:sz w:val="24"/>
          <w:szCs w:val="24"/>
        </w:rPr>
        <w:t>设计负责人：</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color w:val="auto"/>
          <w:sz w:val="24"/>
          <w:szCs w:val="24"/>
        </w:rPr>
        <w:t>（姓名）。</w:t>
      </w:r>
    </w:p>
    <w:p w14:paraId="423BDA57">
      <w:pPr>
        <w:pageBreakBefore w:val="0"/>
        <w:kinsoku/>
        <w:wordWrap w:val="0"/>
        <w:overflowPunct/>
        <w:bidi w:val="0"/>
        <w:spacing w:line="440" w:lineRule="exact"/>
        <w:ind w:firstLine="420"/>
        <w:rPr>
          <w:rFonts w:hint="eastAsia"/>
          <w:color w:val="auto"/>
          <w:sz w:val="24"/>
          <w:szCs w:val="24"/>
        </w:rPr>
      </w:pPr>
      <w:r>
        <w:rPr>
          <w:rFonts w:hint="eastAsia"/>
          <w:color w:val="auto"/>
          <w:sz w:val="24"/>
          <w:szCs w:val="24"/>
        </w:rPr>
        <w:t>施工负责人：</w:t>
      </w:r>
      <w:r>
        <w:rPr>
          <w:rFonts w:hint="eastAsia"/>
          <w:color w:val="auto"/>
          <w:sz w:val="24"/>
          <w:szCs w:val="24"/>
          <w:u w:val="single"/>
        </w:rPr>
        <w:t xml:space="preserve">                 </w:t>
      </w:r>
      <w:r>
        <w:rPr>
          <w:rFonts w:hint="eastAsia"/>
          <w:color w:val="auto"/>
          <w:sz w:val="24"/>
          <w:szCs w:val="24"/>
        </w:rPr>
        <w:t>（姓名）。</w:t>
      </w:r>
    </w:p>
    <w:p w14:paraId="0C102944">
      <w:pPr>
        <w:pageBreakBefore w:val="0"/>
        <w:kinsoku/>
        <w:wordWrap w:val="0"/>
        <w:overflowPunct/>
        <w:bidi w:val="0"/>
        <w:spacing w:line="440" w:lineRule="exact"/>
        <w:ind w:firstLine="420"/>
        <w:rPr>
          <w:rFonts w:hint="eastAsia"/>
          <w:color w:val="auto"/>
          <w:sz w:val="24"/>
          <w:szCs w:val="24"/>
        </w:rPr>
      </w:pPr>
      <w:r>
        <w:rPr>
          <w:color w:val="auto"/>
          <w:sz w:val="24"/>
          <w:szCs w:val="24"/>
        </w:rPr>
        <w:t>请你方在接到本通知书后的</w:t>
      </w:r>
      <w:r>
        <w:rPr>
          <w:color w:val="auto"/>
          <w:sz w:val="24"/>
          <w:szCs w:val="24"/>
          <w:u w:val="single"/>
        </w:rPr>
        <w:t xml:space="preserve">     </w:t>
      </w:r>
      <w:r>
        <w:rPr>
          <w:color w:val="auto"/>
          <w:sz w:val="24"/>
          <w:szCs w:val="24"/>
        </w:rPr>
        <w:t>日内</w:t>
      </w:r>
      <w:r>
        <w:rPr>
          <w:rFonts w:hint="eastAsia" w:ascii="宋体" w:hAnsi="宋体" w:eastAsia="宋体" w:cs="宋体"/>
          <w:color w:val="auto"/>
          <w:sz w:val="24"/>
          <w:szCs w:val="24"/>
          <w:lang w:eastAsia="zh-CN"/>
        </w:rPr>
        <w:t>通过</w:t>
      </w:r>
      <w:r>
        <w:rPr>
          <w:rFonts w:hint="eastAsia" w:ascii="宋体" w:hAnsi="宋体" w:eastAsia="宋体" w:cs="宋体"/>
          <w:color w:val="auto"/>
          <w:sz w:val="24"/>
          <w:szCs w:val="24"/>
          <w:u w:val="single"/>
        </w:rPr>
        <w:t xml:space="preserve"> </w:t>
      </w:r>
      <w:r>
        <w:rPr>
          <w:rFonts w:hint="eastAsia" w:ascii="宋体" w:hAnsi="宋体" w:eastAsia="宋体" w:cs="宋体"/>
          <w:i/>
          <w:iCs/>
          <w:color w:val="auto"/>
          <w:sz w:val="24"/>
          <w:szCs w:val="24"/>
          <w:u w:val="single"/>
          <w:lang w:eastAsia="zh-CN"/>
        </w:rPr>
        <w:t>（电子招标投标交易平台</w:t>
      </w:r>
      <w:r>
        <w:rPr>
          <w:rFonts w:hint="eastAsia" w:ascii="宋体" w:hAnsi="宋体" w:cs="宋体"/>
          <w:i/>
          <w:iCs/>
          <w:color w:val="auto"/>
          <w:sz w:val="24"/>
          <w:szCs w:val="24"/>
          <w:u w:val="single"/>
          <w:lang w:eastAsia="zh-CN"/>
        </w:rPr>
        <w:t>，网址</w:t>
      </w:r>
      <w:r>
        <w:rPr>
          <w:rFonts w:hint="eastAsia" w:ascii="宋体" w:hAnsi="宋体" w:eastAsia="宋体" w:cs="宋体"/>
          <w:i/>
          <w:iCs/>
          <w:color w:val="auto"/>
          <w:sz w:val="24"/>
          <w:szCs w:val="24"/>
          <w:u w:val="single"/>
          <w:lang w:eastAsia="zh-CN"/>
        </w:rPr>
        <w:t>）</w:t>
      </w:r>
      <w:r>
        <w:rPr>
          <w:rFonts w:hint="eastAsia" w:ascii="宋体" w:hAnsi="宋体" w:eastAsia="宋体" w:cs="宋体"/>
          <w:color w:val="auto"/>
          <w:sz w:val="24"/>
          <w:szCs w:val="24"/>
          <w:u w:val="single"/>
        </w:rPr>
        <w:t xml:space="preserve">  </w:t>
      </w:r>
      <w:r>
        <w:rPr>
          <w:color w:val="auto"/>
          <w:sz w:val="24"/>
          <w:szCs w:val="24"/>
        </w:rPr>
        <w:t>与我方签订合同，在此之前按招标文件规定向我方提交履约担保。</w:t>
      </w:r>
    </w:p>
    <w:p w14:paraId="24B1ED0C">
      <w:pPr>
        <w:pageBreakBefore w:val="0"/>
        <w:kinsoku/>
        <w:wordWrap w:val="0"/>
        <w:overflowPunct/>
        <w:bidi w:val="0"/>
        <w:spacing w:line="440" w:lineRule="exact"/>
        <w:rPr>
          <w:color w:val="auto"/>
          <w:sz w:val="24"/>
          <w:szCs w:val="24"/>
        </w:rPr>
      </w:pPr>
      <w:r>
        <w:rPr>
          <w:color w:val="auto"/>
          <w:sz w:val="24"/>
          <w:szCs w:val="24"/>
        </w:rPr>
        <w:t>特此通知。</w:t>
      </w:r>
    </w:p>
    <w:p w14:paraId="20BFD738">
      <w:pPr>
        <w:pageBreakBefore w:val="0"/>
        <w:kinsoku/>
        <w:wordWrap w:val="0"/>
        <w:overflowPunct/>
        <w:bidi w:val="0"/>
        <w:spacing w:line="440" w:lineRule="exact"/>
        <w:rPr>
          <w:color w:val="auto"/>
          <w:sz w:val="24"/>
          <w:szCs w:val="24"/>
        </w:rPr>
      </w:pPr>
    </w:p>
    <w:p w14:paraId="39E30B70">
      <w:pPr>
        <w:pageBreakBefore w:val="0"/>
        <w:kinsoku/>
        <w:wordWrap w:val="0"/>
        <w:overflowPunct/>
        <w:bidi w:val="0"/>
        <w:spacing w:line="440" w:lineRule="exact"/>
        <w:rPr>
          <w:color w:val="auto"/>
          <w:sz w:val="24"/>
          <w:szCs w:val="24"/>
        </w:rPr>
      </w:pPr>
    </w:p>
    <w:p w14:paraId="36221495">
      <w:pPr>
        <w:pageBreakBefore w:val="0"/>
        <w:kinsoku/>
        <w:wordWrap w:val="0"/>
        <w:overflowPunct/>
        <w:bidi w:val="0"/>
        <w:spacing w:line="540" w:lineRule="exact"/>
        <w:ind w:firstLine="3700" w:firstLineChars="1542"/>
        <w:rPr>
          <w:color w:val="auto"/>
          <w:sz w:val="24"/>
          <w:szCs w:val="24"/>
        </w:rPr>
      </w:pPr>
      <w:r>
        <w:rPr>
          <w:color w:val="auto"/>
          <w:sz w:val="24"/>
          <w:szCs w:val="24"/>
        </w:rPr>
        <w:t>招标人：</w:t>
      </w:r>
      <w:r>
        <w:rPr>
          <w:color w:val="auto"/>
          <w:sz w:val="24"/>
          <w:szCs w:val="24"/>
          <w:u w:val="single"/>
        </w:rPr>
        <w:t xml:space="preserve">              </w:t>
      </w:r>
      <w:r>
        <w:rPr>
          <w:color w:val="auto"/>
          <w:sz w:val="24"/>
          <w:szCs w:val="24"/>
        </w:rPr>
        <w:t>（盖章）</w:t>
      </w:r>
    </w:p>
    <w:p w14:paraId="4F60972F">
      <w:pPr>
        <w:pageBreakBefore w:val="0"/>
        <w:kinsoku/>
        <w:wordWrap w:val="0"/>
        <w:overflowPunct/>
        <w:bidi w:val="0"/>
        <w:spacing w:line="540" w:lineRule="exact"/>
        <w:ind w:firstLine="3700" w:firstLineChars="1542"/>
        <w:rPr>
          <w:color w:val="auto"/>
          <w:sz w:val="24"/>
          <w:szCs w:val="24"/>
        </w:rPr>
      </w:pPr>
      <w:r>
        <w:rPr>
          <w:color w:val="auto"/>
          <w:sz w:val="24"/>
          <w:szCs w:val="24"/>
        </w:rPr>
        <w:t>法定代表人：</w:t>
      </w:r>
      <w:r>
        <w:rPr>
          <w:color w:val="auto"/>
          <w:sz w:val="24"/>
          <w:szCs w:val="24"/>
          <w:u w:val="single"/>
        </w:rPr>
        <w:t xml:space="preserve">            </w:t>
      </w:r>
      <w:r>
        <w:rPr>
          <w:color w:val="auto"/>
          <w:sz w:val="24"/>
          <w:szCs w:val="24"/>
        </w:rPr>
        <w:t>（签字</w:t>
      </w:r>
      <w:r>
        <w:rPr>
          <w:rFonts w:hint="eastAsia"/>
          <w:color w:val="auto"/>
          <w:sz w:val="24"/>
          <w:szCs w:val="24"/>
        </w:rPr>
        <w:t>或盖章</w:t>
      </w:r>
      <w:r>
        <w:rPr>
          <w:color w:val="auto"/>
          <w:sz w:val="24"/>
          <w:szCs w:val="24"/>
        </w:rPr>
        <w:t>）</w:t>
      </w:r>
    </w:p>
    <w:p w14:paraId="0175480C">
      <w:pPr>
        <w:pageBreakBefore w:val="0"/>
        <w:kinsoku/>
        <w:wordWrap w:val="0"/>
        <w:overflowPunct/>
        <w:bidi w:val="0"/>
        <w:spacing w:line="540" w:lineRule="exact"/>
        <w:ind w:firstLine="4416" w:firstLineChars="1840"/>
        <w:rPr>
          <w:color w:val="auto"/>
          <w:sz w:val="24"/>
          <w:szCs w:val="24"/>
        </w:rPr>
      </w:pPr>
      <w:r>
        <w:rPr>
          <w:color w:val="auto"/>
          <w:sz w:val="24"/>
          <w:szCs w:val="24"/>
        </w:rPr>
        <w:t xml:space="preserve"> </w:t>
      </w:r>
      <w:r>
        <w:rPr>
          <w:rFonts w:ascii="宋体" w:hAnsi="宋体"/>
          <w:color w:val="auto"/>
          <w:sz w:val="24"/>
          <w:szCs w:val="24"/>
          <w:u w:val="single"/>
        </w:rPr>
        <w:t xml:space="preserve">     </w:t>
      </w:r>
      <w:r>
        <w:rPr>
          <w:color w:val="auto"/>
          <w:sz w:val="24"/>
          <w:szCs w:val="24"/>
        </w:rPr>
        <w:t>年</w:t>
      </w:r>
      <w:r>
        <w:rPr>
          <w:rFonts w:ascii="宋体" w:hAnsi="宋体"/>
          <w:color w:val="auto"/>
          <w:sz w:val="24"/>
          <w:szCs w:val="24"/>
          <w:u w:val="single"/>
        </w:rPr>
        <w:t xml:space="preserve">     </w:t>
      </w:r>
      <w:r>
        <w:rPr>
          <w:color w:val="auto"/>
          <w:sz w:val="24"/>
          <w:szCs w:val="24"/>
        </w:rPr>
        <w:t>月</w:t>
      </w:r>
      <w:r>
        <w:rPr>
          <w:rFonts w:ascii="宋体" w:hAnsi="宋体"/>
          <w:color w:val="auto"/>
          <w:sz w:val="24"/>
          <w:szCs w:val="24"/>
          <w:u w:val="single"/>
        </w:rPr>
        <w:t xml:space="preserve">     </w:t>
      </w:r>
      <w:r>
        <w:rPr>
          <w:color w:val="auto"/>
          <w:sz w:val="24"/>
          <w:szCs w:val="24"/>
        </w:rPr>
        <w:t>日</w:t>
      </w:r>
    </w:p>
    <w:p w14:paraId="61ACF344">
      <w:pPr>
        <w:pageBreakBefore w:val="0"/>
        <w:kinsoku/>
        <w:wordWrap w:val="0"/>
        <w:overflowPunct/>
        <w:bidi w:val="0"/>
        <w:spacing w:line="400" w:lineRule="exact"/>
        <w:rPr>
          <w:color w:val="auto"/>
        </w:rPr>
      </w:pPr>
    </w:p>
    <w:p w14:paraId="719B8888">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outlineLvl w:val="1"/>
        <w:rPr>
          <w:rStyle w:val="48"/>
          <w:color w:val="auto"/>
        </w:rPr>
      </w:pPr>
      <w:r>
        <w:rPr>
          <w:color w:val="auto"/>
        </w:rPr>
        <w:br w:type="page"/>
      </w:r>
      <w:bookmarkStart w:id="569" w:name="_Toc29353"/>
      <w:bookmarkStart w:id="570" w:name="_Toc21802"/>
      <w:bookmarkStart w:id="571" w:name="_Toc300835006"/>
      <w:bookmarkStart w:id="572" w:name="_Toc26880"/>
      <w:bookmarkStart w:id="573" w:name="_Toc16184"/>
      <w:bookmarkStart w:id="574" w:name="_Toc21317"/>
      <w:r>
        <w:rPr>
          <w:rStyle w:val="48"/>
          <w:rFonts w:hint="eastAsia"/>
          <w:color w:val="auto"/>
        </w:rPr>
        <w:t>附表五：中标结果通知书</w:t>
      </w:r>
      <w:bookmarkEnd w:id="569"/>
      <w:bookmarkEnd w:id="570"/>
      <w:bookmarkEnd w:id="571"/>
      <w:bookmarkEnd w:id="572"/>
    </w:p>
    <w:bookmarkEnd w:id="573"/>
    <w:bookmarkEnd w:id="574"/>
    <w:p w14:paraId="495BDDF9">
      <w:pPr>
        <w:pageBreakBefore w:val="0"/>
        <w:kinsoku/>
        <w:wordWrap w:val="0"/>
        <w:overflowPunct/>
        <w:bidi w:val="0"/>
        <w:spacing w:line="400" w:lineRule="exact"/>
        <w:rPr>
          <w:color w:val="auto"/>
        </w:rPr>
      </w:pPr>
    </w:p>
    <w:p w14:paraId="4E6B4E53">
      <w:pPr>
        <w:pageBreakBefore w:val="0"/>
        <w:kinsoku/>
        <w:wordWrap w:val="0"/>
        <w:overflowPunct/>
        <w:bidi w:val="0"/>
        <w:spacing w:line="400" w:lineRule="exact"/>
        <w:jc w:val="center"/>
        <w:rPr>
          <w:rFonts w:ascii="黑体" w:eastAsia="黑体"/>
          <w:color w:val="auto"/>
          <w:sz w:val="28"/>
          <w:szCs w:val="28"/>
        </w:rPr>
      </w:pPr>
      <w:bookmarkStart w:id="575" w:name="_Toc2869"/>
      <w:r>
        <w:rPr>
          <w:rFonts w:hint="eastAsia" w:ascii="黑体" w:eastAsia="黑体"/>
          <w:color w:val="auto"/>
          <w:sz w:val="28"/>
          <w:szCs w:val="28"/>
        </w:rPr>
        <w:t>中标结果通知书</w:t>
      </w:r>
      <w:bookmarkEnd w:id="575"/>
    </w:p>
    <w:p w14:paraId="149C3690">
      <w:pPr>
        <w:pageBreakBefore w:val="0"/>
        <w:kinsoku/>
        <w:wordWrap w:val="0"/>
        <w:overflowPunct/>
        <w:bidi w:val="0"/>
        <w:spacing w:line="400" w:lineRule="exact"/>
        <w:rPr>
          <w:color w:val="auto"/>
        </w:rPr>
      </w:pPr>
    </w:p>
    <w:p w14:paraId="3C56DDAA">
      <w:pPr>
        <w:pageBreakBefore w:val="0"/>
        <w:kinsoku/>
        <w:wordWrap w:val="0"/>
        <w:overflowPunct/>
        <w:bidi w:val="0"/>
        <w:spacing w:line="440" w:lineRule="exact"/>
        <w:ind w:left="0" w:leftChars="0" w:firstLine="0" w:firstLineChars="0"/>
        <w:rPr>
          <w:color w:val="auto"/>
          <w:sz w:val="24"/>
          <w:szCs w:val="24"/>
        </w:rPr>
      </w:pPr>
      <w:r>
        <w:rPr>
          <w:i/>
          <w:iCs/>
          <w:color w:val="auto"/>
          <w:sz w:val="24"/>
          <w:szCs w:val="24"/>
          <w:u w:val="single"/>
        </w:rPr>
        <w:t>（未中标人名称）</w:t>
      </w:r>
      <w:r>
        <w:rPr>
          <w:color w:val="auto"/>
          <w:sz w:val="24"/>
          <w:szCs w:val="24"/>
        </w:rPr>
        <w:t>：</w:t>
      </w:r>
    </w:p>
    <w:p w14:paraId="25FD3ECF">
      <w:pPr>
        <w:pageBreakBefore w:val="0"/>
        <w:kinsoku/>
        <w:wordWrap w:val="0"/>
        <w:overflowPunct/>
        <w:bidi w:val="0"/>
        <w:spacing w:line="440" w:lineRule="exact"/>
        <w:rPr>
          <w:color w:val="auto"/>
          <w:sz w:val="24"/>
          <w:szCs w:val="24"/>
        </w:rPr>
      </w:pPr>
      <w:r>
        <w:rPr>
          <w:color w:val="auto"/>
          <w:sz w:val="24"/>
          <w:szCs w:val="24"/>
        </w:rPr>
        <w:t xml:space="preserve">    </w:t>
      </w:r>
    </w:p>
    <w:p w14:paraId="6DDE6BEB">
      <w:pPr>
        <w:pageBreakBefore w:val="0"/>
        <w:kinsoku/>
        <w:wordWrap w:val="0"/>
        <w:overflowPunct/>
        <w:bidi w:val="0"/>
        <w:spacing w:line="440" w:lineRule="exact"/>
        <w:ind w:firstLine="420"/>
        <w:rPr>
          <w:color w:val="auto"/>
          <w:sz w:val="24"/>
          <w:szCs w:val="24"/>
        </w:rPr>
      </w:pPr>
      <w:r>
        <w:rPr>
          <w:color w:val="auto"/>
          <w:sz w:val="24"/>
          <w:szCs w:val="24"/>
        </w:rPr>
        <w:t>我方已接受</w:t>
      </w:r>
      <w:r>
        <w:rPr>
          <w:i/>
          <w:iCs/>
          <w:color w:val="auto"/>
          <w:sz w:val="24"/>
          <w:szCs w:val="24"/>
          <w:u w:val="single"/>
        </w:rPr>
        <w:t>（中标人名称）</w:t>
      </w:r>
      <w:r>
        <w:rPr>
          <w:color w:val="auto"/>
          <w:sz w:val="24"/>
          <w:szCs w:val="24"/>
        </w:rPr>
        <w:t>于</w:t>
      </w:r>
      <w:r>
        <w:rPr>
          <w:i/>
          <w:iCs/>
          <w:color w:val="auto"/>
          <w:sz w:val="24"/>
          <w:szCs w:val="24"/>
          <w:u w:val="single"/>
        </w:rPr>
        <w:t>（投标日期）</w:t>
      </w:r>
      <w:r>
        <w:rPr>
          <w:color w:val="auto"/>
          <w:sz w:val="24"/>
          <w:szCs w:val="24"/>
        </w:rPr>
        <w:t>所递交的</w:t>
      </w:r>
      <w:r>
        <w:rPr>
          <w:i/>
          <w:iCs/>
          <w:color w:val="auto"/>
          <w:sz w:val="24"/>
          <w:szCs w:val="24"/>
          <w:u w:val="single"/>
        </w:rPr>
        <w:t>（</w:t>
      </w:r>
      <w:r>
        <w:rPr>
          <w:rFonts w:hint="eastAsia"/>
          <w:i/>
          <w:iCs/>
          <w:color w:val="auto"/>
          <w:sz w:val="24"/>
          <w:szCs w:val="24"/>
          <w:u w:val="single"/>
          <w:lang w:eastAsia="zh-CN"/>
        </w:rPr>
        <w:t>工程</w:t>
      </w:r>
      <w:r>
        <w:rPr>
          <w:i/>
          <w:iCs/>
          <w:color w:val="auto"/>
          <w:sz w:val="24"/>
          <w:szCs w:val="24"/>
          <w:u w:val="single"/>
        </w:rPr>
        <w:t>名称）</w:t>
      </w:r>
      <w:r>
        <w:rPr>
          <w:rFonts w:hint="eastAsia"/>
          <w:i w:val="0"/>
          <w:iCs w:val="0"/>
          <w:color w:val="auto"/>
          <w:sz w:val="24"/>
          <w:szCs w:val="24"/>
          <w:u w:val="none"/>
          <w:lang w:eastAsia="zh-CN"/>
        </w:rPr>
        <w:t>工程总承包</w:t>
      </w:r>
      <w:r>
        <w:rPr>
          <w:rFonts w:hint="eastAsia"/>
          <w:color w:val="auto"/>
          <w:sz w:val="24"/>
          <w:szCs w:val="24"/>
        </w:rPr>
        <w:t>招标的</w:t>
      </w:r>
      <w:r>
        <w:rPr>
          <w:color w:val="auto"/>
          <w:sz w:val="24"/>
          <w:szCs w:val="24"/>
        </w:rPr>
        <w:t>投标文件，确定</w:t>
      </w:r>
      <w:r>
        <w:rPr>
          <w:i/>
          <w:iCs/>
          <w:color w:val="auto"/>
          <w:sz w:val="24"/>
          <w:szCs w:val="24"/>
          <w:u w:val="single"/>
        </w:rPr>
        <w:t>（中标人名称）</w:t>
      </w:r>
      <w:r>
        <w:rPr>
          <w:color w:val="auto"/>
          <w:sz w:val="24"/>
          <w:szCs w:val="24"/>
        </w:rPr>
        <w:t>为中标人。</w:t>
      </w:r>
    </w:p>
    <w:p w14:paraId="32036AED">
      <w:pPr>
        <w:pageBreakBefore w:val="0"/>
        <w:kinsoku/>
        <w:wordWrap w:val="0"/>
        <w:overflowPunct/>
        <w:bidi w:val="0"/>
        <w:spacing w:line="440" w:lineRule="exact"/>
        <w:rPr>
          <w:color w:val="auto"/>
          <w:sz w:val="24"/>
          <w:szCs w:val="24"/>
        </w:rPr>
      </w:pPr>
      <w:r>
        <w:rPr>
          <w:color w:val="auto"/>
          <w:sz w:val="24"/>
          <w:szCs w:val="24"/>
        </w:rPr>
        <w:t>感谢你单位对我们工作的大力支持！</w:t>
      </w:r>
    </w:p>
    <w:p w14:paraId="1E733A83">
      <w:pPr>
        <w:pageBreakBefore w:val="0"/>
        <w:kinsoku/>
        <w:wordWrap w:val="0"/>
        <w:overflowPunct/>
        <w:bidi w:val="0"/>
        <w:spacing w:line="440" w:lineRule="exact"/>
        <w:rPr>
          <w:color w:val="auto"/>
          <w:sz w:val="24"/>
          <w:szCs w:val="24"/>
        </w:rPr>
      </w:pPr>
    </w:p>
    <w:p w14:paraId="6169C82E">
      <w:pPr>
        <w:pageBreakBefore w:val="0"/>
        <w:kinsoku/>
        <w:wordWrap w:val="0"/>
        <w:overflowPunct/>
        <w:bidi w:val="0"/>
        <w:spacing w:line="440" w:lineRule="exact"/>
        <w:rPr>
          <w:color w:val="auto"/>
          <w:sz w:val="24"/>
          <w:szCs w:val="24"/>
        </w:rPr>
      </w:pPr>
    </w:p>
    <w:p w14:paraId="559A0298">
      <w:pPr>
        <w:pageBreakBefore w:val="0"/>
        <w:kinsoku/>
        <w:wordWrap w:val="0"/>
        <w:overflowPunct/>
        <w:bidi w:val="0"/>
        <w:spacing w:line="440" w:lineRule="exact"/>
        <w:rPr>
          <w:color w:val="auto"/>
          <w:sz w:val="24"/>
          <w:szCs w:val="24"/>
        </w:rPr>
      </w:pPr>
    </w:p>
    <w:p w14:paraId="7DAD1467">
      <w:pPr>
        <w:pageBreakBefore w:val="0"/>
        <w:kinsoku/>
        <w:wordWrap w:val="0"/>
        <w:overflowPunct/>
        <w:bidi w:val="0"/>
        <w:spacing w:line="440" w:lineRule="exact"/>
        <w:rPr>
          <w:color w:val="auto"/>
          <w:sz w:val="24"/>
          <w:szCs w:val="24"/>
        </w:rPr>
      </w:pPr>
      <w:r>
        <w:rPr>
          <w:color w:val="auto"/>
          <w:sz w:val="24"/>
          <w:szCs w:val="24"/>
        </w:rPr>
        <w:t xml:space="preserve">                               招标人：</w:t>
      </w:r>
      <w:r>
        <w:rPr>
          <w:color w:val="auto"/>
          <w:sz w:val="24"/>
          <w:szCs w:val="24"/>
          <w:u w:val="single"/>
        </w:rPr>
        <w:t xml:space="preserve">             </w:t>
      </w:r>
      <w:r>
        <w:rPr>
          <w:rFonts w:hint="eastAsia"/>
          <w:color w:val="auto"/>
          <w:sz w:val="24"/>
          <w:szCs w:val="24"/>
          <w:u w:val="single"/>
        </w:rPr>
        <w:t xml:space="preserve">   </w:t>
      </w:r>
      <w:r>
        <w:rPr>
          <w:color w:val="auto"/>
          <w:sz w:val="24"/>
          <w:szCs w:val="24"/>
        </w:rPr>
        <w:t>（盖章）</w:t>
      </w:r>
    </w:p>
    <w:p w14:paraId="717F4924">
      <w:pPr>
        <w:pageBreakBefore w:val="0"/>
        <w:kinsoku/>
        <w:wordWrap w:val="0"/>
        <w:overflowPunct/>
        <w:bidi w:val="0"/>
        <w:spacing w:line="440" w:lineRule="exact"/>
        <w:rPr>
          <w:color w:val="auto"/>
          <w:sz w:val="24"/>
          <w:szCs w:val="24"/>
        </w:rPr>
      </w:pPr>
    </w:p>
    <w:p w14:paraId="2D1C0896">
      <w:pPr>
        <w:pageBreakBefore w:val="0"/>
        <w:kinsoku/>
        <w:wordWrap w:val="0"/>
        <w:overflowPunct/>
        <w:bidi w:val="0"/>
        <w:spacing w:line="440" w:lineRule="exact"/>
        <w:rPr>
          <w:color w:val="auto"/>
          <w:sz w:val="24"/>
          <w:szCs w:val="24"/>
        </w:rPr>
      </w:pPr>
      <w:r>
        <w:rPr>
          <w:color w:val="auto"/>
          <w:sz w:val="24"/>
          <w:szCs w:val="24"/>
        </w:rPr>
        <w:t xml:space="preserve">                           法定代表人：</w:t>
      </w:r>
      <w:r>
        <w:rPr>
          <w:color w:val="auto"/>
          <w:sz w:val="24"/>
          <w:szCs w:val="24"/>
          <w:u w:val="single"/>
        </w:rPr>
        <w:t xml:space="preserve">               </w:t>
      </w:r>
      <w:r>
        <w:rPr>
          <w:rFonts w:hint="eastAsia"/>
          <w:color w:val="auto"/>
          <w:sz w:val="24"/>
          <w:szCs w:val="24"/>
          <w:u w:val="single"/>
        </w:rPr>
        <w:t xml:space="preserve"> </w:t>
      </w:r>
      <w:r>
        <w:rPr>
          <w:color w:val="auto"/>
          <w:sz w:val="24"/>
          <w:szCs w:val="24"/>
        </w:rPr>
        <w:t>（签字</w:t>
      </w:r>
      <w:r>
        <w:rPr>
          <w:rFonts w:hint="eastAsia"/>
          <w:color w:val="auto"/>
          <w:sz w:val="24"/>
          <w:szCs w:val="24"/>
        </w:rPr>
        <w:t>或盖章</w:t>
      </w:r>
      <w:r>
        <w:rPr>
          <w:color w:val="auto"/>
          <w:sz w:val="24"/>
          <w:szCs w:val="24"/>
        </w:rPr>
        <w:t>）</w:t>
      </w:r>
    </w:p>
    <w:p w14:paraId="374286DC">
      <w:pPr>
        <w:pageBreakBefore w:val="0"/>
        <w:kinsoku/>
        <w:wordWrap w:val="0"/>
        <w:overflowPunct/>
        <w:bidi w:val="0"/>
        <w:spacing w:line="440" w:lineRule="exact"/>
        <w:rPr>
          <w:color w:val="auto"/>
          <w:sz w:val="24"/>
          <w:szCs w:val="24"/>
        </w:rPr>
      </w:pPr>
    </w:p>
    <w:p w14:paraId="48A95240">
      <w:pPr>
        <w:pageBreakBefore w:val="0"/>
        <w:kinsoku/>
        <w:wordWrap w:val="0"/>
        <w:overflowPunct/>
        <w:bidi w:val="0"/>
        <w:spacing w:line="440" w:lineRule="exact"/>
        <w:rPr>
          <w:color w:val="auto"/>
          <w:sz w:val="24"/>
          <w:szCs w:val="24"/>
        </w:rPr>
      </w:pPr>
      <w:r>
        <w:rPr>
          <w:color w:val="auto"/>
          <w:sz w:val="24"/>
          <w:szCs w:val="24"/>
        </w:rPr>
        <w:t xml:space="preserve">                                  </w:t>
      </w:r>
      <w:r>
        <w:rPr>
          <w:rFonts w:hint="eastAsia"/>
          <w:color w:val="auto"/>
          <w:sz w:val="24"/>
          <w:szCs w:val="24"/>
        </w:rPr>
        <w:t xml:space="preserve">       </w:t>
      </w:r>
      <w:r>
        <w:rPr>
          <w:color w:val="auto"/>
          <w:sz w:val="24"/>
          <w:szCs w:val="24"/>
        </w:rPr>
        <w:t xml:space="preserve"> </w:t>
      </w:r>
      <w:r>
        <w:rPr>
          <w:rFonts w:ascii="宋体" w:hAnsi="宋体"/>
          <w:color w:val="auto"/>
          <w:sz w:val="24"/>
          <w:szCs w:val="24"/>
          <w:u w:val="single"/>
        </w:rPr>
        <w:t xml:space="preserve">     </w:t>
      </w:r>
      <w:r>
        <w:rPr>
          <w:color w:val="auto"/>
          <w:sz w:val="24"/>
          <w:szCs w:val="24"/>
        </w:rPr>
        <w:t>年</w:t>
      </w:r>
      <w:r>
        <w:rPr>
          <w:rFonts w:ascii="宋体" w:hAnsi="宋体"/>
          <w:color w:val="auto"/>
          <w:sz w:val="24"/>
          <w:szCs w:val="24"/>
          <w:u w:val="single"/>
        </w:rPr>
        <w:t xml:space="preserve">     </w:t>
      </w:r>
      <w:r>
        <w:rPr>
          <w:color w:val="auto"/>
          <w:sz w:val="24"/>
          <w:szCs w:val="24"/>
        </w:rPr>
        <w:t>月</w:t>
      </w:r>
      <w:r>
        <w:rPr>
          <w:rFonts w:ascii="宋体" w:hAnsi="宋体"/>
          <w:color w:val="auto"/>
          <w:sz w:val="24"/>
          <w:szCs w:val="24"/>
          <w:u w:val="single"/>
        </w:rPr>
        <w:t xml:space="preserve">     </w:t>
      </w:r>
      <w:r>
        <w:rPr>
          <w:color w:val="auto"/>
          <w:sz w:val="24"/>
          <w:szCs w:val="24"/>
        </w:rPr>
        <w:t>日</w:t>
      </w:r>
    </w:p>
    <w:p w14:paraId="278D192A">
      <w:pPr>
        <w:pageBreakBefore w:val="0"/>
        <w:kinsoku/>
        <w:wordWrap w:val="0"/>
        <w:overflowPunct/>
        <w:bidi w:val="0"/>
        <w:spacing w:line="400" w:lineRule="exact"/>
        <w:rPr>
          <w:color w:val="auto"/>
        </w:rPr>
      </w:pPr>
    </w:p>
    <w:p w14:paraId="2221FA45">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outlineLvl w:val="1"/>
        <w:rPr>
          <w:rStyle w:val="48"/>
          <w:color w:val="auto"/>
        </w:rPr>
      </w:pPr>
      <w:r>
        <w:rPr>
          <w:color w:val="auto"/>
        </w:rPr>
        <w:br w:type="page"/>
      </w:r>
      <w:bookmarkStart w:id="576" w:name="_Toc30038"/>
      <w:bookmarkStart w:id="577" w:name="_Toc19915"/>
      <w:bookmarkStart w:id="578" w:name="_Toc152042363"/>
      <w:bookmarkStart w:id="579" w:name="_Toc247527611"/>
      <w:bookmarkStart w:id="580" w:name="_Toc152045586"/>
      <w:bookmarkStart w:id="581" w:name="_Toc10315"/>
      <w:bookmarkStart w:id="582" w:name="_Toc300835007"/>
      <w:bookmarkStart w:id="583" w:name="_Toc247514010"/>
      <w:bookmarkStart w:id="584" w:name="_Toc144974553"/>
      <w:bookmarkStart w:id="585" w:name="_Toc11910"/>
      <w:bookmarkStart w:id="586" w:name="_Toc30772"/>
      <w:r>
        <w:rPr>
          <w:rStyle w:val="48"/>
          <w:rFonts w:hint="eastAsia"/>
          <w:color w:val="auto"/>
        </w:rPr>
        <w:t>附表六：确认通知</w:t>
      </w:r>
      <w:bookmarkEnd w:id="576"/>
      <w:bookmarkEnd w:id="577"/>
      <w:bookmarkEnd w:id="578"/>
      <w:bookmarkEnd w:id="579"/>
      <w:bookmarkEnd w:id="580"/>
      <w:bookmarkEnd w:id="581"/>
      <w:bookmarkEnd w:id="582"/>
      <w:bookmarkEnd w:id="583"/>
      <w:bookmarkEnd w:id="584"/>
    </w:p>
    <w:bookmarkEnd w:id="585"/>
    <w:bookmarkEnd w:id="586"/>
    <w:p w14:paraId="784C73AD">
      <w:pPr>
        <w:pageBreakBefore w:val="0"/>
        <w:kinsoku/>
        <w:wordWrap w:val="0"/>
        <w:overflowPunct/>
        <w:bidi w:val="0"/>
        <w:spacing w:line="400" w:lineRule="exact"/>
        <w:rPr>
          <w:color w:val="auto"/>
        </w:rPr>
      </w:pPr>
    </w:p>
    <w:p w14:paraId="2D5222B3">
      <w:pPr>
        <w:pageBreakBefore w:val="0"/>
        <w:kinsoku/>
        <w:wordWrap w:val="0"/>
        <w:overflowPunct/>
        <w:bidi w:val="0"/>
        <w:spacing w:line="400" w:lineRule="exact"/>
        <w:jc w:val="center"/>
        <w:rPr>
          <w:rFonts w:ascii="黑体" w:eastAsia="黑体"/>
          <w:color w:val="auto"/>
          <w:sz w:val="28"/>
          <w:szCs w:val="28"/>
        </w:rPr>
      </w:pPr>
      <w:bookmarkStart w:id="587" w:name="_Toc30022"/>
      <w:r>
        <w:rPr>
          <w:rFonts w:hint="eastAsia" w:ascii="黑体" w:eastAsia="黑体"/>
          <w:color w:val="auto"/>
          <w:sz w:val="28"/>
          <w:szCs w:val="28"/>
        </w:rPr>
        <w:t>确认通知</w:t>
      </w:r>
      <w:bookmarkEnd w:id="587"/>
    </w:p>
    <w:p w14:paraId="443D2011">
      <w:pPr>
        <w:pageBreakBefore w:val="0"/>
        <w:kinsoku/>
        <w:wordWrap w:val="0"/>
        <w:overflowPunct/>
        <w:bidi w:val="0"/>
        <w:spacing w:line="400" w:lineRule="exact"/>
        <w:rPr>
          <w:color w:val="auto"/>
        </w:rPr>
      </w:pPr>
    </w:p>
    <w:p w14:paraId="0EC54880">
      <w:pPr>
        <w:pageBreakBefore w:val="0"/>
        <w:kinsoku/>
        <w:wordWrap w:val="0"/>
        <w:overflowPunct/>
        <w:bidi w:val="0"/>
        <w:spacing w:line="440" w:lineRule="exact"/>
        <w:ind w:left="0" w:leftChars="0" w:firstLine="0" w:firstLineChars="0"/>
        <w:rPr>
          <w:color w:val="auto"/>
          <w:sz w:val="24"/>
          <w:szCs w:val="24"/>
        </w:rPr>
      </w:pPr>
      <w:r>
        <w:rPr>
          <w:i/>
          <w:iCs/>
          <w:color w:val="auto"/>
          <w:sz w:val="24"/>
          <w:szCs w:val="24"/>
          <w:u w:val="single"/>
        </w:rPr>
        <w:t>（招标人名称）</w:t>
      </w:r>
      <w:r>
        <w:rPr>
          <w:color w:val="auto"/>
          <w:sz w:val="24"/>
          <w:szCs w:val="24"/>
        </w:rPr>
        <w:t>：</w:t>
      </w:r>
    </w:p>
    <w:p w14:paraId="10DC58E8">
      <w:pPr>
        <w:pageBreakBefore w:val="0"/>
        <w:kinsoku/>
        <w:wordWrap w:val="0"/>
        <w:overflowPunct/>
        <w:bidi w:val="0"/>
        <w:spacing w:line="440" w:lineRule="exact"/>
        <w:rPr>
          <w:rFonts w:hint="eastAsia" w:eastAsia="宋体"/>
          <w:color w:val="auto"/>
          <w:sz w:val="24"/>
          <w:szCs w:val="24"/>
          <w:lang w:eastAsia="zh-CN"/>
        </w:rPr>
      </w:pPr>
    </w:p>
    <w:p w14:paraId="13A6D95A">
      <w:pPr>
        <w:keepNext w:val="0"/>
        <w:keepLines w:val="0"/>
        <w:pageBreakBefore w:val="0"/>
        <w:widowControl w:val="0"/>
        <w:kinsoku/>
        <w:wordWrap w:val="0"/>
        <w:overflowPunct/>
        <w:topLinePunct w:val="0"/>
        <w:autoSpaceDE/>
        <w:autoSpaceDN/>
        <w:bidi w:val="0"/>
        <w:adjustRightInd/>
        <w:snapToGrid/>
        <w:spacing w:line="440" w:lineRule="exact"/>
        <w:ind w:right="0" w:rightChars="0"/>
        <w:jc w:val="both"/>
        <w:textAlignment w:val="auto"/>
        <w:outlineLvl w:val="9"/>
        <w:rPr>
          <w:color w:val="auto"/>
          <w:sz w:val="24"/>
          <w:szCs w:val="24"/>
        </w:rPr>
      </w:pPr>
      <w:r>
        <w:rPr>
          <w:color w:val="auto"/>
          <w:sz w:val="24"/>
          <w:szCs w:val="24"/>
        </w:rPr>
        <w:t>你方</w:t>
      </w:r>
      <w:r>
        <w:rPr>
          <w:rFonts w:hint="eastAsia"/>
          <w:color w:val="auto"/>
          <w:sz w:val="24"/>
          <w:szCs w:val="24"/>
        </w:rPr>
        <w:t>于</w:t>
      </w:r>
      <w:r>
        <w:rPr>
          <w:color w:val="auto"/>
          <w:sz w:val="24"/>
          <w:szCs w:val="24"/>
          <w:u w:val="single"/>
        </w:rPr>
        <w:t xml:space="preserve">  </w:t>
      </w:r>
      <w:r>
        <w:rPr>
          <w:rFonts w:hint="eastAsia"/>
          <w:color w:val="auto"/>
          <w:sz w:val="24"/>
          <w:szCs w:val="24"/>
          <w:u w:val="single"/>
        </w:rPr>
        <w:t xml:space="preserve"> </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rFonts w:hint="eastAsia"/>
          <w:color w:val="auto"/>
          <w:sz w:val="24"/>
          <w:szCs w:val="24"/>
          <w:u w:val="single"/>
        </w:rPr>
        <w:t xml:space="preserve"> </w:t>
      </w:r>
      <w:r>
        <w:rPr>
          <w:color w:val="auto"/>
          <w:sz w:val="24"/>
          <w:szCs w:val="24"/>
        </w:rPr>
        <w:t>日发出的</w:t>
      </w:r>
      <w:r>
        <w:rPr>
          <w:i/>
          <w:iCs/>
          <w:color w:val="auto"/>
          <w:sz w:val="24"/>
          <w:szCs w:val="24"/>
          <w:u w:val="single"/>
        </w:rPr>
        <w:t>（</w:t>
      </w:r>
      <w:r>
        <w:rPr>
          <w:rFonts w:hint="eastAsia"/>
          <w:i/>
          <w:iCs/>
          <w:color w:val="auto"/>
          <w:sz w:val="24"/>
          <w:szCs w:val="24"/>
          <w:u w:val="single"/>
          <w:lang w:eastAsia="zh-CN"/>
        </w:rPr>
        <w:t>工程</w:t>
      </w:r>
      <w:r>
        <w:rPr>
          <w:i/>
          <w:iCs/>
          <w:color w:val="auto"/>
          <w:sz w:val="24"/>
          <w:szCs w:val="24"/>
          <w:u w:val="single"/>
        </w:rPr>
        <w:t>名称）</w:t>
      </w:r>
      <w:r>
        <w:rPr>
          <w:color w:val="auto"/>
          <w:sz w:val="24"/>
          <w:szCs w:val="24"/>
        </w:rPr>
        <w:t>关于</w:t>
      </w:r>
      <w:r>
        <w:rPr>
          <w:color w:val="auto"/>
          <w:sz w:val="24"/>
          <w:szCs w:val="24"/>
          <w:u w:val="single"/>
        </w:rPr>
        <w:t xml:space="preserve">  </w:t>
      </w:r>
      <w:r>
        <w:rPr>
          <w:rFonts w:hint="eastAsia"/>
          <w:color w:val="auto"/>
          <w:sz w:val="24"/>
          <w:szCs w:val="24"/>
          <w:u w:val="single"/>
        </w:rPr>
        <w:t xml:space="preserve">     </w:t>
      </w:r>
      <w:r>
        <w:rPr>
          <w:color w:val="auto"/>
          <w:sz w:val="24"/>
          <w:szCs w:val="24"/>
        </w:rPr>
        <w:t>的通知，我方已于</w:t>
      </w:r>
      <w:r>
        <w:rPr>
          <w:color w:val="auto"/>
          <w:sz w:val="24"/>
          <w:szCs w:val="24"/>
          <w:u w:val="single"/>
        </w:rPr>
        <w:t xml:space="preserve">    </w:t>
      </w:r>
      <w:r>
        <w:rPr>
          <w:color w:val="auto"/>
          <w:sz w:val="24"/>
          <w:szCs w:val="24"/>
        </w:rPr>
        <w:t>年</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rPr>
        <w:t>月</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color w:val="auto"/>
          <w:sz w:val="24"/>
          <w:szCs w:val="24"/>
        </w:rPr>
        <w:t>日收到。</w:t>
      </w:r>
    </w:p>
    <w:p w14:paraId="4218ED7A">
      <w:pPr>
        <w:pageBreakBefore w:val="0"/>
        <w:kinsoku/>
        <w:wordWrap w:val="0"/>
        <w:overflowPunct/>
        <w:bidi w:val="0"/>
        <w:spacing w:line="440" w:lineRule="exact"/>
        <w:rPr>
          <w:color w:val="auto"/>
          <w:sz w:val="24"/>
          <w:szCs w:val="24"/>
        </w:rPr>
      </w:pPr>
      <w:r>
        <w:rPr>
          <w:rFonts w:hint="eastAsia"/>
          <w:color w:val="auto"/>
          <w:sz w:val="24"/>
          <w:szCs w:val="24"/>
        </w:rPr>
        <w:t xml:space="preserve">    </w:t>
      </w:r>
      <w:r>
        <w:rPr>
          <w:color w:val="auto"/>
          <w:sz w:val="24"/>
          <w:szCs w:val="24"/>
        </w:rPr>
        <w:t>特此确认。</w:t>
      </w:r>
    </w:p>
    <w:p w14:paraId="1DC73971">
      <w:pPr>
        <w:pageBreakBefore w:val="0"/>
        <w:kinsoku/>
        <w:wordWrap w:val="0"/>
        <w:overflowPunct/>
        <w:bidi w:val="0"/>
        <w:spacing w:line="440" w:lineRule="exact"/>
        <w:rPr>
          <w:color w:val="auto"/>
          <w:sz w:val="24"/>
          <w:szCs w:val="24"/>
        </w:rPr>
      </w:pPr>
    </w:p>
    <w:p w14:paraId="185EE3FF">
      <w:pPr>
        <w:pageBreakBefore w:val="0"/>
        <w:kinsoku/>
        <w:wordWrap w:val="0"/>
        <w:overflowPunct/>
        <w:bidi w:val="0"/>
        <w:spacing w:line="440" w:lineRule="exact"/>
        <w:rPr>
          <w:color w:val="auto"/>
          <w:sz w:val="24"/>
          <w:szCs w:val="24"/>
        </w:rPr>
      </w:pPr>
    </w:p>
    <w:p w14:paraId="2A0218A2">
      <w:pPr>
        <w:pageBreakBefore w:val="0"/>
        <w:kinsoku/>
        <w:wordWrap w:val="0"/>
        <w:overflowPunct/>
        <w:bidi w:val="0"/>
        <w:spacing w:line="440" w:lineRule="exact"/>
        <w:rPr>
          <w:color w:val="auto"/>
          <w:sz w:val="24"/>
          <w:szCs w:val="24"/>
        </w:rPr>
      </w:pPr>
      <w:r>
        <w:rPr>
          <w:color w:val="auto"/>
          <w:sz w:val="24"/>
          <w:szCs w:val="24"/>
        </w:rPr>
        <w:t xml:space="preserve">                              投标人：</w:t>
      </w:r>
      <w:r>
        <w:rPr>
          <w:color w:val="auto"/>
          <w:sz w:val="24"/>
          <w:szCs w:val="24"/>
          <w:u w:val="single"/>
        </w:rPr>
        <w:t xml:space="preserve">             </w:t>
      </w:r>
      <w:r>
        <w:rPr>
          <w:color w:val="auto"/>
          <w:sz w:val="24"/>
          <w:szCs w:val="24"/>
        </w:rPr>
        <w:t xml:space="preserve"> （盖章）</w:t>
      </w:r>
    </w:p>
    <w:p w14:paraId="0C4598BF">
      <w:pPr>
        <w:pageBreakBefore w:val="0"/>
        <w:kinsoku/>
        <w:wordWrap w:val="0"/>
        <w:overflowPunct/>
        <w:bidi w:val="0"/>
        <w:spacing w:line="440" w:lineRule="exact"/>
        <w:rPr>
          <w:color w:val="auto"/>
          <w:sz w:val="24"/>
          <w:szCs w:val="24"/>
        </w:rPr>
      </w:pPr>
    </w:p>
    <w:p w14:paraId="62168C27">
      <w:pPr>
        <w:pageBreakBefore w:val="0"/>
        <w:kinsoku/>
        <w:wordWrap w:val="0"/>
        <w:overflowPunct/>
        <w:bidi w:val="0"/>
        <w:spacing w:line="440" w:lineRule="exact"/>
        <w:rPr>
          <w:rFonts w:hint="eastAsia"/>
          <w:color w:val="auto"/>
          <w:sz w:val="24"/>
          <w:szCs w:val="24"/>
        </w:rPr>
      </w:pPr>
      <w:r>
        <w:rPr>
          <w:color w:val="auto"/>
          <w:sz w:val="24"/>
          <w:szCs w:val="24"/>
        </w:rPr>
        <w:t xml:space="preserve">                                  </w:t>
      </w:r>
      <w:r>
        <w:rPr>
          <w:rFonts w:ascii="宋体" w:hAnsi="宋体"/>
          <w:color w:val="auto"/>
          <w:sz w:val="24"/>
          <w:szCs w:val="24"/>
          <w:u w:val="single"/>
        </w:rPr>
        <w:t xml:space="preserve">     </w:t>
      </w:r>
      <w:r>
        <w:rPr>
          <w:color w:val="auto"/>
          <w:sz w:val="24"/>
          <w:szCs w:val="24"/>
        </w:rPr>
        <w:t>年</w:t>
      </w:r>
      <w:r>
        <w:rPr>
          <w:rFonts w:ascii="宋体" w:hAnsi="宋体"/>
          <w:color w:val="auto"/>
          <w:sz w:val="24"/>
          <w:szCs w:val="24"/>
          <w:u w:val="single"/>
        </w:rPr>
        <w:t xml:space="preserve">     </w:t>
      </w:r>
      <w:r>
        <w:rPr>
          <w:color w:val="auto"/>
          <w:sz w:val="24"/>
          <w:szCs w:val="24"/>
        </w:rPr>
        <w:t>月</w:t>
      </w:r>
      <w:r>
        <w:rPr>
          <w:rFonts w:ascii="宋体" w:hAnsi="宋体"/>
          <w:color w:val="auto"/>
          <w:sz w:val="24"/>
          <w:szCs w:val="24"/>
          <w:u w:val="single"/>
        </w:rPr>
        <w:t xml:space="preserve">     </w:t>
      </w:r>
      <w:r>
        <w:rPr>
          <w:color w:val="auto"/>
          <w:sz w:val="24"/>
          <w:szCs w:val="24"/>
        </w:rPr>
        <w:t>日</w:t>
      </w:r>
      <w:r>
        <w:rPr>
          <w:rFonts w:hint="eastAsia"/>
          <w:color w:val="auto"/>
          <w:sz w:val="24"/>
          <w:szCs w:val="24"/>
        </w:rPr>
        <w:t xml:space="preserve"> </w:t>
      </w:r>
    </w:p>
    <w:bookmarkEnd w:id="534"/>
    <w:bookmarkEnd w:id="535"/>
    <w:bookmarkEnd w:id="536"/>
    <w:bookmarkEnd w:id="537"/>
    <w:bookmarkEnd w:id="538"/>
    <w:bookmarkEnd w:id="539"/>
    <w:p w14:paraId="1DBF256A">
      <w:pPr>
        <w:pageBreakBefore w:val="0"/>
        <w:kinsoku/>
        <w:wordWrap w:val="0"/>
        <w:overflowPunct/>
        <w:bidi w:val="0"/>
        <w:spacing w:line="400" w:lineRule="exact"/>
        <w:rPr>
          <w:color w:val="auto"/>
          <w:sz w:val="24"/>
          <w:szCs w:val="24"/>
        </w:rPr>
      </w:pPr>
    </w:p>
    <w:p w14:paraId="0328463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0"/>
        <w:rPr>
          <w:rStyle w:val="47"/>
          <w:color w:val="auto"/>
        </w:rPr>
      </w:pPr>
      <w:r>
        <w:rPr>
          <w:color w:val="auto"/>
        </w:rPr>
        <w:br w:type="page"/>
      </w:r>
      <w:bookmarkStart w:id="588" w:name="_Toc144974565"/>
      <w:bookmarkStart w:id="589" w:name="_Toc152045598"/>
      <w:bookmarkStart w:id="590" w:name="_Toc22603"/>
      <w:bookmarkStart w:id="591" w:name="_Toc247514022"/>
      <w:bookmarkStart w:id="592" w:name="_Toc152042375"/>
      <w:bookmarkStart w:id="593" w:name="_Toc247527623"/>
      <w:bookmarkStart w:id="594" w:name="_Toc32392"/>
      <w:bookmarkStart w:id="595" w:name="_Toc1207"/>
      <w:bookmarkStart w:id="596" w:name="_Toc16354"/>
      <w:r>
        <w:rPr>
          <w:rStyle w:val="47"/>
          <w:color w:val="auto"/>
        </w:rPr>
        <w:t>第三章 评标办法</w:t>
      </w:r>
      <w:bookmarkEnd w:id="588"/>
      <w:bookmarkEnd w:id="589"/>
      <w:bookmarkEnd w:id="590"/>
      <w:bookmarkEnd w:id="591"/>
      <w:bookmarkEnd w:id="592"/>
      <w:bookmarkEnd w:id="593"/>
      <w:bookmarkEnd w:id="594"/>
    </w:p>
    <w:bookmarkEnd w:id="595"/>
    <w:bookmarkEnd w:id="596"/>
    <w:p w14:paraId="33DCAC4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1"/>
        <w:rPr>
          <w:rFonts w:hint="eastAsia" w:ascii="方正黑体_GBK" w:hAnsi="方正黑体_GBK" w:eastAsia="方正黑体_GBK" w:cs="方正黑体_GBK"/>
          <w:color w:val="auto"/>
          <w:sz w:val="24"/>
          <w:szCs w:val="24"/>
        </w:rPr>
      </w:pPr>
      <w:bookmarkStart w:id="597" w:name="_Toc6144"/>
      <w:bookmarkStart w:id="598" w:name="_Toc24271"/>
      <w:bookmarkStart w:id="599" w:name="Text1"/>
      <w:r>
        <w:rPr>
          <w:rFonts w:hint="eastAsia" w:ascii="方正黑体_GBK" w:hAnsi="方正黑体_GBK" w:eastAsia="方正黑体_GBK" w:cs="方正黑体_GBK"/>
          <w:color w:val="auto"/>
          <w:sz w:val="24"/>
          <w:szCs w:val="24"/>
        </w:rPr>
        <w:t>一、总则</w:t>
      </w:r>
      <w:bookmarkEnd w:id="597"/>
      <w:bookmarkEnd w:id="598"/>
    </w:p>
    <w:p w14:paraId="26045B1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2"/>
        <w:rPr>
          <w:rFonts w:hint="eastAsia" w:ascii="方正楷体_GBK" w:hAnsi="方正楷体_GBK" w:eastAsia="方正楷体_GBK" w:cs="方正楷体_GBK"/>
          <w:b w:val="0"/>
          <w:bCs w:val="0"/>
          <w:color w:val="auto"/>
          <w:sz w:val="24"/>
          <w:szCs w:val="24"/>
        </w:rPr>
      </w:pPr>
      <w:bookmarkStart w:id="600" w:name="_Toc5605"/>
      <w:r>
        <w:rPr>
          <w:rFonts w:hint="eastAsia" w:ascii="方正楷体_GBK" w:hAnsi="方正楷体_GBK" w:eastAsia="方正楷体_GBK" w:cs="方正楷体_GBK"/>
          <w:b w:val="0"/>
          <w:bCs w:val="0"/>
          <w:color w:val="auto"/>
          <w:sz w:val="24"/>
          <w:szCs w:val="24"/>
        </w:rPr>
        <w:t>（一）评标原则</w:t>
      </w:r>
      <w:bookmarkEnd w:id="600"/>
    </w:p>
    <w:p w14:paraId="7CD66C9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公平、公正、科学和择优。</w:t>
      </w:r>
    </w:p>
    <w:p w14:paraId="59566D0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依法评标、严格保密。</w:t>
      </w:r>
    </w:p>
    <w:p w14:paraId="7CAC1CE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鼓励充分竞争，反对不正当竞争。</w:t>
      </w:r>
    </w:p>
    <w:p w14:paraId="34B5118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定性的结论由评标委员会按少数服从多数的原则，以记名投票的方式决定。</w:t>
      </w:r>
    </w:p>
    <w:p w14:paraId="1FBBC7B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2"/>
        <w:rPr>
          <w:rFonts w:hint="eastAsia" w:ascii="方正楷体_GBK" w:hAnsi="方正楷体_GBK" w:eastAsia="方正楷体_GBK" w:cs="方正楷体_GBK"/>
          <w:b w:val="0"/>
          <w:bCs w:val="0"/>
          <w:color w:val="auto"/>
          <w:sz w:val="24"/>
          <w:szCs w:val="24"/>
        </w:rPr>
      </w:pPr>
      <w:bookmarkStart w:id="601" w:name="_Toc16638"/>
      <w:r>
        <w:rPr>
          <w:rFonts w:hint="eastAsia" w:ascii="方正楷体_GBK" w:hAnsi="方正楷体_GBK" w:eastAsia="方正楷体_GBK" w:cs="方正楷体_GBK"/>
          <w:b w:val="0"/>
          <w:bCs w:val="0"/>
          <w:color w:val="auto"/>
          <w:sz w:val="24"/>
          <w:szCs w:val="24"/>
        </w:rPr>
        <w:t>（二）评标监督</w:t>
      </w:r>
      <w:bookmarkEnd w:id="601"/>
    </w:p>
    <w:p w14:paraId="4B2EFB8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评标活动及其当事人应当接受依法实施的监督。</w:t>
      </w:r>
    </w:p>
    <w:p w14:paraId="1D5F357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1"/>
        <w:rPr>
          <w:rFonts w:hint="eastAsia" w:ascii="方正黑体_GBK" w:hAnsi="方正黑体_GBK" w:eastAsia="方正黑体_GBK" w:cs="方正黑体_GBK"/>
          <w:color w:val="auto"/>
          <w:sz w:val="24"/>
          <w:szCs w:val="24"/>
        </w:rPr>
      </w:pPr>
      <w:bookmarkStart w:id="602" w:name="_Toc1610"/>
      <w:bookmarkStart w:id="603" w:name="_Toc17416"/>
      <w:r>
        <w:rPr>
          <w:rFonts w:hint="eastAsia" w:ascii="方正黑体_GBK" w:hAnsi="方正黑体_GBK" w:eastAsia="方正黑体_GBK" w:cs="方正黑体_GBK"/>
          <w:color w:val="auto"/>
          <w:sz w:val="24"/>
          <w:szCs w:val="24"/>
        </w:rPr>
        <w:t>二、评标程序</w:t>
      </w:r>
      <w:bookmarkEnd w:id="602"/>
      <w:bookmarkEnd w:id="603"/>
    </w:p>
    <w:p w14:paraId="040F1404">
      <w:pPr>
        <w:keepNext w:val="0"/>
        <w:keepLines w:val="0"/>
        <w:pageBreakBefore w:val="0"/>
        <w:widowControl w:val="0"/>
        <w:kinsoku/>
        <w:overflowPunct/>
        <w:topLinePunct w:val="0"/>
        <w:autoSpaceDE/>
        <w:autoSpaceDN/>
        <w:bidi w:val="0"/>
        <w:adjustRightInd/>
        <w:spacing w:beforeLines="0" w:afterLines="0" w:line="400" w:lineRule="exact"/>
        <w:ind w:firstLine="482" w:firstLineChars="200"/>
        <w:textAlignment w:val="auto"/>
        <w:outlineLvl w:val="2"/>
        <w:rPr>
          <w:rFonts w:hint="eastAsia" w:ascii="宋体" w:hAnsi="宋体" w:eastAsia="宋体" w:cs="宋体"/>
          <w:b/>
          <w:bCs/>
          <w:color w:val="auto"/>
          <w:sz w:val="24"/>
          <w:szCs w:val="24"/>
        </w:rPr>
      </w:pPr>
      <w:bookmarkStart w:id="604" w:name="_Toc977"/>
      <w:r>
        <w:rPr>
          <w:rFonts w:hint="eastAsia" w:ascii="宋体" w:hAnsi="宋体" w:eastAsia="宋体" w:cs="宋体"/>
          <w:b/>
          <w:bCs/>
          <w:color w:val="auto"/>
          <w:sz w:val="24"/>
          <w:szCs w:val="24"/>
        </w:rPr>
        <w:t>（一）评标程序</w:t>
      </w:r>
      <w:bookmarkEnd w:id="604"/>
    </w:p>
    <w:p w14:paraId="4A1C884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评标委员会按照下面的步骤进行评标：</w:t>
      </w:r>
    </w:p>
    <w:p w14:paraId="29B0AB1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评标委员会成员签到，以证明其出席，并签署“评标专家承诺书”。</w:t>
      </w:r>
    </w:p>
    <w:p w14:paraId="4C6438A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推举一名评标委员会负责人，负责评标活动的组织工作。</w:t>
      </w:r>
    </w:p>
    <w:p w14:paraId="30FC268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熟悉相关文件资料。</w:t>
      </w:r>
    </w:p>
    <w:p w14:paraId="5BBEFF0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委员会负责人应组织评标委员会成员认真研究招标文件，了解和熟悉招标的目的、招标范围、主要合同条件、招标项目的技术标准和工期要求，掌握评标标准和方法，熟悉本办法中包括的评标表格的使用。如果本办法所附的表格不能满足评标所需时，评标委员会应补充编制评标所需的表格。</w:t>
      </w:r>
    </w:p>
    <w:p w14:paraId="6816EF0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评标委员会成员应当依照相关法律法规的规定，按照招标文件规定的评标标准和方法，客观、公正地对投标文件提出评审意见。招标文件没有规定的评标标准和方法不得作为评标的依据。</w:t>
      </w:r>
    </w:p>
    <w:p w14:paraId="74F3548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人或招标代理机构应向评标委员会提供评标所需的信息和数据，包括招标文件、未在开标会上当场拒绝的各投标文件、开标会议记录、有关的法律、法规、规章、国家标准以及招标人或评标委员会认为必要的其他信息和数据。</w:t>
      </w:r>
    </w:p>
    <w:p w14:paraId="22BCAD0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资格审查（详见“资格后审必要合格条件标准”）。</w:t>
      </w:r>
    </w:p>
    <w:p w14:paraId="538D716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初步评审。</w:t>
      </w:r>
    </w:p>
    <w:p w14:paraId="5BD48C1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（1）评标委员会根据招标文件，按照初步评审表的形式，对所有投标文件进行审查并逐项列出每一份投标文件的全部偏差，审定每份投标文件是否响应招标文件的实质性要求和条件。</w:t>
      </w:r>
      <w:r>
        <w:rPr>
          <w:rFonts w:hint="eastAsia" w:ascii="宋体" w:hAnsi="宋体" w:eastAsia="宋体" w:cs="宋体"/>
          <w:bCs/>
          <w:color w:val="auto"/>
          <w:sz w:val="24"/>
          <w:szCs w:val="24"/>
        </w:rPr>
        <w:t>投标文件出现下列情形之一的，评标委员会应否决其投标：</w:t>
      </w:r>
    </w:p>
    <w:p w14:paraId="040A18E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①</w:t>
      </w:r>
      <w:r>
        <w:rPr>
          <w:rFonts w:hint="eastAsia" w:ascii="宋体" w:hAnsi="宋体" w:eastAsia="宋体" w:cs="宋体"/>
          <w:color w:val="auto"/>
          <w:sz w:val="24"/>
          <w:szCs w:val="24"/>
        </w:rPr>
        <w:t>投标文件有关内容未按规定要求加盖投标人印章或未经法定代表人或其委托代理人签字或盖章的。由委托代理人签字或盖章的，但未随投标文件一起提交有效的“授权委托书”原件的；</w:t>
      </w:r>
    </w:p>
    <w:p w14:paraId="6949431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②</w:t>
      </w:r>
      <w:r>
        <w:rPr>
          <w:rFonts w:hint="eastAsia" w:ascii="宋体" w:hAnsi="宋体" w:eastAsia="宋体" w:cs="宋体"/>
          <w:color w:val="auto"/>
          <w:sz w:val="24"/>
          <w:szCs w:val="24"/>
        </w:rPr>
        <w:t>投标文件的内容不全或者关键内容字迹模糊、无法辨认的；</w:t>
      </w:r>
    </w:p>
    <w:p w14:paraId="1A1FDDD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③</w:t>
      </w:r>
      <w:r>
        <w:rPr>
          <w:rFonts w:hint="eastAsia" w:ascii="宋体" w:hAnsi="宋体" w:eastAsia="宋体" w:cs="宋体"/>
          <w:color w:val="auto"/>
          <w:sz w:val="24"/>
          <w:szCs w:val="24"/>
        </w:rPr>
        <w:t>投标人未按照招标文件的要求提交投标保证金的；</w:t>
      </w:r>
    </w:p>
    <w:p w14:paraId="5BA087D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④</w:t>
      </w:r>
      <w:r>
        <w:rPr>
          <w:rFonts w:hint="eastAsia" w:ascii="宋体" w:hAnsi="宋体" w:eastAsia="宋体" w:cs="宋体"/>
          <w:color w:val="auto"/>
          <w:sz w:val="24"/>
          <w:szCs w:val="24"/>
        </w:rPr>
        <w:t>联合体投标没有提交共同投标协议；</w:t>
      </w:r>
    </w:p>
    <w:p w14:paraId="60E78D2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⑤</w:t>
      </w:r>
      <w:r>
        <w:rPr>
          <w:rFonts w:hint="eastAsia" w:ascii="宋体" w:hAnsi="宋体" w:eastAsia="宋体" w:cs="宋体"/>
          <w:color w:val="auto"/>
          <w:sz w:val="24"/>
          <w:szCs w:val="24"/>
        </w:rPr>
        <w:t>投标人不符合国家或者招标文件规定的资格条件；</w:t>
      </w:r>
    </w:p>
    <w:p w14:paraId="2BC066C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⑥</w:t>
      </w:r>
      <w:r>
        <w:rPr>
          <w:rFonts w:hint="eastAsia" w:ascii="宋体" w:hAnsi="宋体" w:eastAsia="宋体" w:cs="宋体"/>
          <w:color w:val="auto"/>
          <w:sz w:val="24"/>
          <w:szCs w:val="24"/>
        </w:rPr>
        <w:t>同一投标人提交两个以上不同的投标文件或者投标报价，但招标文件要求提交备选投标的除外；</w:t>
      </w:r>
    </w:p>
    <w:p w14:paraId="1051664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⑦</w:t>
      </w:r>
      <w:r>
        <w:rPr>
          <w:rFonts w:hint="eastAsia" w:ascii="宋体" w:hAnsi="宋体" w:eastAsia="宋体" w:cs="宋体"/>
          <w:color w:val="auto"/>
          <w:sz w:val="24"/>
          <w:szCs w:val="24"/>
        </w:rPr>
        <w:t>投标文件载明的招标项目完成期限超过招标文件规定的期限；</w:t>
      </w:r>
    </w:p>
    <w:p w14:paraId="24C5970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⑧</w:t>
      </w:r>
      <w:r>
        <w:rPr>
          <w:rFonts w:hint="eastAsia" w:ascii="宋体" w:hAnsi="宋体" w:eastAsia="宋体" w:cs="宋体"/>
          <w:color w:val="auto"/>
          <w:sz w:val="24"/>
          <w:szCs w:val="24"/>
        </w:rPr>
        <w:t>投标文件附有招标人不能接受的条件；</w:t>
      </w:r>
    </w:p>
    <w:p w14:paraId="015CAD4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⑨</w:t>
      </w:r>
      <w:r>
        <w:rPr>
          <w:rFonts w:hint="eastAsia" w:cs="Times New Roman"/>
          <w:color w:val="auto"/>
          <w:sz w:val="24"/>
          <w:szCs w:val="24"/>
          <w:highlight w:val="none"/>
          <w:lang w:val="en-US" w:eastAsia="zh-CN"/>
        </w:rPr>
        <w:t>评标委员会对投标报价和理性分析评审后认定为以低于成本报价竞标或不正当竞争，或者投标报价高于招标文件设定的最高限价的</w:t>
      </w:r>
      <w:r>
        <w:rPr>
          <w:rFonts w:hint="eastAsia" w:ascii="宋体" w:hAnsi="宋体" w:eastAsia="宋体" w:cs="宋体"/>
          <w:color w:val="auto"/>
          <w:sz w:val="24"/>
          <w:szCs w:val="24"/>
        </w:rPr>
        <w:t>；</w:t>
      </w:r>
    </w:p>
    <w:p w14:paraId="3EA8215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⑩</w:t>
      </w:r>
      <w:r>
        <w:rPr>
          <w:rFonts w:hint="eastAsia" w:cs="Times New Roman"/>
          <w:color w:val="auto"/>
          <w:sz w:val="24"/>
          <w:szCs w:val="24"/>
          <w:highlight w:val="none"/>
          <w:lang w:val="en-US" w:eastAsia="zh-CN"/>
        </w:rPr>
        <w:t>投标人的资质、人员、业绩等条件未满足招标文件实质性响应要求的（以投标人须知前附表 3.5“实质性响应招标文件资料”内容为准）；</w:t>
      </w:r>
    </w:p>
    <w:p w14:paraId="5FD2329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⑪投标人有串通投标、弄虚作假、行贿等违法行为。</w:t>
      </w:r>
    </w:p>
    <w:p w14:paraId="307F9C5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）初步评审被否决的投标文件，不再参与后续评审。</w:t>
      </w:r>
    </w:p>
    <w:p w14:paraId="5D5B38C4">
      <w:pPr>
        <w:keepNext w:val="0"/>
        <w:keepLines w:val="0"/>
        <w:pageBreakBefore w:val="0"/>
        <w:widowControl w:val="0"/>
        <w:kinsoku/>
        <w:overflowPunct/>
        <w:topLinePunct w:val="0"/>
        <w:autoSpaceDE/>
        <w:autoSpaceDN/>
        <w:bidi w:val="0"/>
        <w:adjustRightInd/>
        <w:spacing w:beforeLines="0" w:afterLines="0" w:line="400" w:lineRule="exact"/>
        <w:ind w:firstLine="496" w:firstLineChars="20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w:t>
      </w:r>
      <w:r>
        <w:rPr>
          <w:rFonts w:hint="eastAsia" w:ascii="宋体" w:hAnsi="宋体" w:eastAsia="宋体" w:cs="宋体"/>
          <w:color w:val="auto"/>
          <w:spacing w:val="4"/>
          <w:sz w:val="24"/>
          <w:szCs w:val="24"/>
          <w:lang w:val="en-US" w:eastAsia="zh-CN"/>
        </w:rPr>
        <w:t>3</w:t>
      </w:r>
      <w:r>
        <w:rPr>
          <w:rFonts w:hint="eastAsia" w:ascii="宋体" w:hAnsi="宋体" w:eastAsia="宋体" w:cs="宋体"/>
          <w:color w:val="auto"/>
          <w:spacing w:val="4"/>
          <w:sz w:val="24"/>
          <w:szCs w:val="24"/>
        </w:rPr>
        <w:t>）评标委员会对投标报价按下列程序进行评审：</w:t>
      </w:r>
    </w:p>
    <w:p w14:paraId="15B6BE6B">
      <w:pPr>
        <w:keepNext w:val="0"/>
        <w:keepLines w:val="0"/>
        <w:pageBreakBefore w:val="0"/>
        <w:widowControl w:val="0"/>
        <w:kinsoku/>
        <w:overflowPunct/>
        <w:topLinePunct w:val="0"/>
        <w:autoSpaceDE/>
        <w:autoSpaceDN/>
        <w:bidi w:val="0"/>
        <w:adjustRightInd/>
        <w:spacing w:beforeLines="0" w:afterLines="0" w:line="400" w:lineRule="exact"/>
        <w:ind w:firstLine="496"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①</w:t>
      </w:r>
      <w:r>
        <w:rPr>
          <w:rFonts w:hint="eastAsia" w:ascii="宋体" w:hAnsi="宋体" w:eastAsia="宋体" w:cs="宋体"/>
          <w:color w:val="auto"/>
          <w:spacing w:val="4"/>
          <w:sz w:val="24"/>
          <w:szCs w:val="24"/>
        </w:rPr>
        <w:t>对投标报价的填报是否齐全，项目内容是否明确，价格构成是否合理</w:t>
      </w:r>
      <w:r>
        <w:rPr>
          <w:rFonts w:hint="eastAsia" w:ascii="宋体" w:hAnsi="宋体" w:cs="宋体"/>
          <w:color w:val="auto"/>
          <w:spacing w:val="4"/>
          <w:sz w:val="24"/>
          <w:szCs w:val="24"/>
          <w:lang w:eastAsia="zh-CN"/>
        </w:rPr>
        <w:t>进行评审</w:t>
      </w:r>
      <w:r>
        <w:rPr>
          <w:rFonts w:hint="eastAsia" w:ascii="宋体" w:hAnsi="宋体" w:eastAsia="宋体" w:cs="宋体"/>
          <w:color w:val="auto"/>
          <w:spacing w:val="4"/>
          <w:sz w:val="24"/>
          <w:szCs w:val="24"/>
        </w:rPr>
        <w:t>，判定其是否实质上响应了招标文件的要求。</w:t>
      </w:r>
      <w:r>
        <w:rPr>
          <w:rFonts w:hint="eastAsia" w:ascii="宋体" w:hAnsi="宋体" w:cs="宋体"/>
          <w:color w:val="auto"/>
          <w:spacing w:val="4"/>
          <w:sz w:val="24"/>
          <w:szCs w:val="24"/>
          <w:lang w:eastAsia="zh-CN"/>
        </w:rPr>
        <w:t>对确定为未实质性响应招标文件要求的投标文件予以否决。</w:t>
      </w:r>
    </w:p>
    <w:p w14:paraId="273DE1E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对确定为实质上响应招标文件要求的投标文件进行校核，看其是否有计算或表达上的错误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修正错误的原则如下：</w:t>
      </w:r>
    </w:p>
    <w:p w14:paraId="793F283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如果数字表示的数额和用文字表示的数额不一致时，以文字表示的数额为准；</w:t>
      </w:r>
    </w:p>
    <w:p w14:paraId="02FB2F8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单价与工程量的乘积与合价不一致时，以单价为准。除非评标委员会认为单价有明显的小数点错位，此时应以标出的合价为准，并修改单价。</w:t>
      </w:r>
    </w:p>
    <w:p w14:paraId="105C4F0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pacing w:val="4"/>
          <w:sz w:val="24"/>
          <w:szCs w:val="24"/>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按上述修正错误的原则及方法调整或修正投标文件中的投标报价，投标人同意后，调整后的投标报价对投标人起约束作用。如果投标人不接受修正后的报价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则其投标将被否决。</w:t>
      </w:r>
    </w:p>
    <w:p w14:paraId="57DE1025">
      <w:pPr>
        <w:keepNext w:val="0"/>
        <w:keepLines w:val="0"/>
        <w:pageBreakBefore w:val="0"/>
        <w:widowControl w:val="0"/>
        <w:kinsoku/>
        <w:overflowPunct/>
        <w:topLinePunct w:val="0"/>
        <w:autoSpaceDE/>
        <w:autoSpaceDN/>
        <w:bidi w:val="0"/>
        <w:adjustRightInd/>
        <w:spacing w:beforeLines="0" w:afterLines="0" w:line="400" w:lineRule="exact"/>
        <w:ind w:firstLine="496" w:firstLineChars="20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lang w:eastAsia="zh-CN"/>
        </w:rPr>
        <w:t>③</w:t>
      </w:r>
      <w:r>
        <w:rPr>
          <w:rFonts w:hint="eastAsia" w:ascii="宋体" w:hAnsi="宋体" w:eastAsia="宋体" w:cs="宋体"/>
          <w:color w:val="auto"/>
          <w:spacing w:val="4"/>
          <w:sz w:val="24"/>
          <w:szCs w:val="24"/>
        </w:rPr>
        <w:t>对在投标报价审核中发现的含义不明确的内容，应当书面向投标人提出询问。投标人应当以书面形式做出澄清、说明，并由法定代表人或其委托代理人签字</w:t>
      </w:r>
      <w:r>
        <w:rPr>
          <w:rFonts w:hint="eastAsia" w:ascii="宋体" w:hAnsi="宋体" w:cs="宋体"/>
          <w:color w:val="auto"/>
          <w:spacing w:val="4"/>
          <w:sz w:val="24"/>
          <w:szCs w:val="24"/>
          <w:lang w:eastAsia="zh-CN"/>
        </w:rPr>
        <w:t>或盖章</w:t>
      </w:r>
      <w:r>
        <w:rPr>
          <w:rFonts w:hint="eastAsia" w:ascii="宋体" w:hAnsi="宋体" w:eastAsia="宋体" w:cs="宋体"/>
          <w:color w:val="auto"/>
          <w:spacing w:val="4"/>
          <w:sz w:val="24"/>
          <w:szCs w:val="24"/>
        </w:rPr>
        <w:t>。</w:t>
      </w:r>
    </w:p>
    <w:p w14:paraId="3EB937B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技术</w:t>
      </w:r>
      <w:r>
        <w:rPr>
          <w:rFonts w:hint="eastAsia" w:ascii="宋体" w:hAnsi="宋体" w:cs="宋体"/>
          <w:color w:val="auto"/>
          <w:sz w:val="24"/>
          <w:szCs w:val="24"/>
          <w:lang w:eastAsia="zh-CN"/>
        </w:rPr>
        <w:t>标</w:t>
      </w:r>
      <w:r>
        <w:rPr>
          <w:rFonts w:hint="eastAsia" w:ascii="宋体" w:hAnsi="宋体" w:eastAsia="宋体" w:cs="宋体"/>
          <w:color w:val="auto"/>
          <w:sz w:val="24"/>
          <w:szCs w:val="24"/>
        </w:rPr>
        <w:t>评审。评标委员会根据招标文件，对通过初步评审的投标文件进行技术</w:t>
      </w:r>
      <w:r>
        <w:rPr>
          <w:rFonts w:hint="eastAsia" w:ascii="宋体" w:hAnsi="宋体" w:cs="宋体"/>
          <w:color w:val="auto"/>
          <w:sz w:val="24"/>
          <w:szCs w:val="24"/>
          <w:lang w:eastAsia="zh-CN"/>
        </w:rPr>
        <w:t>标</w:t>
      </w:r>
      <w:r>
        <w:rPr>
          <w:rFonts w:hint="eastAsia" w:ascii="宋体" w:hAnsi="宋体" w:eastAsia="宋体" w:cs="宋体"/>
          <w:color w:val="auto"/>
          <w:sz w:val="24"/>
          <w:szCs w:val="24"/>
        </w:rPr>
        <w:t>评审。</w:t>
      </w:r>
    </w:p>
    <w:p w14:paraId="73A4479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商务</w:t>
      </w:r>
      <w:r>
        <w:rPr>
          <w:rFonts w:hint="eastAsia" w:ascii="宋体" w:hAnsi="宋体" w:cs="宋体"/>
          <w:color w:val="auto"/>
          <w:sz w:val="24"/>
          <w:szCs w:val="24"/>
          <w:lang w:eastAsia="zh-CN"/>
        </w:rPr>
        <w:t>标</w:t>
      </w:r>
      <w:r>
        <w:rPr>
          <w:rFonts w:hint="eastAsia" w:ascii="宋体" w:hAnsi="宋体" w:eastAsia="宋体" w:cs="宋体"/>
          <w:color w:val="auto"/>
          <w:sz w:val="24"/>
          <w:szCs w:val="24"/>
        </w:rPr>
        <w:t>评审（详见</w:t>
      </w:r>
      <w:r>
        <w:rPr>
          <w:rFonts w:hint="eastAsia" w:ascii="宋体" w:hAnsi="宋体" w:cs="宋体"/>
          <w:color w:val="auto"/>
          <w:sz w:val="24"/>
          <w:szCs w:val="24"/>
          <w:lang w:eastAsia="zh-CN"/>
        </w:rPr>
        <w:t>本章</w:t>
      </w:r>
      <w:r>
        <w:rPr>
          <w:rFonts w:hint="eastAsia" w:ascii="宋体" w:hAnsi="宋体" w:eastAsia="宋体" w:cs="宋体"/>
          <w:color w:val="auto"/>
          <w:sz w:val="24"/>
          <w:szCs w:val="24"/>
        </w:rPr>
        <w:t>“四、评标</w:t>
      </w:r>
      <w:r>
        <w:rPr>
          <w:rFonts w:hint="eastAsia" w:ascii="宋体" w:hAnsi="宋体" w:cs="宋体"/>
          <w:color w:val="auto"/>
          <w:sz w:val="24"/>
          <w:szCs w:val="24"/>
          <w:lang w:eastAsia="zh-CN"/>
        </w:rPr>
        <w:t>方</w:t>
      </w:r>
      <w:r>
        <w:rPr>
          <w:rFonts w:hint="eastAsia" w:ascii="宋体" w:hAnsi="宋体" w:eastAsia="宋体" w:cs="宋体"/>
          <w:color w:val="auto"/>
          <w:sz w:val="24"/>
          <w:szCs w:val="24"/>
        </w:rPr>
        <w:t>法”）。</w:t>
      </w:r>
    </w:p>
    <w:p w14:paraId="66AAE363">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推荐中标候选人</w:t>
      </w:r>
      <w:r>
        <w:rPr>
          <w:rFonts w:hint="eastAsia" w:ascii="宋体" w:hAnsi="宋体" w:cs="宋体"/>
          <w:color w:val="auto"/>
          <w:sz w:val="24"/>
          <w:szCs w:val="24"/>
          <w:lang w:eastAsia="zh-CN"/>
        </w:rPr>
        <w:t>（并</w:t>
      </w:r>
      <w:r>
        <w:rPr>
          <w:rFonts w:hint="eastAsia" w:ascii="宋体" w:hAnsi="宋体" w:eastAsia="宋体" w:cs="宋体"/>
          <w:color w:val="auto"/>
          <w:sz w:val="24"/>
          <w:szCs w:val="24"/>
        </w:rPr>
        <w:t>确定中标人</w:t>
      </w:r>
      <w:r>
        <w:rPr>
          <w:rFonts w:hint="eastAsia" w:ascii="宋体" w:hAnsi="宋体" w:cs="宋体"/>
          <w:color w:val="auto"/>
          <w:sz w:val="24"/>
          <w:szCs w:val="24"/>
          <w:lang w:eastAsia="zh-CN"/>
        </w:rPr>
        <w:t>，招标人授权评标委员会确定中标人的情况）</w:t>
      </w:r>
    </w:p>
    <w:p w14:paraId="1C2CB49A">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整理评审</w:t>
      </w:r>
      <w:r>
        <w:rPr>
          <w:rFonts w:hint="eastAsia" w:ascii="宋体" w:hAnsi="宋体" w:cs="宋体"/>
          <w:color w:val="auto"/>
          <w:sz w:val="24"/>
          <w:szCs w:val="24"/>
          <w:lang w:eastAsia="zh-CN"/>
        </w:rPr>
        <w:t>结果</w:t>
      </w:r>
      <w:r>
        <w:rPr>
          <w:rFonts w:hint="eastAsia" w:ascii="宋体" w:hAnsi="宋体" w:eastAsia="宋体" w:cs="宋体"/>
          <w:color w:val="auto"/>
          <w:sz w:val="24"/>
          <w:szCs w:val="24"/>
        </w:rPr>
        <w:t>，编制评标报告并由评标委员会全体成员签字确认后，向招标人递交评标报告；</w:t>
      </w:r>
    </w:p>
    <w:p w14:paraId="020B371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评标结束。</w:t>
      </w:r>
    </w:p>
    <w:p w14:paraId="2BD51EC7">
      <w:pPr>
        <w:keepNext w:val="0"/>
        <w:keepLines w:val="0"/>
        <w:pageBreakBefore w:val="0"/>
        <w:widowControl w:val="0"/>
        <w:kinsoku/>
        <w:overflowPunct/>
        <w:topLinePunct w:val="0"/>
        <w:autoSpaceDE/>
        <w:autoSpaceDN/>
        <w:bidi w:val="0"/>
        <w:adjustRightInd/>
        <w:spacing w:beforeLines="0" w:afterLines="0" w:line="400" w:lineRule="exact"/>
        <w:ind w:firstLine="482" w:firstLineChars="200"/>
        <w:textAlignment w:val="auto"/>
        <w:outlineLvl w:val="2"/>
        <w:rPr>
          <w:rFonts w:hint="eastAsia" w:ascii="宋体" w:hAnsi="宋体" w:eastAsia="宋体" w:cs="宋体"/>
          <w:b/>
          <w:bCs w:val="0"/>
          <w:color w:val="auto"/>
          <w:sz w:val="24"/>
          <w:szCs w:val="24"/>
        </w:rPr>
      </w:pPr>
      <w:bookmarkStart w:id="605" w:name="_Toc32614"/>
      <w:r>
        <w:rPr>
          <w:rFonts w:hint="eastAsia" w:ascii="宋体" w:hAnsi="宋体" w:eastAsia="宋体" w:cs="宋体"/>
          <w:b/>
          <w:bCs w:val="0"/>
          <w:color w:val="auto"/>
          <w:sz w:val="24"/>
          <w:szCs w:val="24"/>
        </w:rPr>
        <w:t>（二）特殊情况的处置程序</w:t>
      </w:r>
      <w:bookmarkEnd w:id="605"/>
    </w:p>
    <w:p w14:paraId="227CB5A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关于评标活动暂停。</w:t>
      </w:r>
    </w:p>
    <w:p w14:paraId="19C2064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（1）评标委员会应当执行连续评标的原则，按评标办法中规定的程序、内容、方法、标准完成全部评标工作。发生不可抗力或出现导致评标工作无法继续的情况时，招标</w:t>
      </w:r>
      <w:r>
        <w:rPr>
          <w:rFonts w:hint="eastAsia" w:ascii="宋体" w:hAnsi="宋体" w:cs="宋体"/>
          <w:color w:val="auto"/>
          <w:sz w:val="24"/>
          <w:szCs w:val="24"/>
          <w:lang w:eastAsia="zh-CN"/>
        </w:rPr>
        <w:t>人</w:t>
      </w:r>
      <w:r>
        <w:rPr>
          <w:rFonts w:hint="eastAsia" w:ascii="宋体" w:hAnsi="宋体" w:eastAsia="宋体" w:cs="宋体"/>
          <w:color w:val="auto"/>
          <w:sz w:val="24"/>
          <w:szCs w:val="24"/>
        </w:rPr>
        <w:t>可以暂停评标活动。</w:t>
      </w:r>
    </w:p>
    <w:p w14:paraId="2DAF191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2）发生评标暂停情况时，评标委员会应当封存全部投标文件和评标记录，待影响结束且具备继续评标的条件时，由原评标委员会继续评标。</w:t>
      </w:r>
    </w:p>
    <w:p w14:paraId="15AEB58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关于评标中途更换评标委员会成员。</w:t>
      </w:r>
    </w:p>
    <w:p w14:paraId="4BBC00D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过程中，评标委员会成员无法胜任评标工作、有回避事由、擅离职守或者违反评标委员会工作纪律等原因不能继续评标的，应当及时更换，并由招标人按照招标文件规定的评标委员会成员产生方式确定替代者进行评标。被更换的评标委员会成员作出的评审结论无效，由更换后的评标委员会成员重新进行评审。</w:t>
      </w:r>
    </w:p>
    <w:p w14:paraId="347EEBD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1"/>
        <w:rPr>
          <w:rFonts w:hint="eastAsia" w:ascii="方正黑体_GBK" w:hAnsi="方正黑体_GBK" w:eastAsia="方正黑体_GBK" w:cs="方正黑体_GBK"/>
          <w:color w:val="auto"/>
          <w:sz w:val="24"/>
          <w:szCs w:val="24"/>
          <w:lang w:eastAsia="zh-CN"/>
        </w:rPr>
      </w:pPr>
      <w:bookmarkStart w:id="606" w:name="_Toc29744"/>
      <w:bookmarkStart w:id="607" w:name="_Toc23255"/>
      <w:r>
        <w:rPr>
          <w:rFonts w:hint="eastAsia" w:ascii="方正黑体_GBK" w:hAnsi="方正黑体_GBK" w:eastAsia="方正黑体_GBK" w:cs="方正黑体_GBK"/>
          <w:color w:val="auto"/>
          <w:sz w:val="24"/>
          <w:szCs w:val="24"/>
        </w:rPr>
        <w:t>三、评标委员会工作纪律</w:t>
      </w:r>
      <w:bookmarkEnd w:id="606"/>
      <w:bookmarkEnd w:id="607"/>
    </w:p>
    <w:p w14:paraId="2391EB2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08" w:name="_Toc1024898743"/>
      <w:r>
        <w:rPr>
          <w:rFonts w:hint="eastAsia" w:ascii="宋体" w:hAnsi="宋体" w:eastAsia="宋体" w:cs="宋体"/>
          <w:color w:val="auto"/>
          <w:sz w:val="24"/>
          <w:szCs w:val="24"/>
          <w:lang w:val="en-US" w:eastAsia="zh-CN"/>
        </w:rPr>
        <w:t>（一）评委应在指定的评标室参加评标，不得早退或委托他人。</w:t>
      </w:r>
      <w:bookmarkEnd w:id="608"/>
    </w:p>
    <w:p w14:paraId="1D38BAE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09" w:name="_Toc402166956"/>
      <w:r>
        <w:rPr>
          <w:rFonts w:hint="eastAsia" w:ascii="宋体" w:hAnsi="宋体" w:eastAsia="宋体" w:cs="宋体"/>
          <w:color w:val="auto"/>
          <w:sz w:val="24"/>
          <w:szCs w:val="24"/>
          <w:lang w:val="en-US" w:eastAsia="zh-CN"/>
        </w:rPr>
        <w:t>（二）</w:t>
      </w:r>
      <w:r>
        <w:rPr>
          <w:rFonts w:hint="eastAsia" w:ascii="宋体" w:hAnsi="宋体" w:cs="宋体"/>
          <w:color w:val="auto"/>
          <w:sz w:val="24"/>
          <w:szCs w:val="24"/>
          <w:lang w:val="en-US" w:eastAsia="zh-CN"/>
        </w:rPr>
        <w:t>评</w:t>
      </w:r>
      <w:r>
        <w:rPr>
          <w:rFonts w:hint="eastAsia" w:ascii="宋体" w:hAnsi="宋体" w:eastAsia="宋体" w:cs="宋体"/>
          <w:color w:val="auto"/>
          <w:sz w:val="24"/>
          <w:szCs w:val="24"/>
          <w:lang w:val="en-US" w:eastAsia="zh-CN"/>
        </w:rPr>
        <w:t>标活动应在严格保密的情况下进行，与评标工作无关的人员不得进入评标现场。</w:t>
      </w:r>
      <w:bookmarkEnd w:id="609"/>
    </w:p>
    <w:p w14:paraId="56B636E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0" w:name="_Toc224937772"/>
      <w:r>
        <w:rPr>
          <w:rFonts w:hint="eastAsia" w:ascii="宋体" w:hAnsi="宋体" w:eastAsia="宋体" w:cs="宋体"/>
          <w:color w:val="auto"/>
          <w:sz w:val="24"/>
          <w:szCs w:val="24"/>
          <w:lang w:val="en-US" w:eastAsia="zh-CN"/>
        </w:rPr>
        <w:t>（三）评委出席评标活动，应提交身份证明，依法接受有关行政监督人员的核验和监督。</w:t>
      </w:r>
      <w:bookmarkEnd w:id="610"/>
    </w:p>
    <w:p w14:paraId="113D107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1" w:name="_Toc415281334"/>
      <w:r>
        <w:rPr>
          <w:rFonts w:hint="eastAsia" w:ascii="宋体" w:hAnsi="宋体" w:eastAsia="宋体" w:cs="宋体"/>
          <w:color w:val="auto"/>
          <w:sz w:val="24"/>
          <w:szCs w:val="24"/>
          <w:lang w:val="en-US" w:eastAsia="zh-CN"/>
        </w:rPr>
        <w:t>（四）评委在评标过程中，应遵守职业道德</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认真履行职责，严格按国家法律、法规和招标文件的规定，遵循公平、公正、科学、择优的原则，客观独立地对每份投标文件进行评审，提出评审意见并承担个人责任。不得向招标人或招标代理机构询问中意的投标人。</w:t>
      </w:r>
      <w:bookmarkEnd w:id="611"/>
    </w:p>
    <w:p w14:paraId="2DCAFA1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2" w:name="_Toc1715680225"/>
      <w:r>
        <w:rPr>
          <w:rFonts w:hint="eastAsia" w:ascii="宋体" w:hAnsi="宋体" w:eastAsia="宋体" w:cs="宋体"/>
          <w:color w:val="auto"/>
          <w:sz w:val="24"/>
          <w:szCs w:val="24"/>
          <w:lang w:val="en-US" w:eastAsia="zh-CN"/>
        </w:rPr>
        <w:t>（五）招标文件中没有规定的标准和方法不得作为评标的依据，规定的标准和方法违反法律法规的也不得作为评标的依据。</w:t>
      </w:r>
      <w:bookmarkEnd w:id="612"/>
    </w:p>
    <w:p w14:paraId="384BEDE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3" w:name="_Toc277655365"/>
      <w:r>
        <w:rPr>
          <w:rFonts w:hint="eastAsia" w:ascii="宋体" w:hAnsi="宋体" w:eastAsia="宋体" w:cs="宋体"/>
          <w:color w:val="auto"/>
          <w:sz w:val="24"/>
          <w:szCs w:val="24"/>
          <w:lang w:val="en-US" w:eastAsia="zh-CN"/>
        </w:rPr>
        <w:t>（六）参与评标的评委等有关工作人员，应在指定位置入座。严格遵守保密原则，不得复印或带走与评标内容有关的资料，不向外透露与评标有关的情况。</w:t>
      </w:r>
      <w:bookmarkEnd w:id="613"/>
    </w:p>
    <w:p w14:paraId="5DF8F90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4" w:name="_Toc1168154340"/>
      <w:r>
        <w:rPr>
          <w:rFonts w:hint="eastAsia" w:ascii="宋体" w:hAnsi="宋体" w:eastAsia="宋体" w:cs="宋体"/>
          <w:color w:val="auto"/>
          <w:sz w:val="24"/>
          <w:szCs w:val="24"/>
          <w:lang w:val="en-US" w:eastAsia="zh-CN"/>
        </w:rPr>
        <w:t>（七）评标活动依法进行，任何单位和个人不得非法干预或者影响评标过程和结果。招标人或招标代理机构在介绍招标项目情况时、招标人代表在评标时，不得以任何方式推荐投标人。</w:t>
      </w:r>
      <w:bookmarkEnd w:id="614"/>
    </w:p>
    <w:p w14:paraId="55D5D95A">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5" w:name="_Toc690393566"/>
      <w:r>
        <w:rPr>
          <w:rFonts w:hint="eastAsia" w:ascii="宋体" w:hAnsi="宋体" w:eastAsia="宋体" w:cs="宋体"/>
          <w:color w:val="auto"/>
          <w:sz w:val="24"/>
          <w:szCs w:val="24"/>
          <w:lang w:val="en-US" w:eastAsia="zh-CN"/>
        </w:rPr>
        <w:t>（八）评委不得串通，不得发表带有歧视性、倾向性、诱导性的言论，不得将个人成见带入评标过程。发现授意、暗示等各种违法、违规行为，要自觉抵制并及时向行政监督部门举报。</w:t>
      </w:r>
      <w:bookmarkEnd w:id="615"/>
    </w:p>
    <w:p w14:paraId="182D124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6" w:name="_Toc336859921"/>
      <w:r>
        <w:rPr>
          <w:rFonts w:hint="eastAsia" w:ascii="宋体" w:hAnsi="宋体" w:eastAsia="宋体" w:cs="宋体"/>
          <w:color w:val="auto"/>
          <w:sz w:val="24"/>
          <w:szCs w:val="24"/>
          <w:lang w:val="en-US" w:eastAsia="zh-CN"/>
        </w:rPr>
        <w:t>（九）评标报告由评标委员会全体成员签字。对评标结论持有异议的评委，可以书面方式阐述自己的不同意见和理由。评委拒绝在评标报告上签字且不陈述其不同意见和理由的，视为同意评标结论。评标委员会应对此做出书面说明并记录在案。</w:t>
      </w:r>
      <w:bookmarkEnd w:id="616"/>
    </w:p>
    <w:p w14:paraId="2207DD6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7" w:name="_Toc10174453"/>
      <w:r>
        <w:rPr>
          <w:rFonts w:hint="eastAsia" w:ascii="宋体" w:hAnsi="宋体" w:eastAsia="宋体" w:cs="宋体"/>
          <w:color w:val="auto"/>
          <w:sz w:val="24"/>
          <w:szCs w:val="24"/>
          <w:lang w:val="en-US" w:eastAsia="zh-CN"/>
        </w:rPr>
        <w:t>（十）评委如有特殊情况，需与外界联系或暂离、离开评标现场的，应及时通知招标人或招标代理机构以及行政监督部门。</w:t>
      </w:r>
      <w:bookmarkEnd w:id="617"/>
    </w:p>
    <w:p w14:paraId="6A11931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8" w:name="_Toc554473883"/>
      <w:r>
        <w:rPr>
          <w:rFonts w:hint="eastAsia" w:ascii="宋体" w:hAnsi="宋体" w:eastAsia="宋体" w:cs="宋体"/>
          <w:color w:val="auto"/>
          <w:sz w:val="24"/>
          <w:szCs w:val="24"/>
          <w:lang w:val="en-US" w:eastAsia="zh-CN"/>
        </w:rPr>
        <w:t>（十一）评标活动结束后，评委和有关工作人员方可离开评标现场。</w:t>
      </w:r>
      <w:bookmarkEnd w:id="618"/>
    </w:p>
    <w:p w14:paraId="65DAC67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9" w:name="_Toc1182807738"/>
      <w:r>
        <w:rPr>
          <w:rFonts w:hint="eastAsia" w:ascii="宋体" w:hAnsi="宋体" w:eastAsia="宋体" w:cs="宋体"/>
          <w:color w:val="auto"/>
          <w:sz w:val="24"/>
          <w:szCs w:val="24"/>
          <w:lang w:val="en-US" w:eastAsia="zh-CN"/>
        </w:rPr>
        <w:t>（十二）具有下列情形之一的，评标专家应主动回避；</w:t>
      </w:r>
      <w:bookmarkEnd w:id="619"/>
    </w:p>
    <w:p w14:paraId="6B9EC86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0" w:name="_Toc1644237283"/>
      <w:r>
        <w:rPr>
          <w:rFonts w:hint="eastAsia" w:ascii="宋体" w:hAnsi="宋体" w:eastAsia="宋体" w:cs="宋体"/>
          <w:color w:val="auto"/>
          <w:sz w:val="24"/>
          <w:szCs w:val="24"/>
          <w:lang w:val="en-US" w:eastAsia="zh-CN"/>
        </w:rPr>
        <w:t>（1）投标人或者投标人主要负责人的近亲属；</w:t>
      </w:r>
      <w:bookmarkEnd w:id="620"/>
    </w:p>
    <w:p w14:paraId="071F0B9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1" w:name="_Toc275771494"/>
      <w:r>
        <w:rPr>
          <w:rFonts w:hint="eastAsia" w:ascii="宋体" w:hAnsi="宋体" w:eastAsia="宋体" w:cs="宋体"/>
          <w:color w:val="auto"/>
          <w:sz w:val="24"/>
          <w:szCs w:val="24"/>
          <w:lang w:val="en-US" w:eastAsia="zh-CN"/>
        </w:rPr>
        <w:t>（2）项目主管部门或者行政监督部门的人员；</w:t>
      </w:r>
      <w:bookmarkEnd w:id="621"/>
    </w:p>
    <w:p w14:paraId="5EE33EE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2" w:name="_Toc1484577110"/>
      <w:r>
        <w:rPr>
          <w:rFonts w:hint="eastAsia" w:ascii="宋体" w:hAnsi="宋体" w:eastAsia="宋体" w:cs="宋体"/>
          <w:color w:val="auto"/>
          <w:sz w:val="24"/>
          <w:szCs w:val="24"/>
          <w:lang w:val="en-US" w:eastAsia="zh-CN"/>
        </w:rPr>
        <w:t>（3）与投标人有经济利益关系，可能影响对投标公正评审的；</w:t>
      </w:r>
      <w:bookmarkEnd w:id="622"/>
    </w:p>
    <w:p w14:paraId="28A7F2C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3" w:name="_Toc1968945255"/>
      <w:r>
        <w:rPr>
          <w:rFonts w:hint="eastAsia" w:ascii="宋体" w:hAnsi="宋体" w:eastAsia="宋体" w:cs="宋体"/>
          <w:color w:val="auto"/>
          <w:sz w:val="24"/>
          <w:szCs w:val="24"/>
          <w:lang w:val="en-US" w:eastAsia="zh-CN"/>
        </w:rPr>
        <w:t>（4）曾因在招标、评标以及其他与招标投标有关活动中从事违法行为而受过行政处罚或刑事处罚的。</w:t>
      </w:r>
      <w:bookmarkEnd w:id="623"/>
    </w:p>
    <w:p w14:paraId="5B88367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4" w:name="_Toc845732879"/>
      <w:r>
        <w:rPr>
          <w:rFonts w:hint="eastAsia" w:ascii="宋体" w:hAnsi="宋体" w:eastAsia="宋体" w:cs="宋体"/>
          <w:color w:val="auto"/>
          <w:sz w:val="24"/>
          <w:szCs w:val="24"/>
          <w:lang w:val="en-US" w:eastAsia="zh-CN"/>
        </w:rPr>
        <w:t>（5）可能影响评标公正性的其他情形。</w:t>
      </w:r>
      <w:bookmarkEnd w:id="624"/>
    </w:p>
    <w:p w14:paraId="061260E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5" w:name="_Toc409267672"/>
      <w:r>
        <w:rPr>
          <w:rFonts w:hint="eastAsia" w:ascii="宋体" w:hAnsi="宋体" w:eastAsia="宋体" w:cs="宋体"/>
          <w:color w:val="auto"/>
          <w:sz w:val="24"/>
          <w:szCs w:val="24"/>
          <w:lang w:val="en-US" w:eastAsia="zh-CN"/>
        </w:rPr>
        <w:t>评标专家未主动回避的，行政监督部门有权要求评标专家回避。</w:t>
      </w:r>
      <w:bookmarkEnd w:id="625"/>
    </w:p>
    <w:p w14:paraId="38C9401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6" w:name="_Toc105626884"/>
      <w:r>
        <w:rPr>
          <w:rFonts w:hint="eastAsia" w:ascii="宋体" w:hAnsi="宋体" w:eastAsia="宋体" w:cs="宋体"/>
          <w:color w:val="auto"/>
          <w:sz w:val="24"/>
          <w:szCs w:val="24"/>
          <w:lang w:val="en-US" w:eastAsia="zh-CN"/>
        </w:rPr>
        <w:t>（十三）行政监督部门现场监督人员应及时制止评标过程中出现的违法违规现象，评委及有关工作人员应自觉抵制并坚决反对各种违法违规行为。评委及有关工作人员有违法违规行为的，按有关法律法规和规章进行处理。对造成不良影响或严重后果的，属党员或行政监察对象的，将依法提请纪检监察机关予以查处。</w:t>
      </w:r>
      <w:bookmarkEnd w:id="626"/>
    </w:p>
    <w:p w14:paraId="60158BF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rPr>
      </w:pPr>
      <w:bookmarkStart w:id="627" w:name="_Toc575278462"/>
      <w:r>
        <w:rPr>
          <w:rFonts w:hint="eastAsia" w:ascii="宋体" w:hAnsi="宋体" w:eastAsia="宋体" w:cs="宋体"/>
          <w:color w:val="auto"/>
          <w:sz w:val="24"/>
          <w:szCs w:val="24"/>
          <w:lang w:val="en-US" w:eastAsia="zh-CN"/>
        </w:rPr>
        <w:t>（十四）由于评委个人的违法、违规行为给有关单位造成经济损失的，相关评委应当承担经济赔偿责任；构成犯罪的，将移送司法机关追究刑事责任。</w:t>
      </w:r>
      <w:bookmarkEnd w:id="627"/>
    </w:p>
    <w:p w14:paraId="09A3FAF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1"/>
        <w:rPr>
          <w:rFonts w:hint="eastAsia" w:ascii="方正黑体_GBK" w:hAnsi="方正黑体_GBK" w:eastAsia="方正黑体_GBK" w:cs="方正黑体_GBK"/>
          <w:color w:val="auto"/>
          <w:sz w:val="24"/>
          <w:szCs w:val="24"/>
          <w:lang w:eastAsia="zh-CN"/>
        </w:rPr>
      </w:pPr>
      <w:bookmarkStart w:id="628" w:name="_Toc9198"/>
      <w:bookmarkStart w:id="629" w:name="_Toc7656"/>
      <w:r>
        <w:rPr>
          <w:rFonts w:hint="eastAsia" w:ascii="方正黑体_GBK" w:hAnsi="方正黑体_GBK" w:eastAsia="方正黑体_GBK" w:cs="方正黑体_GBK"/>
          <w:color w:val="auto"/>
          <w:sz w:val="24"/>
          <w:szCs w:val="24"/>
        </w:rPr>
        <w:t>四、评标</w:t>
      </w:r>
      <w:bookmarkEnd w:id="628"/>
      <w:r>
        <w:rPr>
          <w:rFonts w:hint="eastAsia" w:ascii="方正黑体_GBK" w:hAnsi="方正黑体_GBK" w:eastAsia="方正黑体_GBK" w:cs="方正黑体_GBK"/>
          <w:color w:val="auto"/>
          <w:sz w:val="24"/>
          <w:szCs w:val="24"/>
          <w:lang w:eastAsia="zh-CN"/>
        </w:rPr>
        <w:t>方法</w:t>
      </w:r>
      <w:bookmarkEnd w:id="629"/>
    </w:p>
    <w:p w14:paraId="73C3360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可采用综合评估法</w:t>
      </w:r>
      <w:r>
        <w:rPr>
          <w:rFonts w:hint="eastAsia" w:ascii="宋体" w:hAnsi="宋体" w:cs="宋体"/>
          <w:color w:val="auto"/>
          <w:sz w:val="24"/>
          <w:szCs w:val="24"/>
          <w:lang w:eastAsia="zh-CN"/>
        </w:rPr>
        <w:t>和</w:t>
      </w:r>
      <w:r>
        <w:rPr>
          <w:rFonts w:hint="eastAsia" w:ascii="宋体" w:hAnsi="宋体" w:eastAsia="宋体" w:cs="宋体"/>
          <w:color w:val="auto"/>
          <w:sz w:val="24"/>
          <w:szCs w:val="24"/>
        </w:rPr>
        <w:t>经评审的最低投标价法</w:t>
      </w:r>
      <w:r>
        <w:rPr>
          <w:rFonts w:hint="eastAsia" w:ascii="宋体" w:hAnsi="宋体" w:eastAsia="宋体" w:cs="宋体"/>
          <w:color w:val="auto"/>
          <w:sz w:val="24"/>
          <w:szCs w:val="24"/>
          <w:lang w:eastAsia="zh-CN"/>
        </w:rPr>
        <w:t>两</w:t>
      </w:r>
      <w:r>
        <w:rPr>
          <w:rFonts w:hint="eastAsia" w:ascii="宋体" w:hAnsi="宋体" w:eastAsia="宋体" w:cs="宋体"/>
          <w:color w:val="auto"/>
          <w:sz w:val="24"/>
          <w:szCs w:val="24"/>
        </w:rPr>
        <w:t>种办法。</w:t>
      </w:r>
    </w:p>
    <w:p w14:paraId="5DB7C72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w:t>
      </w:r>
      <w:r>
        <w:rPr>
          <w:rFonts w:hint="eastAsia" w:ascii="宋体" w:hAnsi="宋体" w:cs="宋体"/>
          <w:color w:val="auto"/>
          <w:sz w:val="24"/>
          <w:szCs w:val="24"/>
          <w:lang w:eastAsia="zh-CN"/>
        </w:rPr>
        <w:t>方法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）为综合评估法。评标</w:t>
      </w:r>
      <w:r>
        <w:rPr>
          <w:rFonts w:hint="eastAsia" w:ascii="宋体" w:hAnsi="宋体" w:cs="宋体"/>
          <w:color w:val="auto"/>
          <w:sz w:val="24"/>
          <w:szCs w:val="24"/>
          <w:lang w:eastAsia="zh-CN"/>
        </w:rPr>
        <w:t>方法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）为经评审的最低投标价法</w:t>
      </w:r>
      <w:r>
        <w:rPr>
          <w:rFonts w:hint="eastAsia" w:ascii="宋体" w:hAnsi="宋体" w:cs="宋体"/>
          <w:color w:val="auto"/>
          <w:sz w:val="24"/>
          <w:szCs w:val="24"/>
          <w:lang w:eastAsia="zh-CN"/>
        </w:rPr>
        <w:t>，</w:t>
      </w:r>
      <w:r>
        <w:rPr>
          <w:rFonts w:hint="eastAsia" w:ascii="宋体" w:hAnsi="宋体" w:eastAsia="宋体" w:cs="宋体"/>
          <w:color w:val="auto"/>
          <w:sz w:val="24"/>
          <w:szCs w:val="24"/>
        </w:rPr>
        <w:t>适用于具有通用技术、性能标准或者招标人对其技术、性能标准没有特殊要求的招标项目。</w:t>
      </w:r>
    </w:p>
    <w:p w14:paraId="57A8B7D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方正楷体_GBK" w:hAnsi="方正楷体_GBK" w:eastAsia="方正楷体_GBK" w:cs="方正楷体_GBK"/>
          <w:bCs/>
          <w:color w:val="auto"/>
          <w:sz w:val="24"/>
          <w:szCs w:val="24"/>
        </w:rPr>
      </w:pPr>
      <w:r>
        <w:rPr>
          <w:rFonts w:hint="eastAsia" w:ascii="宋体" w:hAnsi="宋体" w:eastAsia="宋体" w:cs="宋体"/>
          <w:color w:val="auto"/>
          <w:sz w:val="24"/>
          <w:szCs w:val="24"/>
        </w:rPr>
        <w:t>招标人可以根据工程项目实际需要及适用条件，确定一种评标</w:t>
      </w:r>
      <w:r>
        <w:rPr>
          <w:rFonts w:hint="eastAsia" w:ascii="宋体" w:hAnsi="宋体" w:cs="宋体"/>
          <w:color w:val="auto"/>
          <w:sz w:val="24"/>
          <w:szCs w:val="24"/>
          <w:lang w:eastAsia="zh-CN"/>
        </w:rPr>
        <w:t>方法</w:t>
      </w:r>
      <w:r>
        <w:rPr>
          <w:rFonts w:hint="eastAsia" w:ascii="宋体" w:hAnsi="宋体" w:eastAsia="宋体" w:cs="宋体"/>
          <w:color w:val="auto"/>
          <w:sz w:val="24"/>
          <w:szCs w:val="24"/>
        </w:rPr>
        <w:t>。</w:t>
      </w:r>
    </w:p>
    <w:p w14:paraId="42D8E6C2">
      <w:pPr>
        <w:keepNext w:val="0"/>
        <w:keepLines w:val="0"/>
        <w:pageBreakBefore w:val="0"/>
        <w:widowControl w:val="0"/>
        <w:kinsoku/>
        <w:overflowPunct/>
        <w:topLinePunct w:val="0"/>
        <w:autoSpaceDE/>
        <w:autoSpaceDN/>
        <w:bidi w:val="0"/>
        <w:adjustRightInd/>
        <w:spacing w:beforeLines="0" w:afterLines="0" w:line="4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本项目采用评标方法（一）综合评估法。</w:t>
      </w:r>
    </w:p>
    <w:p w14:paraId="6F15553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2"/>
        <w:rPr>
          <w:rFonts w:hint="eastAsia" w:ascii="方正楷体_GBK" w:hAnsi="方正楷体_GBK" w:eastAsia="方正楷体_GBK" w:cs="方正楷体_GBK"/>
          <w:bCs/>
          <w:color w:val="auto"/>
          <w:sz w:val="24"/>
          <w:szCs w:val="24"/>
        </w:rPr>
      </w:pPr>
      <w:bookmarkStart w:id="630" w:name="_Toc21694"/>
      <w:r>
        <w:rPr>
          <w:rFonts w:hint="eastAsia" w:ascii="方正楷体_GBK" w:hAnsi="方正楷体_GBK" w:eastAsia="方正楷体_GBK" w:cs="方正楷体_GBK"/>
          <w:bCs/>
          <w:color w:val="auto"/>
          <w:sz w:val="24"/>
          <w:szCs w:val="24"/>
        </w:rPr>
        <w:t>（</w:t>
      </w:r>
      <w:r>
        <w:rPr>
          <w:rFonts w:hint="eastAsia" w:ascii="方正楷体_GBK" w:hAnsi="方正楷体_GBK" w:eastAsia="方正楷体_GBK" w:cs="方正楷体_GBK"/>
          <w:bCs/>
          <w:color w:val="auto"/>
          <w:sz w:val="24"/>
          <w:szCs w:val="24"/>
          <w:lang w:eastAsia="zh-CN"/>
        </w:rPr>
        <w:t>一</w:t>
      </w:r>
      <w:r>
        <w:rPr>
          <w:rFonts w:hint="eastAsia" w:ascii="方正楷体_GBK" w:hAnsi="方正楷体_GBK" w:eastAsia="方正楷体_GBK" w:cs="方正楷体_GBK"/>
          <w:bCs/>
          <w:color w:val="auto"/>
          <w:sz w:val="24"/>
          <w:szCs w:val="24"/>
        </w:rPr>
        <w:t>）综合评估法</w:t>
      </w:r>
      <w:bookmarkEnd w:id="630"/>
    </w:p>
    <w:p w14:paraId="09CA83D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评分方法和评分原则</w:t>
      </w:r>
    </w:p>
    <w:p w14:paraId="5075661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（1）评分方法。</w:t>
      </w:r>
    </w:p>
    <w:p w14:paraId="041C736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①技术标、商务标</w:t>
      </w:r>
      <w:r>
        <w:rPr>
          <w:rFonts w:hint="eastAsia" w:ascii="宋体" w:hAnsi="宋体" w:cs="宋体"/>
          <w:color w:val="auto"/>
          <w:sz w:val="24"/>
          <w:szCs w:val="24"/>
          <w:lang w:eastAsia="zh-CN"/>
        </w:rPr>
        <w:t>及信用部分分别</w:t>
      </w:r>
      <w:r>
        <w:rPr>
          <w:rFonts w:hint="eastAsia" w:ascii="宋体" w:hAnsi="宋体" w:eastAsia="宋体" w:cs="宋体"/>
          <w:color w:val="auto"/>
          <w:sz w:val="24"/>
          <w:szCs w:val="24"/>
        </w:rPr>
        <w:t>按百分制</w:t>
      </w:r>
      <w:r>
        <w:rPr>
          <w:rFonts w:hint="eastAsia" w:ascii="宋体" w:hAnsi="宋体" w:cs="宋体"/>
          <w:color w:val="auto"/>
          <w:sz w:val="24"/>
          <w:szCs w:val="24"/>
          <w:lang w:eastAsia="zh-CN"/>
        </w:rPr>
        <w:t>计分</w:t>
      </w:r>
      <w:r>
        <w:rPr>
          <w:rFonts w:hint="eastAsia" w:ascii="宋体" w:hAnsi="宋体" w:eastAsia="宋体" w:cs="宋体"/>
          <w:color w:val="auto"/>
          <w:sz w:val="24"/>
          <w:szCs w:val="24"/>
        </w:rPr>
        <w:t>。</w:t>
      </w:r>
    </w:p>
    <w:p w14:paraId="5B8F943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②技术标、商务标</w:t>
      </w:r>
      <w:r>
        <w:rPr>
          <w:rFonts w:hint="eastAsia" w:ascii="宋体" w:hAnsi="宋体" w:cs="宋体"/>
          <w:color w:val="auto"/>
          <w:sz w:val="24"/>
          <w:szCs w:val="24"/>
          <w:lang w:eastAsia="zh-CN"/>
        </w:rPr>
        <w:t>及信用部分</w:t>
      </w:r>
      <w:r>
        <w:rPr>
          <w:rFonts w:hint="eastAsia" w:ascii="宋体" w:hAnsi="宋体" w:eastAsia="宋体" w:cs="宋体"/>
          <w:color w:val="auto"/>
          <w:sz w:val="24"/>
          <w:szCs w:val="24"/>
        </w:rPr>
        <w:t>评审后，按下式计算总</w:t>
      </w:r>
      <w:r>
        <w:rPr>
          <w:rFonts w:hint="eastAsia" w:ascii="宋体" w:hAnsi="宋体" w:cs="宋体"/>
          <w:color w:val="auto"/>
          <w:sz w:val="24"/>
          <w:szCs w:val="24"/>
          <w:lang w:eastAsia="zh-CN"/>
        </w:rPr>
        <w:t>得</w:t>
      </w:r>
      <w:r>
        <w:rPr>
          <w:rFonts w:hint="eastAsia" w:ascii="宋体" w:hAnsi="宋体" w:eastAsia="宋体" w:cs="宋体"/>
          <w:color w:val="auto"/>
          <w:sz w:val="24"/>
          <w:szCs w:val="24"/>
        </w:rPr>
        <w:t>分：</w:t>
      </w:r>
    </w:p>
    <w:p w14:paraId="1C841FF3">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p=k1p1+k2p2+k3p3；</w:t>
      </w:r>
    </w:p>
    <w:p w14:paraId="78E752D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p为总得分；</w:t>
      </w:r>
    </w:p>
    <w:p w14:paraId="7722477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p1为技术标得分，p2为商务标得分，p3为信用</w:t>
      </w:r>
      <w:r>
        <w:rPr>
          <w:rFonts w:hint="eastAsia" w:ascii="宋体" w:hAnsi="宋体" w:cs="宋体"/>
          <w:color w:val="auto"/>
          <w:sz w:val="24"/>
          <w:szCs w:val="24"/>
          <w:lang w:eastAsia="zh-CN"/>
        </w:rPr>
        <w:t>部分</w:t>
      </w:r>
      <w:r>
        <w:rPr>
          <w:rFonts w:hint="eastAsia" w:ascii="宋体" w:hAnsi="宋体" w:eastAsia="宋体" w:cs="宋体"/>
          <w:color w:val="auto"/>
          <w:sz w:val="24"/>
          <w:szCs w:val="24"/>
        </w:rPr>
        <w:t>得分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p3在投标截止当日通过河北省招标投标公共服务平台获取开标当天的信用部分得分。联合体投标的，获取承担施工工作的联合体成员的信用分</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p>
    <w:p w14:paraId="3C349333">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k1、k2、k3为对应的权数取值，k1+k2+k3=1，20%≤k1≤</w:t>
      </w:r>
      <w:r>
        <w:rPr>
          <w:rFonts w:hint="eastAsia" w:ascii="宋体" w:hAnsi="宋体" w:eastAsia="宋体" w:cs="宋体"/>
          <w:color w:val="auto"/>
          <w:sz w:val="24"/>
          <w:szCs w:val="24"/>
          <w:lang w:val="en-US" w:eastAsia="zh-CN"/>
        </w:rPr>
        <w:t>55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%≤k2≤</w:t>
      </w:r>
      <w:r>
        <w:rPr>
          <w:rFonts w:hint="eastAsia" w:ascii="宋体" w:hAnsi="宋体" w:eastAsia="宋体" w:cs="宋体"/>
          <w:color w:val="auto"/>
          <w:sz w:val="24"/>
          <w:szCs w:val="24"/>
          <w:lang w:val="en-US" w:eastAsia="zh-CN"/>
        </w:rPr>
        <w:t>80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≤k3≤10%。</w:t>
      </w:r>
      <w:r>
        <w:rPr>
          <w:rFonts w:hint="eastAsia" w:ascii="宋体" w:hAnsi="宋体" w:cs="宋体"/>
          <w:i w:val="0"/>
          <w:iCs w:val="0"/>
          <w:color w:val="auto"/>
          <w:sz w:val="24"/>
          <w:szCs w:val="24"/>
          <w:lang w:eastAsia="zh-CN"/>
        </w:rPr>
        <w:t>（</w:t>
      </w:r>
      <w:r>
        <w:rPr>
          <w:rFonts w:hint="eastAsia" w:ascii="宋体" w:hAnsi="宋体" w:cs="宋体"/>
          <w:i w:val="0"/>
          <w:iCs w:val="0"/>
          <w:color w:val="auto"/>
          <w:sz w:val="24"/>
          <w:szCs w:val="24"/>
          <w:lang w:val="en-US" w:eastAsia="zh-CN"/>
        </w:rPr>
        <w:t>k3取值应遵照《河北省建筑施工企业信用评价管理办法》的相关规定）</w:t>
      </w:r>
    </w:p>
    <w:p w14:paraId="264E61E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③商务标由</w:t>
      </w:r>
      <w:r>
        <w:rPr>
          <w:rFonts w:hint="eastAsia" w:ascii="宋体" w:hAnsi="宋体" w:cs="宋体"/>
          <w:color w:val="auto"/>
          <w:sz w:val="24"/>
          <w:szCs w:val="24"/>
          <w:lang w:eastAsia="zh-CN"/>
        </w:rPr>
        <w:t>资信</w:t>
      </w:r>
      <w:r>
        <w:rPr>
          <w:rFonts w:hint="eastAsia" w:ascii="宋体" w:hAnsi="宋体" w:eastAsia="宋体" w:cs="宋体"/>
          <w:color w:val="auto"/>
          <w:sz w:val="24"/>
          <w:szCs w:val="24"/>
          <w:lang w:eastAsia="zh-CN"/>
        </w:rPr>
        <w:t>部分得分和投标报价得分两部分组成。</w:t>
      </w:r>
      <w:r>
        <w:rPr>
          <w:rFonts w:hint="eastAsia" w:ascii="宋体" w:hAnsi="宋体" w:cs="宋体"/>
          <w:color w:val="auto"/>
          <w:sz w:val="24"/>
          <w:szCs w:val="24"/>
          <w:lang w:eastAsia="zh-CN"/>
        </w:rPr>
        <w:t>资信</w:t>
      </w:r>
      <w:r>
        <w:rPr>
          <w:rFonts w:hint="eastAsia" w:ascii="宋体" w:hAnsi="宋体" w:eastAsia="宋体" w:cs="宋体"/>
          <w:color w:val="auto"/>
          <w:sz w:val="24"/>
          <w:szCs w:val="24"/>
          <w:lang w:eastAsia="zh-CN"/>
        </w:rPr>
        <w:t>、投标报价评分标准按百分制。按下式计算商务标</w:t>
      </w:r>
      <w:r>
        <w:rPr>
          <w:rFonts w:hint="eastAsia" w:ascii="宋体" w:hAnsi="宋体" w:cs="宋体"/>
          <w:color w:val="auto"/>
          <w:sz w:val="24"/>
          <w:szCs w:val="24"/>
          <w:lang w:eastAsia="zh-CN"/>
        </w:rPr>
        <w:t>得</w:t>
      </w:r>
      <w:r>
        <w:rPr>
          <w:rFonts w:hint="eastAsia" w:ascii="宋体" w:hAnsi="宋体" w:eastAsia="宋体" w:cs="宋体"/>
          <w:color w:val="auto"/>
          <w:sz w:val="24"/>
          <w:szCs w:val="24"/>
          <w:lang w:eastAsia="zh-CN"/>
        </w:rPr>
        <w:t>分：</w:t>
      </w:r>
    </w:p>
    <w:p w14:paraId="63F0FB0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p2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p</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p</w:t>
      </w:r>
      <w:r>
        <w:rPr>
          <w:rFonts w:hint="eastAsia" w:ascii="宋体" w:hAnsi="宋体" w:eastAsia="宋体" w:cs="宋体"/>
          <w:color w:val="auto"/>
          <w:sz w:val="24"/>
          <w:szCs w:val="24"/>
          <w:lang w:val="en-US" w:eastAsia="zh-CN"/>
        </w:rPr>
        <w:t>5；</w:t>
      </w:r>
    </w:p>
    <w:p w14:paraId="0EEB35E3">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p</w:t>
      </w:r>
      <w:r>
        <w:rPr>
          <w:rFonts w:hint="eastAsia" w:ascii="宋体" w:hAnsi="宋体" w:eastAsia="宋体" w:cs="宋体"/>
          <w:color w:val="auto"/>
          <w:sz w:val="24"/>
          <w:szCs w:val="24"/>
          <w:lang w:val="en-US" w:eastAsia="zh-CN"/>
        </w:rPr>
        <w:t>4为</w:t>
      </w:r>
      <w:r>
        <w:rPr>
          <w:rFonts w:hint="eastAsia" w:ascii="宋体" w:hAnsi="宋体" w:cs="宋体"/>
          <w:color w:val="auto"/>
          <w:sz w:val="24"/>
          <w:szCs w:val="24"/>
          <w:lang w:val="en-US" w:eastAsia="zh-CN"/>
        </w:rPr>
        <w:t>资信</w:t>
      </w:r>
      <w:r>
        <w:rPr>
          <w:rFonts w:hint="eastAsia" w:ascii="宋体" w:hAnsi="宋体" w:eastAsia="宋体" w:cs="宋体"/>
          <w:color w:val="auto"/>
          <w:sz w:val="24"/>
          <w:szCs w:val="24"/>
          <w:lang w:val="en-US" w:eastAsia="zh-CN"/>
        </w:rPr>
        <w:t>得分，</w:t>
      </w:r>
      <w:r>
        <w:rPr>
          <w:rFonts w:hint="eastAsia" w:ascii="宋体" w:hAnsi="宋体" w:eastAsia="宋体" w:cs="宋体"/>
          <w:color w:val="auto"/>
          <w:sz w:val="24"/>
          <w:szCs w:val="24"/>
        </w:rPr>
        <w:t>p</w:t>
      </w:r>
      <w:r>
        <w:rPr>
          <w:rFonts w:hint="eastAsia" w:ascii="宋体" w:hAnsi="宋体" w:eastAsia="宋体" w:cs="宋体"/>
          <w:color w:val="auto"/>
          <w:sz w:val="24"/>
          <w:szCs w:val="24"/>
          <w:lang w:val="en-US" w:eastAsia="zh-CN"/>
        </w:rPr>
        <w:t>5为投标报价得分；</w:t>
      </w:r>
    </w:p>
    <w:p w14:paraId="7B21764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为对应的权数取值，k</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80</w:t>
      </w: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90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60385B0A">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（2）评分原则。</w:t>
      </w:r>
    </w:p>
    <w:p w14:paraId="4B3C004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①评标必须严格按本办法进行；</w:t>
      </w:r>
    </w:p>
    <w:p w14:paraId="3D74623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②评分计算保留2位小数（百分比亦取2位小数），第三位小数四舍五入；</w:t>
      </w:r>
    </w:p>
    <w:p w14:paraId="23430C6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③评分计算出现中间值，按插入法计算得分；</w:t>
      </w:r>
    </w:p>
    <w:p w14:paraId="2477BAB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④有下列情况之一为无效分，该单项评分视为弃权：</w:t>
      </w:r>
    </w:p>
    <w:p w14:paraId="184BFD83">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评</w:t>
      </w:r>
      <w:r>
        <w:rPr>
          <w:rFonts w:hint="eastAsia" w:ascii="宋体" w:hAnsi="宋体" w:eastAsia="宋体" w:cs="宋体"/>
          <w:color w:val="auto"/>
          <w:sz w:val="24"/>
          <w:szCs w:val="24"/>
        </w:rPr>
        <w:t>分</w:t>
      </w:r>
      <w:r>
        <w:rPr>
          <w:rFonts w:hint="eastAsia" w:ascii="宋体" w:hAnsi="宋体" w:cs="宋体"/>
          <w:color w:val="auto"/>
          <w:sz w:val="24"/>
          <w:szCs w:val="24"/>
          <w:lang w:eastAsia="zh-CN"/>
        </w:rPr>
        <w:t>超</w:t>
      </w:r>
      <w:r>
        <w:rPr>
          <w:rFonts w:hint="eastAsia" w:ascii="宋体" w:hAnsi="宋体" w:eastAsia="宋体" w:cs="宋体"/>
          <w:color w:val="auto"/>
          <w:sz w:val="24"/>
          <w:szCs w:val="24"/>
        </w:rPr>
        <w:t>出规定最高分或最低分的；</w:t>
      </w:r>
      <w:r>
        <w:rPr>
          <w:rFonts w:hint="eastAsia" w:ascii="宋体" w:hAnsi="宋体" w:cs="宋体"/>
          <w:color w:val="auto"/>
          <w:sz w:val="24"/>
          <w:szCs w:val="24"/>
          <w:lang w:eastAsia="zh-CN"/>
        </w:rPr>
        <w:t>评</w:t>
      </w:r>
      <w:r>
        <w:rPr>
          <w:rFonts w:hint="eastAsia" w:ascii="宋体" w:hAnsi="宋体" w:eastAsia="宋体" w:cs="宋体"/>
          <w:color w:val="auto"/>
          <w:sz w:val="24"/>
          <w:szCs w:val="24"/>
        </w:rPr>
        <w:t>分明显不合理的；一个</w:t>
      </w:r>
      <w:r>
        <w:rPr>
          <w:rFonts w:hint="eastAsia" w:ascii="宋体" w:hAnsi="宋体" w:cs="宋体"/>
          <w:color w:val="auto"/>
          <w:sz w:val="24"/>
          <w:szCs w:val="24"/>
          <w:lang w:eastAsia="zh-CN"/>
        </w:rPr>
        <w:t>评</w:t>
      </w:r>
      <w:r>
        <w:rPr>
          <w:rFonts w:hint="eastAsia" w:ascii="宋体" w:hAnsi="宋体" w:eastAsia="宋体" w:cs="宋体"/>
          <w:color w:val="auto"/>
          <w:sz w:val="24"/>
          <w:szCs w:val="24"/>
        </w:rPr>
        <w:t>分内容有2个或2个以上</w:t>
      </w:r>
      <w:r>
        <w:rPr>
          <w:rFonts w:hint="eastAsia" w:ascii="宋体" w:hAnsi="宋体" w:cs="宋体"/>
          <w:color w:val="auto"/>
          <w:sz w:val="24"/>
          <w:szCs w:val="24"/>
          <w:lang w:eastAsia="zh-CN"/>
        </w:rPr>
        <w:t>评</w:t>
      </w:r>
      <w:r>
        <w:rPr>
          <w:rFonts w:hint="eastAsia" w:ascii="宋体" w:hAnsi="宋体" w:eastAsia="宋体" w:cs="宋体"/>
          <w:color w:val="auto"/>
          <w:sz w:val="24"/>
          <w:szCs w:val="24"/>
        </w:rPr>
        <w:t>分的；其他违反本评标办法未按规定要求</w:t>
      </w:r>
      <w:r>
        <w:rPr>
          <w:rFonts w:hint="eastAsia" w:ascii="宋体" w:hAnsi="宋体" w:cs="宋体"/>
          <w:color w:val="auto"/>
          <w:sz w:val="24"/>
          <w:szCs w:val="24"/>
          <w:lang w:eastAsia="zh-CN"/>
        </w:rPr>
        <w:t>评</w:t>
      </w:r>
      <w:r>
        <w:rPr>
          <w:rFonts w:hint="eastAsia" w:ascii="宋体" w:hAnsi="宋体" w:eastAsia="宋体" w:cs="宋体"/>
          <w:color w:val="auto"/>
          <w:sz w:val="24"/>
          <w:szCs w:val="24"/>
        </w:rPr>
        <w:t>分的。</w:t>
      </w:r>
    </w:p>
    <w:p w14:paraId="202C891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技术</w:t>
      </w:r>
      <w:r>
        <w:rPr>
          <w:rFonts w:hint="eastAsia" w:ascii="宋体" w:hAnsi="宋体" w:cs="宋体"/>
          <w:b w:val="0"/>
          <w:bCs/>
          <w:color w:val="auto"/>
          <w:sz w:val="24"/>
          <w:szCs w:val="24"/>
          <w:lang w:eastAsia="zh-CN"/>
        </w:rPr>
        <w:t>标</w:t>
      </w:r>
      <w:r>
        <w:rPr>
          <w:rFonts w:hint="eastAsia" w:ascii="宋体" w:hAnsi="宋体" w:eastAsia="宋体" w:cs="宋体"/>
          <w:b w:val="0"/>
          <w:bCs/>
          <w:color w:val="auto"/>
          <w:sz w:val="24"/>
          <w:szCs w:val="24"/>
        </w:rPr>
        <w:t>评审</w:t>
      </w:r>
    </w:p>
    <w:p w14:paraId="0DB4CC5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（1）技术</w:t>
      </w:r>
      <w:r>
        <w:rPr>
          <w:rFonts w:hint="eastAsia" w:ascii="宋体" w:hAnsi="宋体" w:cs="宋体"/>
          <w:color w:val="auto"/>
          <w:sz w:val="24"/>
          <w:szCs w:val="24"/>
          <w:lang w:eastAsia="zh-CN"/>
        </w:rPr>
        <w:t>标</w:t>
      </w:r>
      <w:r>
        <w:rPr>
          <w:rFonts w:hint="eastAsia" w:ascii="宋体" w:hAnsi="宋体" w:eastAsia="宋体" w:cs="宋体"/>
          <w:color w:val="auto"/>
          <w:sz w:val="24"/>
          <w:szCs w:val="24"/>
        </w:rPr>
        <w:t>得分权重占总得分的权重</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rPr>
        <w:t>。</w:t>
      </w:r>
    </w:p>
    <w:p w14:paraId="6796A25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（2）评标委员会根据招标文件中的要求及投标人递交的投标文件对技术</w:t>
      </w:r>
      <w:r>
        <w:rPr>
          <w:rFonts w:hint="eastAsia" w:ascii="宋体" w:hAnsi="宋体" w:cs="宋体"/>
          <w:color w:val="auto"/>
          <w:sz w:val="24"/>
          <w:szCs w:val="24"/>
          <w:lang w:eastAsia="zh-CN"/>
        </w:rPr>
        <w:t>标</w:t>
      </w:r>
      <w:r>
        <w:rPr>
          <w:rFonts w:hint="eastAsia" w:ascii="宋体" w:hAnsi="宋体" w:eastAsia="宋体" w:cs="宋体"/>
          <w:color w:val="auto"/>
          <w:sz w:val="24"/>
          <w:szCs w:val="24"/>
        </w:rPr>
        <w:t>进行评审。</w:t>
      </w:r>
    </w:p>
    <w:p w14:paraId="45A8F0AA">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（3）通过审阅，根据具体的评审内容对各子项进行评审，记入评分计分表的相应栏目中。评标委员会成员就以上各项评分的总分的算术平均值即为该投标人的技术标得分。</w:t>
      </w:r>
      <w:r>
        <w:rPr>
          <w:rFonts w:hint="eastAsia" w:ascii="宋体" w:hAnsi="宋体" w:eastAsia="宋体" w:cs="宋体"/>
          <w:color w:val="auto"/>
          <w:sz w:val="24"/>
          <w:szCs w:val="24"/>
          <w:lang w:eastAsia="zh-CN"/>
        </w:rPr>
        <w:t>（评标委员会成员为</w:t>
      </w:r>
      <w:r>
        <w:rPr>
          <w:rFonts w:hint="eastAsia" w:ascii="宋体" w:hAnsi="宋体" w:eastAsia="宋体" w:cs="宋体"/>
          <w:color w:val="auto"/>
          <w:sz w:val="24"/>
          <w:szCs w:val="24"/>
          <w:lang w:val="en-US" w:eastAsia="zh-CN"/>
        </w:rPr>
        <w:t>7人及以上时，</w:t>
      </w:r>
      <w:r>
        <w:rPr>
          <w:rFonts w:hint="eastAsia" w:ascii="宋体" w:hAnsi="宋体" w:eastAsia="宋体" w:cs="宋体"/>
          <w:color w:val="auto"/>
          <w:sz w:val="24"/>
          <w:szCs w:val="24"/>
        </w:rPr>
        <w:t>评标委员会成员就以上各项评分总分</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rPr>
        <w:t>算术平均值即为该投标人的技术标得分</w:t>
      </w:r>
      <w:r>
        <w:rPr>
          <w:rFonts w:hint="eastAsia" w:ascii="宋体" w:hAnsi="宋体" w:eastAsia="宋体" w:cs="宋体"/>
          <w:color w:val="auto"/>
          <w:sz w:val="24"/>
          <w:szCs w:val="24"/>
          <w:lang w:eastAsia="zh-CN"/>
        </w:rPr>
        <w:t>）</w:t>
      </w:r>
    </w:p>
    <w:p w14:paraId="7716E4F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（4）评分内容及评分</w:t>
      </w:r>
      <w:r>
        <w:rPr>
          <w:rFonts w:hint="eastAsia" w:ascii="宋体" w:hAnsi="宋体" w:cs="宋体"/>
          <w:color w:val="auto"/>
          <w:sz w:val="24"/>
          <w:szCs w:val="24"/>
          <w:lang w:eastAsia="zh-CN"/>
        </w:rPr>
        <w:t>因素</w:t>
      </w:r>
      <w:r>
        <w:rPr>
          <w:rFonts w:hint="eastAsia" w:ascii="宋体" w:hAnsi="宋体" w:eastAsia="宋体" w:cs="宋体"/>
          <w:color w:val="auto"/>
          <w:sz w:val="24"/>
          <w:szCs w:val="24"/>
        </w:rPr>
        <w:t>（100分）。</w:t>
      </w:r>
    </w:p>
    <w:tbl>
      <w:tblPr>
        <w:tblStyle w:val="39"/>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2861"/>
        <w:gridCol w:w="977"/>
        <w:gridCol w:w="4043"/>
        <w:gridCol w:w="700"/>
      </w:tblGrid>
      <w:tr w14:paraId="4CEC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noWrap w:val="0"/>
            <w:vAlign w:val="center"/>
          </w:tcPr>
          <w:p w14:paraId="007DEE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评分内容</w:t>
            </w:r>
          </w:p>
        </w:tc>
        <w:tc>
          <w:tcPr>
            <w:tcW w:w="1455" w:type="pct"/>
            <w:noWrap w:val="0"/>
            <w:vAlign w:val="center"/>
          </w:tcPr>
          <w:p w14:paraId="4C824F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评分因素</w:t>
            </w:r>
          </w:p>
        </w:tc>
        <w:tc>
          <w:tcPr>
            <w:tcW w:w="497" w:type="pct"/>
            <w:noWrap w:val="0"/>
            <w:vAlign w:val="center"/>
          </w:tcPr>
          <w:p w14:paraId="597177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标准分</w:t>
            </w:r>
          </w:p>
        </w:tc>
        <w:tc>
          <w:tcPr>
            <w:tcW w:w="2056" w:type="pct"/>
            <w:noWrap w:val="0"/>
            <w:vAlign w:val="center"/>
          </w:tcPr>
          <w:p w14:paraId="29C048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得分</w:t>
            </w:r>
          </w:p>
        </w:tc>
        <w:tc>
          <w:tcPr>
            <w:tcW w:w="356" w:type="pct"/>
            <w:noWrap w:val="0"/>
            <w:vAlign w:val="center"/>
          </w:tcPr>
          <w:p w14:paraId="221555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理由</w:t>
            </w:r>
          </w:p>
        </w:tc>
      </w:tr>
      <w:tr w14:paraId="59CD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33" w:type="pct"/>
            <w:noWrap w:val="0"/>
            <w:vAlign w:val="center"/>
          </w:tcPr>
          <w:p w14:paraId="64673C9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总体项目管理方案</w:t>
            </w:r>
          </w:p>
        </w:tc>
        <w:tc>
          <w:tcPr>
            <w:tcW w:w="1455" w:type="pct"/>
            <w:noWrap w:val="0"/>
            <w:vAlign w:val="center"/>
          </w:tcPr>
          <w:p w14:paraId="1FE0287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项目目标分解，项目情况分析，项目概述，工程总承包项目管理，具体包括专项管理、综合集成、采购、试运行等因素。</w:t>
            </w:r>
          </w:p>
        </w:tc>
        <w:tc>
          <w:tcPr>
            <w:tcW w:w="497" w:type="pct"/>
            <w:noWrap w:val="0"/>
            <w:vAlign w:val="center"/>
          </w:tcPr>
          <w:p w14:paraId="42320386">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20</w:t>
            </w:r>
          </w:p>
        </w:tc>
        <w:tc>
          <w:tcPr>
            <w:tcW w:w="2056" w:type="pct"/>
            <w:noWrap w:val="0"/>
            <w:vAlign w:val="center"/>
          </w:tcPr>
          <w:p w14:paraId="24B6894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方案全面、详细，措施得当、科学、合理，实际、可行</w:t>
            </w:r>
            <w:r>
              <w:rPr>
                <w:rFonts w:hint="eastAsia" w:ascii="宋体" w:hAnsi="宋体" w:cs="宋体"/>
                <w:i w:val="0"/>
                <w:iCs w:val="0"/>
                <w:color w:val="auto"/>
                <w:sz w:val="24"/>
                <w:szCs w:val="24"/>
                <w:vertAlign w:val="baseline"/>
                <w:lang w:val="en-US" w:eastAsia="zh-CN"/>
              </w:rPr>
              <w:t>得</w:t>
            </w:r>
            <w:r>
              <w:rPr>
                <w:rFonts w:hint="eastAsia" w:ascii="宋体" w:hAnsi="宋体" w:eastAsia="宋体" w:cs="宋体"/>
                <w:i w:val="0"/>
                <w:iCs w:val="0"/>
                <w:color w:val="auto"/>
                <w:sz w:val="24"/>
                <w:szCs w:val="24"/>
                <w:vertAlign w:val="baseline"/>
                <w:lang w:val="en-US" w:eastAsia="zh-CN"/>
              </w:rPr>
              <w:t>1</w:t>
            </w:r>
            <w:r>
              <w:rPr>
                <w:rFonts w:hint="eastAsia" w:ascii="宋体" w:hAnsi="宋体" w:cs="宋体"/>
                <w:i w:val="0"/>
                <w:iCs w:val="0"/>
                <w:color w:val="auto"/>
                <w:sz w:val="24"/>
                <w:szCs w:val="24"/>
                <w:vertAlign w:val="baseline"/>
                <w:lang w:val="en-US" w:eastAsia="zh-CN"/>
              </w:rPr>
              <w:t>8</w:t>
            </w:r>
            <w:r>
              <w:rPr>
                <w:rFonts w:hint="eastAsia" w:ascii="宋体" w:hAnsi="宋体" w:eastAsia="宋体" w:cs="宋体"/>
                <w:i w:val="0"/>
                <w:iCs w:val="0"/>
                <w:color w:val="auto"/>
                <w:sz w:val="24"/>
                <w:szCs w:val="24"/>
                <w:vertAlign w:val="baseline"/>
                <w:lang w:val="en-US" w:eastAsia="zh-CN"/>
              </w:rPr>
              <w:t>-20分</w:t>
            </w:r>
          </w:p>
          <w:p w14:paraId="0E96931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方案基本全面、详细，措施基本合理，实际、可行</w:t>
            </w:r>
            <w:r>
              <w:rPr>
                <w:rFonts w:hint="eastAsia" w:ascii="宋体" w:hAnsi="宋体" w:cs="宋体"/>
                <w:i w:val="0"/>
                <w:iCs w:val="0"/>
                <w:color w:val="auto"/>
                <w:sz w:val="24"/>
                <w:szCs w:val="24"/>
                <w:vertAlign w:val="baseline"/>
                <w:lang w:val="en-US" w:eastAsia="zh-CN"/>
              </w:rPr>
              <w:t>得</w:t>
            </w:r>
            <w:r>
              <w:rPr>
                <w:rFonts w:hint="eastAsia" w:ascii="宋体" w:hAnsi="宋体" w:eastAsia="宋体" w:cs="宋体"/>
                <w:i w:val="0"/>
                <w:iCs w:val="0"/>
                <w:color w:val="auto"/>
                <w:sz w:val="24"/>
                <w:szCs w:val="24"/>
                <w:vertAlign w:val="baseline"/>
                <w:lang w:val="en-US" w:eastAsia="zh-CN"/>
              </w:rPr>
              <w:t>1</w:t>
            </w:r>
            <w:r>
              <w:rPr>
                <w:rFonts w:hint="eastAsia" w:ascii="宋体" w:hAnsi="宋体" w:cs="宋体"/>
                <w:i w:val="0"/>
                <w:iCs w:val="0"/>
                <w:color w:val="auto"/>
                <w:sz w:val="24"/>
                <w:szCs w:val="24"/>
                <w:vertAlign w:val="baseline"/>
                <w:lang w:val="en-US" w:eastAsia="zh-CN"/>
              </w:rPr>
              <w:t>6</w:t>
            </w:r>
            <w:r>
              <w:rPr>
                <w:rFonts w:hint="eastAsia" w:ascii="宋体" w:hAnsi="宋体" w:eastAsia="宋体" w:cs="宋体"/>
                <w:i w:val="0"/>
                <w:iCs w:val="0"/>
                <w:color w:val="auto"/>
                <w:sz w:val="24"/>
                <w:szCs w:val="24"/>
                <w:vertAlign w:val="baseline"/>
                <w:lang w:val="en-US" w:eastAsia="zh-CN"/>
              </w:rPr>
              <w:t>-17.</w:t>
            </w:r>
            <w:r>
              <w:rPr>
                <w:rFonts w:hint="eastAsia" w:ascii="宋体" w:hAnsi="宋体" w:cs="宋体"/>
                <w:i w:val="0"/>
                <w:iCs w:val="0"/>
                <w:color w:val="auto"/>
                <w:sz w:val="24"/>
                <w:szCs w:val="24"/>
                <w:vertAlign w:val="baseline"/>
                <w:lang w:val="en-US" w:eastAsia="zh-CN"/>
              </w:rPr>
              <w:t>99</w:t>
            </w:r>
            <w:r>
              <w:rPr>
                <w:rFonts w:hint="eastAsia" w:ascii="宋体" w:hAnsi="宋体" w:eastAsia="宋体" w:cs="宋体"/>
                <w:i w:val="0"/>
                <w:iCs w:val="0"/>
                <w:color w:val="auto"/>
                <w:sz w:val="24"/>
                <w:szCs w:val="24"/>
                <w:vertAlign w:val="baseline"/>
                <w:lang w:val="en-US" w:eastAsia="zh-CN"/>
              </w:rPr>
              <w:t>分</w:t>
            </w:r>
          </w:p>
          <w:p w14:paraId="2C937AA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方案内容一般</w:t>
            </w:r>
            <w:r>
              <w:rPr>
                <w:rFonts w:hint="eastAsia" w:ascii="宋体" w:hAnsi="宋体" w:cs="宋体"/>
                <w:i w:val="0"/>
                <w:iCs w:val="0"/>
                <w:color w:val="auto"/>
                <w:sz w:val="24"/>
                <w:szCs w:val="24"/>
                <w:vertAlign w:val="baseline"/>
                <w:lang w:val="en-US" w:eastAsia="zh-CN"/>
              </w:rPr>
              <w:t>得</w:t>
            </w:r>
            <w:r>
              <w:rPr>
                <w:rFonts w:hint="eastAsia" w:ascii="宋体" w:hAnsi="宋体" w:eastAsia="宋体" w:cs="宋体"/>
                <w:i w:val="0"/>
                <w:iCs w:val="0"/>
                <w:color w:val="auto"/>
                <w:sz w:val="24"/>
                <w:szCs w:val="24"/>
                <w:vertAlign w:val="baseline"/>
                <w:lang w:val="en-US" w:eastAsia="zh-CN"/>
              </w:rPr>
              <w:t>12.00-1</w:t>
            </w:r>
            <w:r>
              <w:rPr>
                <w:rFonts w:hint="eastAsia" w:ascii="宋体" w:hAnsi="宋体" w:cs="宋体"/>
                <w:i w:val="0"/>
                <w:iCs w:val="0"/>
                <w:color w:val="auto"/>
                <w:sz w:val="24"/>
                <w:szCs w:val="24"/>
                <w:vertAlign w:val="baseline"/>
                <w:lang w:val="en-US" w:eastAsia="zh-CN"/>
              </w:rPr>
              <w:t>5</w:t>
            </w:r>
            <w:r>
              <w:rPr>
                <w:rFonts w:hint="eastAsia" w:ascii="宋体" w:hAnsi="宋体" w:eastAsia="宋体" w:cs="宋体"/>
                <w:i w:val="0"/>
                <w:iCs w:val="0"/>
                <w:color w:val="auto"/>
                <w:sz w:val="24"/>
                <w:szCs w:val="24"/>
                <w:vertAlign w:val="baseline"/>
                <w:lang w:val="en-US" w:eastAsia="zh-CN"/>
              </w:rPr>
              <w:t>.</w:t>
            </w:r>
            <w:r>
              <w:rPr>
                <w:rFonts w:hint="eastAsia" w:ascii="宋体" w:hAnsi="宋体" w:cs="宋体"/>
                <w:i w:val="0"/>
                <w:iCs w:val="0"/>
                <w:color w:val="auto"/>
                <w:sz w:val="24"/>
                <w:szCs w:val="24"/>
                <w:vertAlign w:val="baseline"/>
                <w:lang w:val="en-US" w:eastAsia="zh-CN"/>
              </w:rPr>
              <w:t>99</w:t>
            </w:r>
            <w:r>
              <w:rPr>
                <w:rFonts w:hint="eastAsia" w:ascii="宋体" w:hAnsi="宋体" w:eastAsia="宋体" w:cs="宋体"/>
                <w:i w:val="0"/>
                <w:iCs w:val="0"/>
                <w:color w:val="auto"/>
                <w:sz w:val="24"/>
                <w:szCs w:val="24"/>
                <w:vertAlign w:val="baseline"/>
                <w:lang w:val="en-US" w:eastAsia="zh-CN"/>
              </w:rPr>
              <w:t>分</w:t>
            </w:r>
          </w:p>
        </w:tc>
        <w:tc>
          <w:tcPr>
            <w:tcW w:w="356" w:type="pct"/>
            <w:noWrap w:val="0"/>
            <w:vAlign w:val="center"/>
          </w:tcPr>
          <w:p w14:paraId="56014610">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宋体" w:hAnsi="宋体" w:eastAsia="宋体" w:cs="宋体"/>
                <w:i w:val="0"/>
                <w:iCs w:val="0"/>
                <w:color w:val="auto"/>
                <w:sz w:val="24"/>
                <w:szCs w:val="24"/>
                <w:vertAlign w:val="baseline"/>
                <w:lang w:val="en-US" w:eastAsia="zh-CN"/>
              </w:rPr>
            </w:pPr>
          </w:p>
        </w:tc>
      </w:tr>
      <w:tr w14:paraId="54FC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633" w:type="pct"/>
            <w:noWrap w:val="0"/>
            <w:vAlign w:val="center"/>
          </w:tcPr>
          <w:p w14:paraId="2C86720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设计方案</w:t>
            </w:r>
          </w:p>
        </w:tc>
        <w:tc>
          <w:tcPr>
            <w:tcW w:w="1455" w:type="pct"/>
            <w:noWrap w:val="0"/>
            <w:vAlign w:val="center"/>
          </w:tcPr>
          <w:p w14:paraId="18C5C12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方案设计的优化，具体包括主要设计思路、设计创新、先进技术应用、节能环保等。工程经济的和理性分析、评价，具体包括投资估算是否与设计方案匹配、是否结合现场建设条件、各项指标取值是否合理、是否满足相关规范要求等。设计组织方案及各阶段进度安排。施工图设计质量控制措施。新型技术应用等。</w:t>
            </w:r>
          </w:p>
        </w:tc>
        <w:tc>
          <w:tcPr>
            <w:tcW w:w="497" w:type="pct"/>
            <w:noWrap w:val="0"/>
            <w:vAlign w:val="center"/>
          </w:tcPr>
          <w:p w14:paraId="56A84A9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30</w:t>
            </w:r>
          </w:p>
        </w:tc>
        <w:tc>
          <w:tcPr>
            <w:tcW w:w="2056" w:type="pct"/>
            <w:noWrap w:val="0"/>
            <w:vAlign w:val="center"/>
          </w:tcPr>
          <w:p w14:paraId="3A38363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方案全面、详细，措施得当、科学、合理，实际、可行</w:t>
            </w:r>
            <w:r>
              <w:rPr>
                <w:rFonts w:hint="eastAsia" w:ascii="宋体" w:hAnsi="宋体" w:cs="宋体"/>
                <w:i w:val="0"/>
                <w:iCs w:val="0"/>
                <w:color w:val="auto"/>
                <w:sz w:val="24"/>
                <w:szCs w:val="24"/>
                <w:vertAlign w:val="baseline"/>
                <w:lang w:val="en-US" w:eastAsia="zh-CN"/>
              </w:rPr>
              <w:t>得</w:t>
            </w:r>
            <w:r>
              <w:rPr>
                <w:rFonts w:hint="eastAsia" w:ascii="宋体" w:hAnsi="宋体" w:eastAsia="宋体" w:cs="宋体"/>
                <w:i w:val="0"/>
                <w:iCs w:val="0"/>
                <w:color w:val="auto"/>
                <w:sz w:val="24"/>
                <w:szCs w:val="24"/>
                <w:vertAlign w:val="baseline"/>
                <w:lang w:val="en-US" w:eastAsia="zh-CN"/>
              </w:rPr>
              <w:t>27-30.00分</w:t>
            </w:r>
          </w:p>
          <w:p w14:paraId="114FE99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方案基本全面、详细，措施基本合理，实际、可行</w:t>
            </w:r>
            <w:r>
              <w:rPr>
                <w:rFonts w:hint="eastAsia" w:ascii="宋体" w:hAnsi="宋体" w:cs="宋体"/>
                <w:i w:val="0"/>
                <w:iCs w:val="0"/>
                <w:color w:val="auto"/>
                <w:sz w:val="24"/>
                <w:szCs w:val="24"/>
                <w:vertAlign w:val="baseline"/>
                <w:lang w:val="en-US" w:eastAsia="zh-CN"/>
              </w:rPr>
              <w:t>得</w:t>
            </w:r>
            <w:r>
              <w:rPr>
                <w:rFonts w:hint="eastAsia" w:ascii="宋体" w:hAnsi="宋体" w:eastAsia="宋体" w:cs="宋体"/>
                <w:i w:val="0"/>
                <w:iCs w:val="0"/>
                <w:color w:val="auto"/>
                <w:sz w:val="24"/>
                <w:szCs w:val="24"/>
                <w:vertAlign w:val="baseline"/>
                <w:lang w:val="en-US" w:eastAsia="zh-CN"/>
              </w:rPr>
              <w:t>24-26.99分</w:t>
            </w:r>
          </w:p>
          <w:p w14:paraId="4F06F35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方案内容一般</w:t>
            </w:r>
            <w:r>
              <w:rPr>
                <w:rFonts w:hint="eastAsia" w:ascii="宋体" w:hAnsi="宋体" w:cs="宋体"/>
                <w:i w:val="0"/>
                <w:iCs w:val="0"/>
                <w:color w:val="auto"/>
                <w:sz w:val="24"/>
                <w:szCs w:val="24"/>
                <w:vertAlign w:val="baseline"/>
                <w:lang w:val="en-US" w:eastAsia="zh-CN"/>
              </w:rPr>
              <w:t>得</w:t>
            </w:r>
            <w:r>
              <w:rPr>
                <w:rFonts w:hint="eastAsia" w:ascii="宋体" w:hAnsi="宋体" w:eastAsia="宋体" w:cs="宋体"/>
                <w:i w:val="0"/>
                <w:iCs w:val="0"/>
                <w:color w:val="auto"/>
                <w:sz w:val="24"/>
                <w:szCs w:val="24"/>
                <w:vertAlign w:val="baseline"/>
                <w:lang w:val="en-US" w:eastAsia="zh-CN"/>
              </w:rPr>
              <w:t>18-23.99分</w:t>
            </w:r>
          </w:p>
        </w:tc>
        <w:tc>
          <w:tcPr>
            <w:tcW w:w="356" w:type="pct"/>
            <w:noWrap w:val="0"/>
            <w:vAlign w:val="center"/>
          </w:tcPr>
          <w:p w14:paraId="063A5D8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p>
        </w:tc>
      </w:tr>
      <w:tr w14:paraId="1244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33" w:type="pct"/>
            <w:noWrap w:val="0"/>
            <w:vAlign w:val="center"/>
          </w:tcPr>
          <w:p w14:paraId="56A0AED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采购方案</w:t>
            </w:r>
          </w:p>
        </w:tc>
        <w:tc>
          <w:tcPr>
            <w:tcW w:w="1455" w:type="pct"/>
            <w:noWrap w:val="0"/>
            <w:vAlign w:val="center"/>
          </w:tcPr>
          <w:p w14:paraId="2742C59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总体进度、采购安排、质量控制措施等。</w:t>
            </w:r>
          </w:p>
        </w:tc>
        <w:tc>
          <w:tcPr>
            <w:tcW w:w="497" w:type="pct"/>
            <w:noWrap w:val="0"/>
            <w:vAlign w:val="center"/>
          </w:tcPr>
          <w:p w14:paraId="6099659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10</w:t>
            </w:r>
          </w:p>
        </w:tc>
        <w:tc>
          <w:tcPr>
            <w:tcW w:w="2056" w:type="pct"/>
            <w:noWrap w:val="0"/>
            <w:vAlign w:val="center"/>
          </w:tcPr>
          <w:p w14:paraId="3D9CE87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方案全面、详细，措施得当、科学、合理，实际、可行得9-10分</w:t>
            </w:r>
          </w:p>
          <w:p w14:paraId="33D6F29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方案基本全面、详细，措施基本合理，实际、可行得8-8.99分</w:t>
            </w:r>
          </w:p>
          <w:p w14:paraId="160CF89B">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方案内容一般得6-7.99分</w:t>
            </w:r>
          </w:p>
        </w:tc>
        <w:tc>
          <w:tcPr>
            <w:tcW w:w="356" w:type="pct"/>
            <w:noWrap w:val="0"/>
            <w:vAlign w:val="center"/>
          </w:tcPr>
          <w:p w14:paraId="26CD9E1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p>
        </w:tc>
      </w:tr>
      <w:tr w14:paraId="03B1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633" w:type="pct"/>
            <w:noWrap w:val="0"/>
            <w:vAlign w:val="center"/>
          </w:tcPr>
          <w:p w14:paraId="6865568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施工方案</w:t>
            </w:r>
          </w:p>
        </w:tc>
        <w:tc>
          <w:tcPr>
            <w:tcW w:w="1455" w:type="pct"/>
            <w:noWrap w:val="0"/>
            <w:vAlign w:val="center"/>
          </w:tcPr>
          <w:p w14:paraId="2A64474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项目重点难点分析及合理化建议。工程施工进度控制和管理、施工质量管理、安全文明管理、关键技术方案可行性。外部协调管理，验收、结算、移交的合理组织和配合等。</w:t>
            </w:r>
          </w:p>
        </w:tc>
        <w:tc>
          <w:tcPr>
            <w:tcW w:w="497" w:type="pct"/>
            <w:noWrap w:val="0"/>
            <w:vAlign w:val="center"/>
          </w:tcPr>
          <w:p w14:paraId="2F8FD2E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20</w:t>
            </w:r>
          </w:p>
        </w:tc>
        <w:tc>
          <w:tcPr>
            <w:tcW w:w="2056" w:type="pct"/>
            <w:noWrap w:val="0"/>
            <w:vAlign w:val="center"/>
          </w:tcPr>
          <w:p w14:paraId="2459D7F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方案全面、详细，措施得当、科学、合理，实际、可行得18-20分</w:t>
            </w:r>
          </w:p>
          <w:p w14:paraId="299EFB7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方案基本全面、详细，措施基本合理，实际、可行得16-17.99分</w:t>
            </w:r>
          </w:p>
          <w:p w14:paraId="252C44E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方案内容一般得12.00-15.99分方案内容一般得12.00-14.00分</w:t>
            </w:r>
          </w:p>
        </w:tc>
        <w:tc>
          <w:tcPr>
            <w:tcW w:w="356" w:type="pct"/>
            <w:noWrap w:val="0"/>
            <w:vAlign w:val="center"/>
          </w:tcPr>
          <w:p w14:paraId="56DBEB3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p>
        </w:tc>
      </w:tr>
      <w:tr w14:paraId="53AA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33" w:type="pct"/>
            <w:noWrap w:val="0"/>
            <w:vAlign w:val="center"/>
          </w:tcPr>
          <w:p w14:paraId="778DC59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拟分包项目的管理方案</w:t>
            </w:r>
          </w:p>
        </w:tc>
        <w:tc>
          <w:tcPr>
            <w:tcW w:w="1455" w:type="pct"/>
            <w:noWrap w:val="0"/>
            <w:vAlign w:val="center"/>
          </w:tcPr>
          <w:p w14:paraId="6C063B0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分包工作的总体安排与资源配置，分包商进度、质量和安全文明的管理措施及违约处理等。</w:t>
            </w:r>
          </w:p>
        </w:tc>
        <w:tc>
          <w:tcPr>
            <w:tcW w:w="497" w:type="pct"/>
            <w:noWrap w:val="0"/>
            <w:vAlign w:val="center"/>
          </w:tcPr>
          <w:p w14:paraId="0F70BD0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10</w:t>
            </w:r>
          </w:p>
        </w:tc>
        <w:tc>
          <w:tcPr>
            <w:tcW w:w="2056" w:type="pct"/>
            <w:noWrap w:val="0"/>
            <w:vAlign w:val="center"/>
          </w:tcPr>
          <w:p w14:paraId="21DE12C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方案全面、详细，措施得当、科学、合理，实际、可行得9-10分</w:t>
            </w:r>
          </w:p>
          <w:p w14:paraId="5154AD76">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方案基本全面、详细，措施基本合理，实际、可行得8-8.99分</w:t>
            </w:r>
          </w:p>
          <w:p w14:paraId="519F878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方案内容一般得6-7.99分</w:t>
            </w:r>
          </w:p>
        </w:tc>
        <w:tc>
          <w:tcPr>
            <w:tcW w:w="356" w:type="pct"/>
            <w:noWrap w:val="0"/>
            <w:vAlign w:val="center"/>
          </w:tcPr>
          <w:p w14:paraId="4092419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p>
        </w:tc>
      </w:tr>
      <w:tr w14:paraId="110F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33" w:type="pct"/>
            <w:noWrap w:val="0"/>
            <w:vAlign w:val="center"/>
          </w:tcPr>
          <w:p w14:paraId="11DECC7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BIM工作方案</w:t>
            </w:r>
          </w:p>
        </w:tc>
        <w:tc>
          <w:tcPr>
            <w:tcW w:w="1455" w:type="pct"/>
            <w:noWrap w:val="0"/>
            <w:vAlign w:val="center"/>
          </w:tcPr>
          <w:p w14:paraId="6186B2E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（1）BIM设计、施工、运维全过程数字化建设驱动业务管理方案。（2）工程数据与BIM模型深度挂接方案。（3）多方协同管理提质增效方案。</w:t>
            </w:r>
          </w:p>
        </w:tc>
        <w:tc>
          <w:tcPr>
            <w:tcW w:w="497" w:type="pct"/>
            <w:noWrap w:val="0"/>
            <w:vAlign w:val="center"/>
          </w:tcPr>
          <w:p w14:paraId="4D98A4E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10</w:t>
            </w:r>
          </w:p>
        </w:tc>
        <w:tc>
          <w:tcPr>
            <w:tcW w:w="2056" w:type="pct"/>
            <w:noWrap w:val="0"/>
            <w:vAlign w:val="center"/>
          </w:tcPr>
          <w:p w14:paraId="03DE959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方案全面、详细，措施得当、科学、合理，实际、可行得9-10分</w:t>
            </w:r>
          </w:p>
          <w:p w14:paraId="799428E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方案基本全面、详细，措施基本合理，实际、可行得8-8.99分</w:t>
            </w:r>
          </w:p>
          <w:p w14:paraId="419025E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方案内容一般得6-7.99分</w:t>
            </w:r>
          </w:p>
        </w:tc>
        <w:tc>
          <w:tcPr>
            <w:tcW w:w="356" w:type="pct"/>
            <w:noWrap w:val="0"/>
            <w:vAlign w:val="center"/>
          </w:tcPr>
          <w:p w14:paraId="0FDFDEF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p>
        </w:tc>
      </w:tr>
    </w:tbl>
    <w:p w14:paraId="3442C0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i w:val="0"/>
          <w:iCs w:val="0"/>
          <w:color w:val="auto"/>
          <w:sz w:val="21"/>
          <w:szCs w:val="21"/>
        </w:rPr>
      </w:pPr>
      <w:r>
        <w:rPr>
          <w:rFonts w:hint="eastAsia" w:ascii="宋体" w:hAnsi="宋体" w:eastAsia="宋体" w:cs="宋体"/>
          <w:color w:val="auto"/>
          <w:sz w:val="24"/>
          <w:szCs w:val="24"/>
          <w:lang w:val="en-US" w:eastAsia="zh-CN"/>
        </w:rPr>
        <w:t xml:space="preserve"> </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rPr>
        <w:t>注：a</w:t>
      </w:r>
      <w:r>
        <w:rPr>
          <w:rFonts w:hint="eastAsia" w:ascii="宋体" w:hAnsi="宋体" w:eastAsia="宋体" w:cs="宋体"/>
          <w:i w:val="0"/>
          <w:iCs w:val="0"/>
          <w:color w:val="auto"/>
          <w:sz w:val="21"/>
          <w:szCs w:val="21"/>
          <w:lang w:val="en-US" w:eastAsia="zh-CN"/>
        </w:rPr>
        <w:t>.</w:t>
      </w:r>
      <w:r>
        <w:rPr>
          <w:rFonts w:hint="eastAsia" w:ascii="宋体" w:hAnsi="宋体" w:eastAsia="宋体" w:cs="宋体"/>
          <w:i w:val="0"/>
          <w:iCs w:val="0"/>
          <w:color w:val="auto"/>
          <w:sz w:val="21"/>
          <w:szCs w:val="21"/>
        </w:rPr>
        <w:t>每项内容只允许打一次分，保留两位小数，超出</w:t>
      </w:r>
      <w:r>
        <w:rPr>
          <w:rFonts w:hint="eastAsia" w:ascii="宋体" w:hAnsi="宋体" w:cs="宋体"/>
          <w:i w:val="0"/>
          <w:iCs w:val="0"/>
          <w:color w:val="auto"/>
          <w:sz w:val="21"/>
          <w:szCs w:val="21"/>
          <w:lang w:eastAsia="zh-CN"/>
        </w:rPr>
        <w:t>评分标准</w:t>
      </w:r>
      <w:r>
        <w:rPr>
          <w:rFonts w:hint="eastAsia" w:ascii="宋体" w:hAnsi="宋体" w:eastAsia="宋体" w:cs="宋体"/>
          <w:i w:val="0"/>
          <w:iCs w:val="0"/>
          <w:color w:val="auto"/>
          <w:sz w:val="21"/>
          <w:szCs w:val="21"/>
        </w:rPr>
        <w:t>打分无效；不合理或缺项得零分。评委应对每项评审内容写明评分或扣分理由。未按本规则打分无效。</w:t>
      </w:r>
    </w:p>
    <w:p w14:paraId="44B5EF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rPr>
        <w:t>b</w:t>
      </w:r>
      <w:r>
        <w:rPr>
          <w:rFonts w:hint="eastAsia" w:ascii="宋体" w:hAnsi="宋体" w:eastAsia="宋体" w:cs="宋体"/>
          <w:i w:val="0"/>
          <w:iCs w:val="0"/>
          <w:color w:val="auto"/>
          <w:sz w:val="21"/>
          <w:szCs w:val="21"/>
          <w:lang w:val="en-US" w:eastAsia="zh-CN"/>
        </w:rPr>
        <w:t>.</w:t>
      </w:r>
      <w:r>
        <w:rPr>
          <w:rFonts w:hint="eastAsia" w:ascii="宋体" w:hAnsi="宋体" w:eastAsia="宋体" w:cs="宋体"/>
          <w:i w:val="0"/>
          <w:iCs w:val="0"/>
          <w:color w:val="auto"/>
          <w:sz w:val="21"/>
          <w:szCs w:val="21"/>
        </w:rPr>
        <w:t>招标人可根据项目需要，调整评审内容</w:t>
      </w:r>
      <w:r>
        <w:rPr>
          <w:rFonts w:hint="eastAsia" w:ascii="宋体" w:hAnsi="宋体" w:cs="宋体"/>
          <w:i w:val="0"/>
          <w:iCs w:val="0"/>
          <w:color w:val="auto"/>
          <w:sz w:val="21"/>
          <w:szCs w:val="21"/>
          <w:lang w:eastAsia="zh-CN"/>
        </w:rPr>
        <w:t>、细化评分档次</w:t>
      </w:r>
      <w:r>
        <w:rPr>
          <w:rFonts w:hint="eastAsia" w:ascii="宋体" w:hAnsi="宋体" w:eastAsia="宋体" w:cs="宋体"/>
          <w:i w:val="0"/>
          <w:iCs w:val="0"/>
          <w:color w:val="auto"/>
          <w:sz w:val="21"/>
          <w:szCs w:val="21"/>
        </w:rPr>
        <w:t>及各子项标准分，除不合理、不满足要求或缺项以外，最低档次最低分值不得少于子项标准分的60%。</w:t>
      </w:r>
    </w:p>
    <w:p w14:paraId="427A23DA">
      <w:pPr>
        <w:keepNext w:val="0"/>
        <w:keepLines w:val="0"/>
        <w:pageBreakBefore w:val="0"/>
        <w:widowControl w:val="0"/>
        <w:kinsoku/>
        <w:wordWrap/>
        <w:overflowPunct/>
        <w:topLinePunct w:val="0"/>
        <w:autoSpaceDE/>
        <w:autoSpaceDN/>
        <w:bidi w:val="0"/>
        <w:adjustRightInd/>
        <w:snapToGrid/>
        <w:spacing w:before="134" w:beforeLines="30" w:line="400" w:lineRule="exact"/>
        <w:ind w:left="0" w:leftChars="0" w:right="0" w:rightChars="0" w:firstLine="480" w:firstLineChars="200"/>
        <w:jc w:val="both"/>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商务</w:t>
      </w:r>
      <w:r>
        <w:rPr>
          <w:rFonts w:hint="eastAsia" w:ascii="宋体" w:hAnsi="宋体" w:cs="宋体"/>
          <w:b w:val="0"/>
          <w:bCs/>
          <w:color w:val="auto"/>
          <w:sz w:val="24"/>
          <w:szCs w:val="24"/>
          <w:lang w:eastAsia="zh-CN"/>
        </w:rPr>
        <w:t>标</w:t>
      </w:r>
      <w:r>
        <w:rPr>
          <w:rFonts w:hint="eastAsia" w:ascii="宋体" w:hAnsi="宋体" w:eastAsia="宋体" w:cs="宋体"/>
          <w:b w:val="0"/>
          <w:bCs/>
          <w:color w:val="auto"/>
          <w:sz w:val="24"/>
          <w:szCs w:val="24"/>
        </w:rPr>
        <w:t>评审</w:t>
      </w:r>
    </w:p>
    <w:p w14:paraId="7889A90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（1）商务</w:t>
      </w:r>
      <w:r>
        <w:rPr>
          <w:rFonts w:hint="eastAsia" w:ascii="宋体" w:hAnsi="宋体" w:cs="宋体"/>
          <w:color w:val="auto"/>
          <w:sz w:val="24"/>
          <w:szCs w:val="24"/>
          <w:highlight w:val="none"/>
          <w:lang w:eastAsia="zh-CN"/>
        </w:rPr>
        <w:t>标</w:t>
      </w:r>
      <w:r>
        <w:rPr>
          <w:rFonts w:hint="eastAsia" w:ascii="宋体" w:hAnsi="宋体" w:eastAsia="宋体" w:cs="宋体"/>
          <w:color w:val="auto"/>
          <w:sz w:val="24"/>
          <w:szCs w:val="24"/>
          <w:highlight w:val="none"/>
        </w:rPr>
        <w:t>的分值权重占总得分的权重为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w:t>
      </w:r>
      <w:r>
        <w:rPr>
          <w:rFonts w:hint="eastAsia" w:ascii="宋体" w:hAnsi="宋体" w:cs="宋体"/>
          <w:color w:val="auto"/>
          <w:sz w:val="24"/>
          <w:szCs w:val="24"/>
          <w:highlight w:val="none"/>
          <w:lang w:eastAsia="zh-CN"/>
        </w:rPr>
        <w:t>资信</w:t>
      </w:r>
      <w:r>
        <w:rPr>
          <w:rFonts w:hint="eastAsia" w:ascii="宋体" w:hAnsi="宋体" w:eastAsia="宋体" w:cs="宋体"/>
          <w:color w:val="auto"/>
          <w:sz w:val="24"/>
          <w:szCs w:val="24"/>
          <w:highlight w:val="none"/>
          <w:lang w:eastAsia="zh-CN"/>
        </w:rPr>
        <w:t>部分分值占商务</w:t>
      </w:r>
      <w:r>
        <w:rPr>
          <w:rFonts w:hint="eastAsia" w:ascii="宋体" w:hAnsi="宋体" w:cs="宋体"/>
          <w:color w:val="auto"/>
          <w:sz w:val="24"/>
          <w:szCs w:val="24"/>
          <w:highlight w:val="none"/>
          <w:lang w:eastAsia="zh-CN"/>
        </w:rPr>
        <w:t>标</w:t>
      </w:r>
      <w:r>
        <w:rPr>
          <w:rFonts w:hint="eastAsia" w:ascii="宋体" w:hAnsi="宋体" w:eastAsia="宋体" w:cs="宋体"/>
          <w:color w:val="auto"/>
          <w:sz w:val="24"/>
          <w:szCs w:val="24"/>
          <w:highlight w:val="none"/>
          <w:lang w:eastAsia="zh-CN"/>
        </w:rPr>
        <w:t>得分的权重为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投标报价分值占商务</w:t>
      </w:r>
      <w:r>
        <w:rPr>
          <w:rFonts w:hint="eastAsia" w:ascii="宋体" w:hAnsi="宋体" w:cs="宋体"/>
          <w:color w:val="auto"/>
          <w:sz w:val="24"/>
          <w:szCs w:val="24"/>
          <w:highlight w:val="none"/>
          <w:lang w:eastAsia="zh-CN"/>
        </w:rPr>
        <w:t>标</w:t>
      </w:r>
      <w:r>
        <w:rPr>
          <w:rFonts w:hint="eastAsia" w:ascii="宋体" w:hAnsi="宋体" w:eastAsia="宋体" w:cs="宋体"/>
          <w:color w:val="auto"/>
          <w:sz w:val="24"/>
          <w:szCs w:val="24"/>
          <w:highlight w:val="none"/>
          <w:lang w:eastAsia="zh-CN"/>
        </w:rPr>
        <w:t>得分的权重为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80%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14:paraId="1AFBA05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（2）对通过初步评审及完成技术</w:t>
      </w:r>
      <w:r>
        <w:rPr>
          <w:rFonts w:hint="eastAsia" w:ascii="宋体" w:hAnsi="宋体" w:cs="宋体"/>
          <w:color w:val="auto"/>
          <w:sz w:val="24"/>
          <w:szCs w:val="24"/>
          <w:lang w:eastAsia="zh-CN"/>
        </w:rPr>
        <w:t>标</w:t>
      </w:r>
      <w:r>
        <w:rPr>
          <w:rFonts w:hint="eastAsia" w:ascii="宋体" w:hAnsi="宋体" w:eastAsia="宋体" w:cs="宋体"/>
          <w:color w:val="auto"/>
          <w:sz w:val="24"/>
          <w:szCs w:val="24"/>
        </w:rPr>
        <w:t>评审的投标文件进行其商务</w:t>
      </w:r>
      <w:r>
        <w:rPr>
          <w:rFonts w:hint="eastAsia" w:ascii="宋体" w:hAnsi="宋体" w:cs="宋体"/>
          <w:color w:val="auto"/>
          <w:sz w:val="24"/>
          <w:szCs w:val="24"/>
          <w:lang w:eastAsia="zh-CN"/>
        </w:rPr>
        <w:t>标</w:t>
      </w:r>
      <w:r>
        <w:rPr>
          <w:rFonts w:hint="eastAsia" w:ascii="宋体" w:hAnsi="宋体" w:eastAsia="宋体" w:cs="宋体"/>
          <w:color w:val="auto"/>
          <w:sz w:val="24"/>
          <w:szCs w:val="24"/>
        </w:rPr>
        <w:t>评审。</w:t>
      </w:r>
    </w:p>
    <w:p w14:paraId="390C665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w:t>
      </w:r>
      <w:r>
        <w:rPr>
          <w:rFonts w:hint="eastAsia" w:ascii="宋体" w:hAnsi="宋体" w:cs="宋体"/>
          <w:color w:val="auto"/>
          <w:sz w:val="24"/>
          <w:szCs w:val="24"/>
          <w:lang w:eastAsia="zh-CN"/>
        </w:rPr>
        <w:t>标</w:t>
      </w:r>
      <w:r>
        <w:rPr>
          <w:rFonts w:hint="eastAsia" w:ascii="宋体" w:hAnsi="宋体" w:eastAsia="宋体" w:cs="宋体"/>
          <w:color w:val="auto"/>
          <w:sz w:val="24"/>
          <w:szCs w:val="24"/>
        </w:rPr>
        <w:t>评审过程中，对需要投标人澄清、说明的问题，评标委员会以书面形式进行询问，投标人对其投标报价依据说明，澄清、说明应以书面方式</w:t>
      </w:r>
      <w:r>
        <w:rPr>
          <w:rFonts w:hint="eastAsia" w:ascii="宋体" w:hAnsi="宋体" w:cs="宋体"/>
          <w:color w:val="auto"/>
          <w:sz w:val="24"/>
          <w:szCs w:val="24"/>
          <w:lang w:eastAsia="zh-CN"/>
        </w:rPr>
        <w:t>回复</w:t>
      </w:r>
      <w:r>
        <w:rPr>
          <w:rFonts w:hint="eastAsia" w:ascii="宋体" w:hAnsi="宋体" w:eastAsia="宋体" w:cs="宋体"/>
          <w:color w:val="auto"/>
          <w:sz w:val="24"/>
          <w:szCs w:val="24"/>
        </w:rPr>
        <w:t>，并不得超出投标文件的范围或者改变投标文件的实质性内容。</w:t>
      </w:r>
    </w:p>
    <w:p w14:paraId="538E58B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如果评标委员会对投标人提交的澄清、说明依然存在疑问，评标委员会可以进一步质疑。投标人对这种进一步质疑应相应地澄清、说明，直至评标委员会认为全部质疑都得到澄清、说明。</w:t>
      </w:r>
    </w:p>
    <w:p w14:paraId="61477BC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w:t>
      </w:r>
      <w:r>
        <w:rPr>
          <w:rFonts w:hint="eastAsia" w:ascii="宋体" w:hAnsi="宋体" w:cs="宋体"/>
          <w:color w:val="auto"/>
          <w:sz w:val="24"/>
          <w:szCs w:val="24"/>
          <w:lang w:eastAsia="zh-CN"/>
        </w:rPr>
        <w:t>分</w:t>
      </w:r>
      <w:r>
        <w:rPr>
          <w:rFonts w:hint="eastAsia" w:ascii="宋体" w:hAnsi="宋体" w:eastAsia="宋体" w:cs="宋体"/>
          <w:color w:val="auto"/>
          <w:sz w:val="24"/>
          <w:szCs w:val="24"/>
        </w:rPr>
        <w:t>程序。</w:t>
      </w:r>
    </w:p>
    <w:p w14:paraId="4546891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①</w:t>
      </w:r>
      <w:r>
        <w:rPr>
          <w:rFonts w:hint="eastAsia" w:ascii="宋体" w:hAnsi="宋体" w:eastAsia="宋体" w:cs="宋体"/>
          <w:color w:val="auto"/>
          <w:sz w:val="24"/>
          <w:szCs w:val="24"/>
          <w:lang w:eastAsia="zh-CN"/>
        </w:rPr>
        <w:t>对投标人的</w:t>
      </w:r>
      <w:r>
        <w:rPr>
          <w:rFonts w:hint="eastAsia" w:ascii="宋体" w:hAnsi="宋体" w:cs="宋体"/>
          <w:strike w:val="0"/>
          <w:dstrike w:val="0"/>
          <w:color w:val="auto"/>
          <w:sz w:val="24"/>
          <w:szCs w:val="24"/>
          <w:lang w:eastAsia="zh-CN"/>
        </w:rPr>
        <w:t>资信</w:t>
      </w:r>
      <w:r>
        <w:rPr>
          <w:rFonts w:hint="eastAsia" w:ascii="宋体" w:hAnsi="宋体" w:eastAsia="宋体" w:cs="宋体"/>
          <w:color w:val="auto"/>
          <w:sz w:val="24"/>
          <w:szCs w:val="24"/>
          <w:lang w:eastAsia="zh-CN"/>
        </w:rPr>
        <w:t>部分进行</w:t>
      </w:r>
      <w:r>
        <w:rPr>
          <w:rFonts w:hint="eastAsia" w:ascii="宋体" w:hAnsi="宋体" w:cs="宋体"/>
          <w:color w:val="auto"/>
          <w:sz w:val="24"/>
          <w:szCs w:val="24"/>
          <w:lang w:eastAsia="zh-CN"/>
        </w:rPr>
        <w:t>评</w:t>
      </w:r>
      <w:r>
        <w:rPr>
          <w:rFonts w:hint="eastAsia" w:ascii="宋体" w:hAnsi="宋体" w:eastAsia="宋体" w:cs="宋体"/>
          <w:color w:val="auto"/>
          <w:sz w:val="24"/>
          <w:szCs w:val="24"/>
          <w:lang w:eastAsia="zh-CN"/>
        </w:rPr>
        <w:t>分；</w:t>
      </w:r>
    </w:p>
    <w:p w14:paraId="1B547DC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②对投标人的投标报价进行校核、修正；</w:t>
      </w:r>
    </w:p>
    <w:p w14:paraId="156B703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③对需要投标人澄清、说明的问题，评标委员会以书面形式进行询问；</w:t>
      </w:r>
    </w:p>
    <w:p w14:paraId="73E8F37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④确定</w:t>
      </w:r>
      <w:r>
        <w:rPr>
          <w:rFonts w:hint="eastAsia" w:ascii="宋体" w:hAnsi="宋体" w:cs="宋体"/>
          <w:color w:val="auto"/>
          <w:sz w:val="24"/>
          <w:szCs w:val="24"/>
          <w:lang w:eastAsia="zh-CN"/>
        </w:rPr>
        <w:t>投标</w:t>
      </w:r>
      <w:r>
        <w:rPr>
          <w:rFonts w:hint="eastAsia" w:ascii="宋体" w:hAnsi="宋体" w:eastAsia="宋体" w:cs="宋体"/>
          <w:color w:val="auto"/>
          <w:sz w:val="24"/>
          <w:szCs w:val="24"/>
        </w:rPr>
        <w:t>报价的评分基准价；</w:t>
      </w:r>
    </w:p>
    <w:p w14:paraId="159B59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⑤计算各有效投标人商务</w:t>
      </w:r>
      <w:r>
        <w:rPr>
          <w:rFonts w:hint="eastAsia" w:ascii="宋体" w:hAnsi="宋体" w:cs="宋体"/>
          <w:color w:val="auto"/>
          <w:sz w:val="24"/>
          <w:szCs w:val="24"/>
          <w:lang w:eastAsia="zh-CN"/>
        </w:rPr>
        <w:t>标</w:t>
      </w:r>
      <w:r>
        <w:rPr>
          <w:rFonts w:hint="eastAsia" w:ascii="宋体" w:hAnsi="宋体" w:eastAsia="宋体" w:cs="宋体"/>
          <w:color w:val="auto"/>
          <w:sz w:val="24"/>
          <w:szCs w:val="24"/>
        </w:rPr>
        <w:t>得分。</w:t>
      </w:r>
    </w:p>
    <w:p w14:paraId="4ABB644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）资信</w:t>
      </w:r>
      <w:r>
        <w:rPr>
          <w:rFonts w:hint="eastAsia" w:ascii="宋体" w:hAnsi="宋体" w:eastAsia="宋体" w:cs="宋体"/>
          <w:color w:val="auto"/>
          <w:sz w:val="24"/>
          <w:szCs w:val="24"/>
          <w:lang w:eastAsia="zh-CN"/>
        </w:rPr>
        <w:t>部分评审内容及标准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100分</w:t>
      </w:r>
      <w:r>
        <w:rPr>
          <w:rFonts w:hint="eastAsia" w:ascii="宋体" w:hAnsi="宋体" w:cs="宋体"/>
          <w:color w:val="auto"/>
          <w:sz w:val="24"/>
          <w:szCs w:val="24"/>
          <w:lang w:eastAsia="zh-CN"/>
        </w:rPr>
        <w:t>）</w:t>
      </w:r>
    </w:p>
    <w:tbl>
      <w:tblPr>
        <w:tblStyle w:val="38"/>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1008"/>
        <w:gridCol w:w="1287"/>
        <w:gridCol w:w="945"/>
        <w:gridCol w:w="5250"/>
        <w:gridCol w:w="840"/>
      </w:tblGrid>
      <w:tr w14:paraId="25B2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pct"/>
            <w:gridSpan w:val="2"/>
            <w:noWrap w:val="0"/>
            <w:vAlign w:val="center"/>
          </w:tcPr>
          <w:p w14:paraId="4762E1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评审内容</w:t>
            </w:r>
          </w:p>
        </w:tc>
        <w:tc>
          <w:tcPr>
            <w:tcW w:w="655" w:type="pct"/>
            <w:noWrap w:val="0"/>
            <w:vAlign w:val="center"/>
          </w:tcPr>
          <w:p w14:paraId="211AE3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评分标准</w:t>
            </w:r>
          </w:p>
        </w:tc>
        <w:tc>
          <w:tcPr>
            <w:tcW w:w="481" w:type="pct"/>
            <w:noWrap w:val="0"/>
            <w:vAlign w:val="center"/>
          </w:tcPr>
          <w:p w14:paraId="7B77EA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标准分</w:t>
            </w:r>
          </w:p>
        </w:tc>
        <w:tc>
          <w:tcPr>
            <w:tcW w:w="2672" w:type="pct"/>
            <w:noWrap w:val="0"/>
            <w:vAlign w:val="center"/>
          </w:tcPr>
          <w:p w14:paraId="620B9C5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得分</w:t>
            </w:r>
          </w:p>
        </w:tc>
        <w:tc>
          <w:tcPr>
            <w:tcW w:w="427" w:type="pct"/>
            <w:noWrap w:val="0"/>
            <w:vAlign w:val="center"/>
          </w:tcPr>
          <w:p w14:paraId="0C2AEC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理由</w:t>
            </w:r>
          </w:p>
        </w:tc>
      </w:tr>
      <w:tr w14:paraId="2F87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pct"/>
            <w:gridSpan w:val="2"/>
            <w:noWrap w:val="0"/>
            <w:vAlign w:val="center"/>
          </w:tcPr>
          <w:p w14:paraId="715108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eastAsia="zh-CN"/>
              </w:rPr>
              <w:t>类似工程业绩</w:t>
            </w:r>
          </w:p>
        </w:tc>
        <w:tc>
          <w:tcPr>
            <w:tcW w:w="655" w:type="pct"/>
            <w:noWrap w:val="0"/>
            <w:vAlign w:val="center"/>
          </w:tcPr>
          <w:p w14:paraId="29108E2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eastAsia="zh-CN"/>
              </w:rPr>
              <w:t>企业业绩</w:t>
            </w:r>
          </w:p>
        </w:tc>
        <w:tc>
          <w:tcPr>
            <w:tcW w:w="481" w:type="pct"/>
            <w:noWrap w:val="0"/>
            <w:vAlign w:val="center"/>
          </w:tcPr>
          <w:p w14:paraId="6F664C3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20</w:t>
            </w:r>
          </w:p>
        </w:tc>
        <w:tc>
          <w:tcPr>
            <w:tcW w:w="2672" w:type="pct"/>
            <w:noWrap w:val="0"/>
            <w:vAlign w:val="center"/>
          </w:tcPr>
          <w:p w14:paraId="0A381F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投标人在满足资格条件(至少具有1个类似项目业绩)的基础上，每</w:t>
            </w:r>
            <w:r>
              <w:rPr>
                <w:rFonts w:hint="eastAsia" w:ascii="宋体" w:hAnsi="宋体" w:cs="宋体"/>
                <w:i w:val="0"/>
                <w:iCs w:val="0"/>
                <w:color w:val="auto"/>
                <w:sz w:val="24"/>
                <w:szCs w:val="24"/>
                <w:lang w:val="en-US" w:eastAsia="zh-CN"/>
              </w:rPr>
              <w:t>再</w:t>
            </w:r>
            <w:r>
              <w:rPr>
                <w:rFonts w:hint="eastAsia" w:ascii="宋体" w:hAnsi="宋体" w:eastAsia="宋体" w:cs="宋体"/>
                <w:i w:val="0"/>
                <w:iCs w:val="0"/>
                <w:color w:val="auto"/>
                <w:sz w:val="24"/>
                <w:szCs w:val="24"/>
              </w:rPr>
              <w:t>具有一项类似</w:t>
            </w:r>
            <w:r>
              <w:rPr>
                <w:rFonts w:hint="eastAsia" w:ascii="宋体" w:hAnsi="宋体" w:cs="宋体"/>
                <w:i w:val="0"/>
                <w:iCs w:val="0"/>
                <w:color w:val="auto"/>
                <w:sz w:val="24"/>
                <w:szCs w:val="24"/>
                <w:lang w:val="en-US" w:eastAsia="zh-CN"/>
              </w:rPr>
              <w:t>项目</w:t>
            </w:r>
            <w:r>
              <w:rPr>
                <w:rFonts w:hint="eastAsia" w:ascii="宋体" w:hAnsi="宋体" w:eastAsia="宋体" w:cs="宋体"/>
                <w:i w:val="0"/>
                <w:iCs w:val="0"/>
                <w:color w:val="auto"/>
                <w:sz w:val="24"/>
                <w:szCs w:val="24"/>
              </w:rPr>
              <w:t>业绩得</w:t>
            </w:r>
            <w:r>
              <w:rPr>
                <w:rFonts w:hint="eastAsia" w:ascii="宋体" w:hAnsi="宋体" w:cs="宋体"/>
                <w:i w:val="0"/>
                <w:iCs w:val="0"/>
                <w:color w:val="auto"/>
                <w:sz w:val="24"/>
                <w:szCs w:val="24"/>
                <w:lang w:val="en-US" w:eastAsia="zh-CN"/>
              </w:rPr>
              <w:t>10</w:t>
            </w:r>
            <w:r>
              <w:rPr>
                <w:rFonts w:hint="eastAsia" w:ascii="宋体" w:hAnsi="宋体" w:eastAsia="宋体" w:cs="宋体"/>
                <w:i w:val="0"/>
                <w:iCs w:val="0"/>
                <w:color w:val="auto"/>
                <w:sz w:val="24"/>
                <w:szCs w:val="24"/>
              </w:rPr>
              <w:t>分，最高得</w:t>
            </w:r>
            <w:r>
              <w:rPr>
                <w:rFonts w:hint="eastAsia" w:ascii="宋体" w:hAnsi="宋体" w:cs="宋体"/>
                <w:i w:val="0"/>
                <w:iCs w:val="0"/>
                <w:color w:val="auto"/>
                <w:sz w:val="24"/>
                <w:szCs w:val="24"/>
                <w:lang w:val="en-US" w:eastAsia="zh-CN"/>
              </w:rPr>
              <w:t>20</w:t>
            </w:r>
            <w:r>
              <w:rPr>
                <w:rFonts w:hint="eastAsia" w:ascii="宋体" w:hAnsi="宋体" w:eastAsia="宋体" w:cs="宋体"/>
                <w:i w:val="0"/>
                <w:iCs w:val="0"/>
                <w:color w:val="auto"/>
                <w:sz w:val="24"/>
                <w:szCs w:val="24"/>
              </w:rPr>
              <w:t>分。投标文件中附业绩合同原件扫描件和中标通知书原件扫描件和竣工验收证明（或建设单位出具的完工证明）原件扫描件，所附资料不全者，该业绩不予计分。</w:t>
            </w:r>
          </w:p>
        </w:tc>
        <w:tc>
          <w:tcPr>
            <w:tcW w:w="427" w:type="pct"/>
            <w:noWrap w:val="0"/>
            <w:vAlign w:val="center"/>
          </w:tcPr>
          <w:p w14:paraId="0A0760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0EF6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250" w:type="pct"/>
            <w:noWrap w:val="0"/>
            <w:vAlign w:val="center"/>
          </w:tcPr>
          <w:p w14:paraId="7E08B1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主要人员</w:t>
            </w:r>
          </w:p>
        </w:tc>
        <w:tc>
          <w:tcPr>
            <w:tcW w:w="512" w:type="pct"/>
            <w:noWrap w:val="0"/>
            <w:vAlign w:val="center"/>
          </w:tcPr>
          <w:p w14:paraId="6969BF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eastAsia="zh-CN"/>
              </w:rPr>
              <w:t>项目经理、技术负责人、</w:t>
            </w:r>
            <w:r>
              <w:rPr>
                <w:rFonts w:hint="eastAsia" w:ascii="宋体" w:hAnsi="宋体" w:eastAsia="宋体" w:cs="宋体"/>
                <w:i w:val="0"/>
                <w:iCs w:val="0"/>
                <w:color w:val="auto"/>
                <w:sz w:val="24"/>
                <w:szCs w:val="24"/>
                <w:lang w:eastAsia="zh-CN"/>
              </w:rPr>
              <w:t>施工负责人</w:t>
            </w:r>
            <w:r>
              <w:rPr>
                <w:rFonts w:hint="eastAsia" w:ascii="宋体" w:hAnsi="宋体" w:cs="宋体"/>
                <w:i w:val="0"/>
                <w:iCs w:val="0"/>
                <w:color w:val="auto"/>
                <w:sz w:val="24"/>
                <w:szCs w:val="24"/>
                <w:lang w:eastAsia="zh-CN"/>
              </w:rPr>
              <w:t>、</w:t>
            </w:r>
            <w:r>
              <w:rPr>
                <w:rFonts w:hint="eastAsia" w:ascii="宋体" w:hAnsi="宋体" w:eastAsia="宋体" w:cs="宋体"/>
                <w:i w:val="0"/>
                <w:iCs w:val="0"/>
                <w:color w:val="auto"/>
                <w:sz w:val="24"/>
                <w:szCs w:val="24"/>
                <w:lang w:eastAsia="zh-CN"/>
              </w:rPr>
              <w:t>设计负责人</w:t>
            </w:r>
          </w:p>
        </w:tc>
        <w:tc>
          <w:tcPr>
            <w:tcW w:w="655" w:type="pct"/>
            <w:noWrap w:val="0"/>
            <w:vAlign w:val="center"/>
          </w:tcPr>
          <w:p w14:paraId="7D92551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项目经理及各专业负责人职业资格、工作经历、职称等综合情况。</w:t>
            </w:r>
          </w:p>
        </w:tc>
        <w:tc>
          <w:tcPr>
            <w:tcW w:w="481" w:type="pct"/>
            <w:noWrap w:val="0"/>
            <w:vAlign w:val="center"/>
          </w:tcPr>
          <w:p w14:paraId="15DBBF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i w:val="0"/>
                <w:iCs w:val="0"/>
                <w:color w:val="auto"/>
                <w:sz w:val="24"/>
                <w:szCs w:val="24"/>
                <w:lang w:val="en-US"/>
              </w:rPr>
            </w:pPr>
            <w:r>
              <w:rPr>
                <w:rFonts w:hint="eastAsia" w:ascii="宋体" w:hAnsi="宋体" w:cs="宋体"/>
                <w:i w:val="0"/>
                <w:iCs w:val="0"/>
                <w:color w:val="auto"/>
                <w:sz w:val="24"/>
                <w:szCs w:val="24"/>
                <w:lang w:val="en-US" w:eastAsia="zh-CN"/>
              </w:rPr>
              <w:t>50</w:t>
            </w:r>
          </w:p>
        </w:tc>
        <w:tc>
          <w:tcPr>
            <w:tcW w:w="2672" w:type="pct"/>
            <w:noWrap w:val="0"/>
            <w:vAlign w:val="center"/>
          </w:tcPr>
          <w:p w14:paraId="7C3A04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项目经理：具有建筑专业类正高级专业技术职称的得20分；</w:t>
            </w:r>
          </w:p>
          <w:p w14:paraId="072919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项目经理具有类似项目业绩，得</w:t>
            </w:r>
            <w:r>
              <w:rPr>
                <w:rFonts w:hint="eastAsia" w:ascii="宋体" w:hAnsi="宋体" w:cs="宋体"/>
                <w:i w:val="0"/>
                <w:iCs w:val="0"/>
                <w:color w:val="auto"/>
                <w:sz w:val="24"/>
                <w:szCs w:val="24"/>
                <w:lang w:val="en-US" w:eastAsia="zh-CN"/>
              </w:rPr>
              <w:t>10</w:t>
            </w:r>
            <w:r>
              <w:rPr>
                <w:rFonts w:hint="eastAsia" w:ascii="宋体" w:hAnsi="宋体" w:eastAsia="宋体" w:cs="宋体"/>
                <w:i w:val="0"/>
                <w:iCs w:val="0"/>
                <w:color w:val="auto"/>
                <w:sz w:val="24"/>
                <w:szCs w:val="24"/>
              </w:rPr>
              <w:t>分。合同中须体现项目经理姓名，不体现项目经理姓名的，需提供相关证明材料，否则项目经理业绩无效。投标文件中附业绩合同原件扫描件和中标通知书原件扫描件和竣工验收证明（或建设单位出具的完工证明）原件扫描件，所附资料不全者，该业绩不予计分。</w:t>
            </w:r>
          </w:p>
          <w:p w14:paraId="2A6069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施工负责人：具有建筑专业类正高级专业技术职称的得10分。</w:t>
            </w:r>
          </w:p>
          <w:p w14:paraId="226837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设计负责人：具有建筑设计专业类正高级专业技术职称的得10分。</w:t>
            </w:r>
          </w:p>
        </w:tc>
        <w:tc>
          <w:tcPr>
            <w:tcW w:w="427" w:type="pct"/>
            <w:noWrap w:val="0"/>
            <w:vAlign w:val="center"/>
          </w:tcPr>
          <w:p w14:paraId="5B7702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A1E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763" w:type="pct"/>
            <w:gridSpan w:val="2"/>
            <w:noWrap w:val="0"/>
            <w:vAlign w:val="center"/>
          </w:tcPr>
          <w:p w14:paraId="2C742F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项目组人员</w:t>
            </w:r>
            <w:r>
              <w:rPr>
                <w:rFonts w:hint="eastAsia" w:ascii="宋体" w:hAnsi="宋体" w:cs="宋体"/>
                <w:i w:val="0"/>
                <w:iCs w:val="0"/>
                <w:color w:val="auto"/>
                <w:sz w:val="24"/>
                <w:szCs w:val="24"/>
                <w:lang w:eastAsia="zh-CN"/>
              </w:rPr>
              <w:t>配备</w:t>
            </w:r>
            <w:r>
              <w:rPr>
                <w:rFonts w:hint="eastAsia" w:ascii="宋体" w:hAnsi="宋体" w:eastAsia="宋体" w:cs="宋体"/>
                <w:i w:val="0"/>
                <w:iCs w:val="0"/>
                <w:color w:val="auto"/>
                <w:sz w:val="24"/>
                <w:szCs w:val="24"/>
                <w:lang w:eastAsia="zh-CN"/>
              </w:rPr>
              <w:t>情况</w:t>
            </w:r>
          </w:p>
        </w:tc>
        <w:tc>
          <w:tcPr>
            <w:tcW w:w="655" w:type="pct"/>
            <w:noWrap w:val="0"/>
            <w:vAlign w:val="center"/>
          </w:tcPr>
          <w:p w14:paraId="4CAB59B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eastAsia="zh-CN"/>
              </w:rPr>
              <w:t>项目管理班子及其他主要人员配备专业能力、</w:t>
            </w:r>
            <w:r>
              <w:rPr>
                <w:rFonts w:hint="eastAsia" w:ascii="宋体" w:hAnsi="宋体" w:cs="宋体"/>
                <w:i w:val="0"/>
                <w:iCs w:val="0"/>
                <w:color w:val="auto"/>
                <w:sz w:val="24"/>
                <w:szCs w:val="24"/>
                <w:lang w:val="en-US" w:eastAsia="zh-CN"/>
              </w:rPr>
              <w:t>职业资格、职称等综合情况</w:t>
            </w:r>
          </w:p>
        </w:tc>
        <w:tc>
          <w:tcPr>
            <w:tcW w:w="481" w:type="pct"/>
            <w:noWrap w:val="0"/>
            <w:vAlign w:val="center"/>
          </w:tcPr>
          <w:p w14:paraId="2A492F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i w:val="0"/>
                <w:iCs w:val="0"/>
                <w:color w:val="auto"/>
                <w:sz w:val="24"/>
                <w:szCs w:val="24"/>
                <w:lang w:val="en-US"/>
              </w:rPr>
            </w:pPr>
            <w:r>
              <w:rPr>
                <w:rFonts w:hint="eastAsia" w:ascii="宋体" w:hAnsi="宋体" w:cs="宋体"/>
                <w:i w:val="0"/>
                <w:iCs w:val="0"/>
                <w:color w:val="auto"/>
                <w:sz w:val="24"/>
                <w:szCs w:val="24"/>
                <w:lang w:val="en-US" w:eastAsia="zh-CN"/>
              </w:rPr>
              <w:t>30</w:t>
            </w:r>
          </w:p>
        </w:tc>
        <w:tc>
          <w:tcPr>
            <w:tcW w:w="2672" w:type="pct"/>
            <w:noWrap w:val="0"/>
            <w:vAlign w:val="center"/>
          </w:tcPr>
          <w:p w14:paraId="3BF44C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项目组成员及其他主要人员专业配备齐全，除主要人员</w:t>
            </w:r>
            <w:r>
              <w:rPr>
                <w:rFonts w:hint="eastAsia" w:ascii="宋体" w:hAnsi="宋体" w:cs="宋体"/>
                <w:i w:val="0"/>
                <w:iCs w:val="0"/>
                <w:color w:val="auto"/>
                <w:sz w:val="24"/>
                <w:szCs w:val="24"/>
                <w:lang w:eastAsia="zh-CN"/>
              </w:rPr>
              <w:t>（</w:t>
            </w:r>
            <w:r>
              <w:rPr>
                <w:rFonts w:hint="eastAsia" w:ascii="宋体" w:hAnsi="宋体" w:cs="宋体"/>
                <w:i w:val="0"/>
                <w:iCs w:val="0"/>
                <w:color w:val="auto"/>
                <w:sz w:val="24"/>
                <w:szCs w:val="24"/>
                <w:lang w:val="en-US" w:eastAsia="zh-CN"/>
              </w:rPr>
              <w:t>项目经理、施工负责人、设计负责人</w:t>
            </w:r>
            <w:r>
              <w:rPr>
                <w:rFonts w:hint="eastAsia" w:ascii="宋体" w:hAnsi="宋体" w:cs="宋体"/>
                <w:i w:val="0"/>
                <w:iCs w:val="0"/>
                <w:color w:val="auto"/>
                <w:sz w:val="24"/>
                <w:szCs w:val="24"/>
                <w:lang w:eastAsia="zh-CN"/>
              </w:rPr>
              <w:t>）</w:t>
            </w:r>
            <w:r>
              <w:rPr>
                <w:rFonts w:hint="eastAsia" w:ascii="宋体" w:hAnsi="宋体" w:eastAsia="宋体" w:cs="宋体"/>
                <w:i w:val="0"/>
                <w:iCs w:val="0"/>
                <w:color w:val="auto"/>
                <w:sz w:val="24"/>
                <w:szCs w:val="24"/>
              </w:rPr>
              <w:t>外，项目组成员每有1名建筑专业类高级</w:t>
            </w:r>
            <w:r>
              <w:rPr>
                <w:rFonts w:hint="eastAsia" w:ascii="宋体" w:hAnsi="宋体" w:cs="宋体"/>
                <w:i w:val="0"/>
                <w:iCs w:val="0"/>
                <w:color w:val="auto"/>
                <w:sz w:val="24"/>
                <w:szCs w:val="24"/>
                <w:lang w:val="en-US" w:eastAsia="zh-CN"/>
              </w:rPr>
              <w:t>及以上</w:t>
            </w:r>
            <w:r>
              <w:rPr>
                <w:rFonts w:hint="eastAsia" w:ascii="宋体" w:hAnsi="宋体" w:eastAsia="宋体" w:cs="宋体"/>
                <w:i w:val="0"/>
                <w:iCs w:val="0"/>
                <w:color w:val="auto"/>
                <w:sz w:val="24"/>
                <w:szCs w:val="24"/>
              </w:rPr>
              <w:t>专业技术职称</w:t>
            </w:r>
            <w:r>
              <w:rPr>
                <w:rFonts w:hint="eastAsia" w:ascii="宋体" w:hAnsi="宋体" w:cs="宋体"/>
                <w:i w:val="0"/>
                <w:iCs w:val="0"/>
                <w:color w:val="auto"/>
                <w:sz w:val="24"/>
                <w:szCs w:val="24"/>
                <w:lang w:val="en-US" w:eastAsia="zh-CN"/>
              </w:rPr>
              <w:t>或</w:t>
            </w:r>
            <w:r>
              <w:rPr>
                <w:rFonts w:hint="eastAsia" w:ascii="宋体" w:hAnsi="宋体" w:eastAsia="宋体" w:cs="宋体"/>
                <w:i w:val="0"/>
                <w:iCs w:val="0"/>
                <w:color w:val="auto"/>
                <w:sz w:val="24"/>
                <w:szCs w:val="24"/>
              </w:rPr>
              <w:t>建筑工程专业</w:t>
            </w:r>
            <w:r>
              <w:rPr>
                <w:rFonts w:hint="eastAsia" w:ascii="宋体" w:hAnsi="宋体" w:cs="宋体"/>
                <w:i w:val="0"/>
                <w:iCs w:val="0"/>
                <w:color w:val="auto"/>
                <w:sz w:val="24"/>
                <w:szCs w:val="24"/>
                <w:lang w:val="en-US" w:eastAsia="zh-CN"/>
              </w:rPr>
              <w:t>一</w:t>
            </w:r>
            <w:r>
              <w:rPr>
                <w:rFonts w:hint="eastAsia" w:ascii="宋体" w:hAnsi="宋体" w:eastAsia="宋体" w:cs="宋体"/>
                <w:i w:val="0"/>
                <w:iCs w:val="0"/>
                <w:color w:val="auto"/>
                <w:sz w:val="24"/>
                <w:szCs w:val="24"/>
              </w:rPr>
              <w:t>级注册建造师的得3分。同一人同时具有职称和</w:t>
            </w:r>
            <w:r>
              <w:rPr>
                <w:rFonts w:hint="eastAsia" w:ascii="宋体" w:hAnsi="宋体" w:cs="宋体"/>
                <w:i w:val="0"/>
                <w:iCs w:val="0"/>
                <w:color w:val="auto"/>
                <w:sz w:val="24"/>
                <w:szCs w:val="24"/>
                <w:lang w:val="en-US" w:eastAsia="zh-CN"/>
              </w:rPr>
              <w:t>注册资格的</w:t>
            </w:r>
            <w:r>
              <w:rPr>
                <w:rFonts w:hint="eastAsia" w:ascii="宋体" w:hAnsi="宋体" w:eastAsia="宋体" w:cs="宋体"/>
                <w:i w:val="0"/>
                <w:iCs w:val="0"/>
                <w:color w:val="auto"/>
                <w:sz w:val="24"/>
                <w:szCs w:val="24"/>
              </w:rPr>
              <w:t>不重复</w:t>
            </w:r>
            <w:r>
              <w:rPr>
                <w:rFonts w:hint="eastAsia" w:ascii="宋体" w:hAnsi="宋体" w:cs="宋体"/>
                <w:i w:val="0"/>
                <w:iCs w:val="0"/>
                <w:color w:val="auto"/>
                <w:sz w:val="24"/>
                <w:szCs w:val="24"/>
                <w:lang w:val="en-US" w:eastAsia="zh-CN"/>
              </w:rPr>
              <w:t>计分</w:t>
            </w:r>
            <w:r>
              <w:rPr>
                <w:rFonts w:hint="eastAsia" w:ascii="宋体" w:hAnsi="宋体" w:eastAsia="宋体" w:cs="宋体"/>
                <w:i w:val="0"/>
                <w:iCs w:val="0"/>
                <w:color w:val="auto"/>
                <w:sz w:val="24"/>
                <w:szCs w:val="24"/>
              </w:rPr>
              <w:t>。此项满分为30分。</w:t>
            </w:r>
          </w:p>
        </w:tc>
        <w:tc>
          <w:tcPr>
            <w:tcW w:w="427" w:type="pct"/>
            <w:noWrap w:val="0"/>
            <w:vAlign w:val="center"/>
          </w:tcPr>
          <w:p w14:paraId="524C8D7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bl>
    <w:p w14:paraId="0C67FB7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rPr>
        <w:t>注：</w:t>
      </w:r>
      <w:r>
        <w:rPr>
          <w:rFonts w:hint="eastAsia" w:ascii="宋体" w:hAnsi="宋体" w:eastAsia="宋体" w:cs="宋体"/>
          <w:i w:val="0"/>
          <w:iCs w:val="0"/>
          <w:color w:val="auto"/>
          <w:sz w:val="21"/>
          <w:szCs w:val="21"/>
          <w:lang w:val="en-US" w:eastAsia="zh-CN"/>
        </w:rPr>
        <w:t>a.主要人员的评审内容的证明材料以</w:t>
      </w:r>
      <w:r>
        <w:rPr>
          <w:rFonts w:hint="eastAsia" w:ascii="宋体" w:hAnsi="宋体" w:cs="宋体"/>
          <w:i w:val="0"/>
          <w:iCs w:val="0"/>
          <w:color w:val="auto"/>
          <w:sz w:val="21"/>
          <w:szCs w:val="21"/>
          <w:lang w:val="en-US" w:eastAsia="zh-CN"/>
        </w:rPr>
        <w:t>注册证书或</w:t>
      </w:r>
      <w:r>
        <w:rPr>
          <w:rFonts w:hint="eastAsia" w:ascii="宋体" w:hAnsi="宋体" w:eastAsia="宋体" w:cs="宋体"/>
          <w:i w:val="0"/>
          <w:iCs w:val="0"/>
          <w:color w:val="auto"/>
          <w:sz w:val="21"/>
          <w:szCs w:val="21"/>
          <w:lang w:val="en-US" w:eastAsia="zh-CN"/>
        </w:rPr>
        <w:t>职称证书原件的扫描件为准；项目组人员证件可提供身份证、毕业证、职称证（如有）、注册证（如有）等投标人认为有必要的资料的扫描件。</w:t>
      </w:r>
    </w:p>
    <w:p w14:paraId="765048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b.招标人可根据项目需要，调整评审内容、细化评分档次及各子项标准分。</w:t>
      </w:r>
    </w:p>
    <w:p w14:paraId="3A6E0D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rPr>
      </w:pPr>
      <w:r>
        <w:rPr>
          <w:rFonts w:hint="eastAsia" w:ascii="宋体" w:hAnsi="宋体" w:cs="宋体"/>
          <w:i w:val="0"/>
          <w:iCs w:val="0"/>
          <w:color w:val="auto"/>
          <w:sz w:val="21"/>
          <w:szCs w:val="21"/>
          <w:lang w:val="en-US" w:eastAsia="zh-CN"/>
        </w:rPr>
        <w:t>c</w:t>
      </w:r>
      <w:r>
        <w:rPr>
          <w:rFonts w:hint="eastAsia" w:ascii="宋体" w:hAnsi="宋体" w:eastAsia="宋体" w:cs="宋体"/>
          <w:i w:val="0"/>
          <w:iCs w:val="0"/>
          <w:color w:val="auto"/>
          <w:sz w:val="21"/>
          <w:szCs w:val="21"/>
          <w:lang w:val="en-US" w:eastAsia="zh-CN"/>
        </w:rPr>
        <w:t>.</w:t>
      </w:r>
      <w:r>
        <w:rPr>
          <w:rFonts w:hint="eastAsia" w:ascii="宋体" w:hAnsi="宋体" w:eastAsia="宋体" w:cs="宋体"/>
          <w:i w:val="0"/>
          <w:iCs w:val="0"/>
          <w:color w:val="auto"/>
          <w:sz w:val="21"/>
          <w:szCs w:val="21"/>
        </w:rPr>
        <w:t>每项内容只允许打一次分，超出时打分无效；</w:t>
      </w:r>
      <w:r>
        <w:rPr>
          <w:rFonts w:hint="eastAsia" w:ascii="宋体" w:hAnsi="宋体" w:eastAsia="宋体" w:cs="宋体"/>
          <w:i w:val="0"/>
          <w:iCs w:val="0"/>
          <w:color w:val="auto"/>
          <w:sz w:val="21"/>
          <w:szCs w:val="21"/>
          <w:lang w:eastAsia="zh-CN"/>
        </w:rPr>
        <w:t>未提供或不满足</w:t>
      </w:r>
      <w:r>
        <w:rPr>
          <w:rFonts w:hint="eastAsia" w:ascii="宋体" w:hAnsi="宋体" w:eastAsia="宋体" w:cs="宋体"/>
          <w:i w:val="0"/>
          <w:iCs w:val="0"/>
          <w:color w:val="auto"/>
          <w:sz w:val="21"/>
          <w:szCs w:val="21"/>
        </w:rPr>
        <w:t>得零分。评委应对每项评审内容写明评分或扣分理由。未按本规则打分无效。</w:t>
      </w:r>
    </w:p>
    <w:p w14:paraId="775D594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cs="宋体"/>
          <w:i w:val="0"/>
          <w:iCs w:val="0"/>
          <w:color w:val="auto"/>
          <w:sz w:val="21"/>
          <w:szCs w:val="21"/>
          <w:lang w:val="en-US" w:eastAsia="zh-CN"/>
        </w:rPr>
      </w:pPr>
      <w:r>
        <w:rPr>
          <w:rFonts w:hint="eastAsia" w:ascii="宋体" w:hAnsi="宋体" w:cs="宋体"/>
          <w:i w:val="0"/>
          <w:iCs w:val="0"/>
          <w:color w:val="auto"/>
          <w:sz w:val="21"/>
          <w:szCs w:val="21"/>
          <w:lang w:val="en-US" w:eastAsia="zh-CN"/>
        </w:rPr>
        <w:t>d.一、二、三标段投标人类似项目业绩是指：</w:t>
      </w:r>
      <w:r>
        <w:rPr>
          <w:rFonts w:hint="eastAsia" w:ascii="宋体" w:hAnsi="宋体" w:eastAsia="宋体" w:cs="宋体"/>
          <w:i w:val="0"/>
          <w:iCs w:val="0"/>
          <w:color w:val="auto"/>
          <w:sz w:val="21"/>
          <w:szCs w:val="21"/>
          <w:lang w:val="en-US" w:eastAsia="zh-CN"/>
        </w:rPr>
        <w:t>自2022年11月1日以来完成过（以竣工验收证明或完工证明中的竣工时间为准）单项合同总建筑面积80000平方米及以上或单项合同金额25000万元及以上公共建筑工程总承包业绩，或者是联合体各方的工程总承包施工业绩+工程总承包设计业绩；</w:t>
      </w:r>
    </w:p>
    <w:p w14:paraId="688510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e.</w:t>
      </w:r>
      <w:r>
        <w:rPr>
          <w:rFonts w:hint="eastAsia" w:ascii="宋体" w:hAnsi="宋体" w:cs="宋体"/>
          <w:i w:val="0"/>
          <w:iCs w:val="0"/>
          <w:color w:val="auto"/>
          <w:sz w:val="21"/>
          <w:szCs w:val="21"/>
          <w:lang w:val="en-US" w:eastAsia="zh-CN"/>
        </w:rPr>
        <w:t>一、二、三标段</w:t>
      </w:r>
      <w:r>
        <w:rPr>
          <w:rFonts w:hint="eastAsia" w:ascii="宋体" w:hAnsi="宋体" w:eastAsia="宋体" w:cs="宋体"/>
          <w:i w:val="0"/>
          <w:iCs w:val="0"/>
          <w:color w:val="auto"/>
          <w:sz w:val="21"/>
          <w:szCs w:val="21"/>
        </w:rPr>
        <w:t>项目经理类似项目业绩是指以项目经理身份承建的工程总承包业绩，</w:t>
      </w:r>
      <w:r>
        <w:rPr>
          <w:rFonts w:hint="eastAsia" w:ascii="宋体" w:hAnsi="宋体" w:eastAsia="宋体" w:cs="宋体"/>
          <w:i w:val="0"/>
          <w:iCs w:val="0"/>
          <w:color w:val="auto"/>
          <w:sz w:val="21"/>
          <w:szCs w:val="21"/>
          <w:lang w:val="en-US" w:eastAsia="zh-CN"/>
        </w:rPr>
        <w:t>时间、</w:t>
      </w:r>
      <w:r>
        <w:rPr>
          <w:rFonts w:hint="eastAsia" w:ascii="宋体" w:hAnsi="宋体" w:cs="宋体"/>
          <w:i w:val="0"/>
          <w:iCs w:val="0"/>
          <w:color w:val="auto"/>
          <w:sz w:val="21"/>
          <w:szCs w:val="21"/>
          <w:lang w:val="en-US" w:eastAsia="zh-CN"/>
        </w:rPr>
        <w:t>规模和金额同投标人类似项目业绩要求。</w:t>
      </w:r>
    </w:p>
    <w:p w14:paraId="729E02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cs="宋体"/>
          <w:i w:val="0"/>
          <w:iCs w:val="0"/>
          <w:color w:val="auto"/>
          <w:sz w:val="21"/>
          <w:szCs w:val="21"/>
          <w:lang w:val="en-US" w:eastAsia="zh-CN"/>
        </w:rPr>
      </w:pPr>
      <w:r>
        <w:rPr>
          <w:rFonts w:hint="eastAsia" w:ascii="宋体" w:hAnsi="宋体" w:cs="宋体"/>
          <w:i w:val="0"/>
          <w:iCs w:val="0"/>
          <w:color w:val="auto"/>
          <w:sz w:val="21"/>
          <w:szCs w:val="21"/>
          <w:lang w:val="en-US" w:eastAsia="zh-CN"/>
        </w:rPr>
        <w:t>f.四标段投标人类似项目业绩是指：自2022年11月1日以来完成过（以竣工验收证明或完工证明中的竣工时间为准）单项合同总建筑面积50000平方米及以上或单项合同金额15000万元及以上公共建筑工程总承包业绩，或者是联合体各方的工程总承包施工业绩+工程总承包设计业绩。</w:t>
      </w:r>
    </w:p>
    <w:p w14:paraId="4A0E9F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g.四</w:t>
      </w:r>
      <w:r>
        <w:rPr>
          <w:rFonts w:hint="eastAsia" w:ascii="宋体" w:hAnsi="宋体" w:cs="宋体"/>
          <w:i w:val="0"/>
          <w:iCs w:val="0"/>
          <w:color w:val="auto"/>
          <w:sz w:val="21"/>
          <w:szCs w:val="21"/>
          <w:lang w:val="en-US" w:eastAsia="zh-CN"/>
        </w:rPr>
        <w:t>标段</w:t>
      </w:r>
      <w:r>
        <w:rPr>
          <w:rFonts w:hint="eastAsia" w:ascii="宋体" w:hAnsi="宋体" w:eastAsia="宋体" w:cs="宋体"/>
          <w:i w:val="0"/>
          <w:iCs w:val="0"/>
          <w:color w:val="auto"/>
          <w:sz w:val="21"/>
          <w:szCs w:val="21"/>
        </w:rPr>
        <w:t>项目经理类似项目业绩是指以项目经理身份承建的工程总承包业绩，</w:t>
      </w:r>
      <w:r>
        <w:rPr>
          <w:rFonts w:hint="eastAsia" w:ascii="宋体" w:hAnsi="宋体" w:eastAsia="宋体" w:cs="宋体"/>
          <w:i w:val="0"/>
          <w:iCs w:val="0"/>
          <w:color w:val="auto"/>
          <w:sz w:val="21"/>
          <w:szCs w:val="21"/>
          <w:lang w:val="en-US" w:eastAsia="zh-CN"/>
        </w:rPr>
        <w:t>时间、</w:t>
      </w:r>
      <w:r>
        <w:rPr>
          <w:rFonts w:hint="eastAsia" w:ascii="宋体" w:hAnsi="宋体" w:cs="宋体"/>
          <w:i w:val="0"/>
          <w:iCs w:val="0"/>
          <w:color w:val="auto"/>
          <w:sz w:val="21"/>
          <w:szCs w:val="21"/>
          <w:lang w:val="en-US" w:eastAsia="zh-CN"/>
        </w:rPr>
        <w:t>规模和金额同投标人类似项目业绩要求。</w:t>
      </w:r>
    </w:p>
    <w:p w14:paraId="60F1090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）计算评</w:t>
      </w:r>
      <w:r>
        <w:rPr>
          <w:rFonts w:hint="eastAsia" w:ascii="宋体" w:hAnsi="宋体" w:cs="宋体"/>
          <w:color w:val="auto"/>
          <w:sz w:val="24"/>
          <w:szCs w:val="24"/>
          <w:lang w:eastAsia="zh-CN"/>
        </w:rPr>
        <w:t>分</w:t>
      </w:r>
      <w:r>
        <w:rPr>
          <w:rFonts w:hint="eastAsia" w:ascii="宋体" w:hAnsi="宋体" w:eastAsia="宋体" w:cs="宋体"/>
          <w:color w:val="auto"/>
          <w:sz w:val="24"/>
          <w:szCs w:val="24"/>
          <w:lang w:eastAsia="zh-CN"/>
        </w:rPr>
        <w:t>基准价</w:t>
      </w:r>
    </w:p>
    <w:p w14:paraId="7054686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以有效投标报价的算术平均数作为评</w:t>
      </w:r>
      <w:r>
        <w:rPr>
          <w:rFonts w:hint="eastAsia" w:ascii="宋体" w:hAnsi="宋体" w:cs="宋体"/>
          <w:color w:val="auto"/>
          <w:sz w:val="24"/>
          <w:szCs w:val="24"/>
          <w:lang w:val="en-US" w:eastAsia="zh-CN"/>
        </w:rPr>
        <w:t>分</w:t>
      </w:r>
      <w:r>
        <w:rPr>
          <w:rFonts w:hint="eastAsia" w:ascii="宋体" w:hAnsi="宋体" w:eastAsia="宋体" w:cs="宋体"/>
          <w:color w:val="auto"/>
          <w:sz w:val="24"/>
          <w:szCs w:val="24"/>
          <w:lang w:val="en-US" w:eastAsia="zh-CN"/>
        </w:rPr>
        <w:t>基准价。有效投标人数量为N，有效投标报价是指</w:t>
      </w:r>
      <w:r>
        <w:rPr>
          <w:rFonts w:hint="eastAsia" w:ascii="宋体" w:hAnsi="宋体" w:cs="宋体"/>
          <w:color w:val="auto"/>
          <w:sz w:val="24"/>
          <w:szCs w:val="24"/>
          <w:lang w:val="en-US" w:eastAsia="zh-CN"/>
        </w:rPr>
        <w:t>投标文件</w:t>
      </w:r>
      <w:r>
        <w:rPr>
          <w:rFonts w:hint="eastAsia" w:ascii="宋体" w:hAnsi="宋体" w:eastAsia="宋体" w:cs="宋体"/>
          <w:color w:val="auto"/>
          <w:sz w:val="24"/>
          <w:szCs w:val="24"/>
          <w:lang w:val="en-US" w:eastAsia="zh-CN"/>
        </w:rPr>
        <w:t>通过初步评审且不超过最高限价的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en-US" w:eastAsia="zh-CN"/>
        </w:rPr>
        <w:t>报价。评</w:t>
      </w:r>
      <w:r>
        <w:rPr>
          <w:rFonts w:hint="eastAsia" w:ascii="宋体" w:hAnsi="宋体" w:cs="宋体"/>
          <w:color w:val="auto"/>
          <w:sz w:val="24"/>
          <w:szCs w:val="24"/>
          <w:lang w:val="en-US" w:eastAsia="zh-CN"/>
        </w:rPr>
        <w:t>分</w:t>
      </w:r>
      <w:r>
        <w:rPr>
          <w:rFonts w:hint="eastAsia" w:ascii="宋体" w:hAnsi="宋体" w:eastAsia="宋体" w:cs="宋体"/>
          <w:color w:val="auto"/>
          <w:sz w:val="24"/>
          <w:szCs w:val="24"/>
          <w:lang w:val="en-US" w:eastAsia="zh-CN"/>
        </w:rPr>
        <w:t>基准价计算方法为：</w:t>
      </w:r>
    </w:p>
    <w:p w14:paraId="35D43BA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①当0＜N≤7家时，取所有有效投标报价的算术平均值；</w:t>
      </w:r>
    </w:p>
    <w:p w14:paraId="4A58F30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②当7＜N≤13家时，取去掉1个最高有效投标报价及1个最低有效投标报价后的所有有效投标报价的算术平均值；</w:t>
      </w:r>
    </w:p>
    <w:p w14:paraId="71589B5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③当13＜N≤20家时，取去掉2个最高有效投标报价及2个最低有效投标报价后的所有有效投标报价的算术平均值</w:t>
      </w:r>
      <w:r>
        <w:rPr>
          <w:rFonts w:hint="eastAsia" w:ascii="宋体" w:hAnsi="宋体" w:cs="宋体"/>
          <w:i w:val="0"/>
          <w:iCs w:val="0"/>
          <w:color w:val="auto"/>
          <w:sz w:val="24"/>
          <w:szCs w:val="24"/>
          <w:lang w:val="en-US" w:eastAsia="zh-CN"/>
        </w:rPr>
        <w:t>；</w:t>
      </w:r>
    </w:p>
    <w:p w14:paraId="49DFD73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④当20＜N≤30家时，取去掉3个最高有效投标报价及3个最低有效投标报价后的所有有效投标报价的算术平均值</w:t>
      </w:r>
    </w:p>
    <w:p w14:paraId="47CD5CA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⑤当30＜N≤40家时，取去掉4个最高有效投标报价及4个最低有效投标报价后的所有有效投标报价的算术平均值</w:t>
      </w:r>
    </w:p>
    <w:p w14:paraId="08A2872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⑥当40＜N≤50家时，取去掉5个最高有效投标报价及5个最低有效投标报价后的所有有效投标报价的算术平均值</w:t>
      </w:r>
    </w:p>
    <w:p w14:paraId="08A231F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⑦当50＜N≤60家时，取去掉6个最高有效投标报价及6个最低有效投标报价后的所有有效投标报价的算术平均值</w:t>
      </w:r>
    </w:p>
    <w:p w14:paraId="57FE944A">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⑧当60＜N≤70家时，取去掉7个最高有效投标报价及7个最低有效投标报价后的所有有效投标报价的算术平均值</w:t>
      </w:r>
    </w:p>
    <w:p w14:paraId="19BDBA0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⑨当70＜N≤80家时，取去掉8个最高有效投标报价及8个最低有效投标报价后的所有有效投标报价的算术平均值</w:t>
      </w:r>
    </w:p>
    <w:p w14:paraId="4D23F10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⑩当80＜N≤90家时，取去掉9个最高有效投标报价及9个最低有效投标报价后的所有有效投标报价的算术平均值</w:t>
      </w:r>
    </w:p>
    <w:p w14:paraId="3E0A7BE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⑪当90＜N≤100家时，取去掉10个最高有效投标报价及10个最低有效投标报价后的所有有效投标报价的算术平均值</w:t>
      </w:r>
    </w:p>
    <w:p w14:paraId="22B0FE0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⑫当N&gt;</w:t>
      </w:r>
      <w:r>
        <w:rPr>
          <w:rFonts w:hint="eastAsia" w:ascii="宋体" w:hAnsi="宋体" w:cs="宋体"/>
          <w:i w:val="0"/>
          <w:iCs w:val="0"/>
          <w:color w:val="auto"/>
          <w:sz w:val="24"/>
          <w:szCs w:val="24"/>
          <w:lang w:val="en-US" w:eastAsia="zh-CN"/>
        </w:rPr>
        <w:t>10</w:t>
      </w:r>
      <w:r>
        <w:rPr>
          <w:rFonts w:hint="eastAsia" w:ascii="宋体" w:hAnsi="宋体" w:eastAsia="宋体" w:cs="宋体"/>
          <w:i w:val="0"/>
          <w:iCs w:val="0"/>
          <w:color w:val="auto"/>
          <w:sz w:val="24"/>
          <w:szCs w:val="24"/>
          <w:lang w:val="en-US" w:eastAsia="zh-CN"/>
        </w:rPr>
        <w:t>0家时，取去掉</w:t>
      </w:r>
      <w:r>
        <w:rPr>
          <w:rFonts w:hint="eastAsia" w:ascii="宋体" w:hAnsi="宋体" w:cs="宋体"/>
          <w:i w:val="0"/>
          <w:iCs w:val="0"/>
          <w:color w:val="auto"/>
          <w:sz w:val="24"/>
          <w:szCs w:val="24"/>
          <w:lang w:val="en-US" w:eastAsia="zh-CN"/>
        </w:rPr>
        <w:t>11</w:t>
      </w:r>
      <w:r>
        <w:rPr>
          <w:rFonts w:hint="eastAsia" w:ascii="宋体" w:hAnsi="宋体" w:eastAsia="宋体" w:cs="宋体"/>
          <w:i w:val="0"/>
          <w:iCs w:val="0"/>
          <w:color w:val="auto"/>
          <w:sz w:val="24"/>
          <w:szCs w:val="24"/>
          <w:lang w:val="en-US" w:eastAsia="zh-CN"/>
        </w:rPr>
        <w:t>个最高有效投标报价及</w:t>
      </w:r>
      <w:r>
        <w:rPr>
          <w:rFonts w:hint="eastAsia" w:ascii="宋体" w:hAnsi="宋体" w:cs="宋体"/>
          <w:i w:val="0"/>
          <w:iCs w:val="0"/>
          <w:color w:val="auto"/>
          <w:sz w:val="24"/>
          <w:szCs w:val="24"/>
          <w:lang w:val="en-US" w:eastAsia="zh-CN"/>
        </w:rPr>
        <w:t>11</w:t>
      </w:r>
      <w:r>
        <w:rPr>
          <w:rFonts w:hint="eastAsia" w:ascii="宋体" w:hAnsi="宋体" w:eastAsia="宋体" w:cs="宋体"/>
          <w:i w:val="0"/>
          <w:iCs w:val="0"/>
          <w:color w:val="auto"/>
          <w:sz w:val="24"/>
          <w:szCs w:val="24"/>
          <w:lang w:val="en-US" w:eastAsia="zh-CN"/>
        </w:rPr>
        <w:t>个最低有效投标报价后所有有效投标报价的算术平均值。</w:t>
      </w:r>
    </w:p>
    <w:p w14:paraId="2977039A">
      <w:pPr>
        <w:keepNext w:val="0"/>
        <w:keepLines w:val="0"/>
        <w:pageBreakBefore w:val="0"/>
        <w:widowControl w:val="0"/>
        <w:numPr>
          <w:ilvl w:val="0"/>
          <w:numId w:val="0"/>
        </w:numPr>
        <w:kinsoku/>
        <w:overflowPunct/>
        <w:topLinePunct w:val="0"/>
        <w:autoSpaceDE/>
        <w:autoSpaceDN/>
        <w:bidi w:val="0"/>
        <w:adjustRightInd/>
        <w:spacing w:beforeLines="0" w:afterLines="0" w:line="400" w:lineRule="exact"/>
        <w:ind w:left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（6）计算投标报价偏差率</w:t>
      </w:r>
    </w:p>
    <w:p w14:paraId="736C7101">
      <w:pPr>
        <w:keepNext w:val="0"/>
        <w:keepLines w:val="0"/>
        <w:pageBreakBefore w:val="0"/>
        <w:widowControl w:val="0"/>
        <w:numPr>
          <w:ilvl w:val="0"/>
          <w:numId w:val="0"/>
        </w:numPr>
        <w:kinsoku/>
        <w:overflowPunct/>
        <w:topLinePunct w:val="0"/>
        <w:autoSpaceDE/>
        <w:autoSpaceDN/>
        <w:bidi w:val="0"/>
        <w:adjustRightInd/>
        <w:spacing w:beforeLines="0" w:afterLines="0" w:line="400" w:lineRule="exact"/>
        <w:ind w:left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偏差率=100%×（投标人报价-评分基准价）∕评分基准价</w:t>
      </w:r>
    </w:p>
    <w:p w14:paraId="393AF28E">
      <w:pPr>
        <w:keepNext w:val="0"/>
        <w:keepLines w:val="0"/>
        <w:pageBreakBefore w:val="0"/>
        <w:widowControl w:val="0"/>
        <w:numPr>
          <w:ilvl w:val="0"/>
          <w:numId w:val="0"/>
        </w:numPr>
        <w:kinsoku/>
        <w:overflowPunct/>
        <w:topLinePunct w:val="0"/>
        <w:autoSpaceDE/>
        <w:autoSpaceDN/>
        <w:bidi w:val="0"/>
        <w:adjustRightInd/>
        <w:spacing w:beforeLines="0" w:afterLines="0" w:line="400" w:lineRule="exact"/>
        <w:ind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）评分</w:t>
      </w:r>
      <w:r>
        <w:rPr>
          <w:rFonts w:hint="eastAsia" w:ascii="宋体" w:hAnsi="宋体" w:eastAsia="宋体" w:cs="宋体"/>
          <w:color w:val="auto"/>
          <w:sz w:val="24"/>
          <w:szCs w:val="24"/>
          <w:lang w:eastAsia="zh-CN"/>
        </w:rPr>
        <w:t>规则</w:t>
      </w:r>
    </w:p>
    <w:p w14:paraId="6066B63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①</w:t>
      </w:r>
      <w:r>
        <w:rPr>
          <w:rFonts w:hint="eastAsia" w:ascii="宋体" w:hAnsi="宋体" w:eastAsia="宋体" w:cs="宋体"/>
          <w:color w:val="auto"/>
          <w:sz w:val="24"/>
          <w:szCs w:val="24"/>
          <w:lang w:eastAsia="zh-CN"/>
        </w:rPr>
        <w:t>如果投标人的投标报价&gt;评分基准价，则投标报价得分</w:t>
      </w:r>
      <w:r>
        <w:rPr>
          <w:rFonts w:hint="eastAsia" w:ascii="宋体" w:hAnsi="宋体" w:eastAsia="宋体" w:cs="宋体"/>
          <w:color w:val="auto"/>
          <w:sz w:val="24"/>
          <w:szCs w:val="24"/>
          <w:lang w:val="en-US" w:eastAsia="zh-CN"/>
        </w:rPr>
        <w:t>=100-偏差率×</w:t>
      </w:r>
      <w:r>
        <w:rPr>
          <w:rFonts w:hint="eastAsia" w:ascii="宋体" w:hAnsi="宋体" w:eastAsia="宋体" w:cs="宋体"/>
          <w:color w:val="auto"/>
          <w:sz w:val="24"/>
          <w:szCs w:val="24"/>
          <w:highlight w:val="none"/>
          <w:lang w:val="en-US" w:eastAsia="zh-CN"/>
        </w:rPr>
        <w:t>E1×100；</w:t>
      </w:r>
    </w:p>
    <w:p w14:paraId="4CC6BBA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②如果投标人的投标报价≤评分基准价，则投标报价得分=100+偏差率×E2</w:t>
      </w:r>
      <w:r>
        <w:rPr>
          <w:rFonts w:hint="eastAsia" w:ascii="宋体" w:hAnsi="宋体" w:eastAsia="宋体" w:cs="宋体"/>
          <w:color w:val="auto"/>
          <w:sz w:val="24"/>
          <w:szCs w:val="24"/>
          <w:lang w:val="en-US" w:eastAsia="zh-CN"/>
        </w:rPr>
        <w:t>×100；</w:t>
      </w:r>
    </w:p>
    <w:p w14:paraId="701A3A6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E1、E2为0.1-0.5的数值，由招标人自行确定。</w:t>
      </w:r>
    </w:p>
    <w:p w14:paraId="766296B6">
      <w:pPr>
        <w:keepNext w:val="0"/>
        <w:keepLines w:val="0"/>
        <w:pageBreakBefore w:val="0"/>
        <w:widowControl w:val="0"/>
        <w:kinsoku/>
        <w:overflowPunct/>
        <w:topLinePunct w:val="0"/>
        <w:autoSpaceDE/>
        <w:autoSpaceDN/>
        <w:bidi w:val="0"/>
        <w:adjustRightInd/>
        <w:spacing w:beforeLines="0" w:afterLines="0" w:line="400" w:lineRule="exac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本项目E1取值为0.2，E2取值为0.1。</w:t>
      </w:r>
    </w:p>
    <w:p w14:paraId="69E4C9E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计算商务标得分</w:t>
      </w:r>
    </w:p>
    <w:p w14:paraId="432E8E37">
      <w:pPr>
        <w:keepNext w:val="0"/>
        <w:keepLines w:val="0"/>
        <w:pageBreakBefore w:val="0"/>
        <w:widowControl w:val="0"/>
        <w:numPr>
          <w:ilvl w:val="0"/>
          <w:numId w:val="0"/>
        </w:numPr>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w:t>
      </w:r>
      <w:r>
        <w:rPr>
          <w:rFonts w:hint="eastAsia" w:ascii="宋体" w:hAnsi="宋体" w:cs="宋体"/>
          <w:color w:val="auto"/>
          <w:sz w:val="24"/>
          <w:szCs w:val="24"/>
          <w:lang w:val="en-US" w:eastAsia="zh-CN"/>
        </w:rPr>
        <w:t>资信</w:t>
      </w:r>
      <w:r>
        <w:rPr>
          <w:rFonts w:hint="eastAsia" w:ascii="宋体" w:hAnsi="宋体" w:eastAsia="宋体" w:cs="宋体"/>
          <w:color w:val="auto"/>
          <w:sz w:val="24"/>
          <w:szCs w:val="24"/>
          <w:lang w:val="en-US" w:eastAsia="zh-CN"/>
        </w:rPr>
        <w:t>及投标报价权重计算得分，合成最终的商务标分值。</w:t>
      </w:r>
    </w:p>
    <w:p w14:paraId="2E9C43F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投标人信用得分</w:t>
      </w:r>
    </w:p>
    <w:p w14:paraId="4949EB7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w:t>
      </w:r>
      <w:r>
        <w:rPr>
          <w:rFonts w:hint="eastAsia" w:ascii="宋体" w:hAnsi="宋体" w:cs="宋体"/>
          <w:color w:val="auto"/>
          <w:sz w:val="24"/>
          <w:szCs w:val="24"/>
          <w:lang w:eastAsia="zh-CN"/>
        </w:rPr>
        <w:t>部分</w:t>
      </w:r>
      <w:r>
        <w:rPr>
          <w:rFonts w:hint="eastAsia" w:ascii="宋体" w:hAnsi="宋体" w:eastAsia="宋体" w:cs="宋体"/>
          <w:color w:val="auto"/>
          <w:sz w:val="24"/>
          <w:szCs w:val="24"/>
        </w:rPr>
        <w:t>分值占总得分的权重</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u w:val="single"/>
          <w:lang w:val="en-US" w:eastAsia="zh-CN"/>
        </w:rPr>
        <w:t xml:space="preserve"> 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1DCB5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汇总评分结果</w:t>
      </w:r>
    </w:p>
    <w:p w14:paraId="2054C803">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投标人总得分=技术标得分+商务标得分+信用</w:t>
      </w:r>
      <w:r>
        <w:rPr>
          <w:rFonts w:hint="eastAsia" w:ascii="宋体" w:hAnsi="宋体" w:cs="宋体"/>
          <w:color w:val="auto"/>
          <w:sz w:val="24"/>
          <w:szCs w:val="24"/>
          <w:lang w:eastAsia="zh-CN"/>
        </w:rPr>
        <w:t>部分</w:t>
      </w:r>
      <w:r>
        <w:rPr>
          <w:rFonts w:hint="eastAsia" w:ascii="宋体" w:hAnsi="宋体" w:eastAsia="宋体" w:cs="宋体"/>
          <w:color w:val="auto"/>
          <w:sz w:val="24"/>
          <w:szCs w:val="24"/>
        </w:rPr>
        <w:t>得分</w:t>
      </w:r>
    </w:p>
    <w:p w14:paraId="0510DF9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评标委员会按照得分高低顺序对投标人进行排序。</w:t>
      </w:r>
    </w:p>
    <w:p w14:paraId="7BE9453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评标委员会应遵照以下原则推荐中标候选人</w:t>
      </w:r>
    </w:p>
    <w:p w14:paraId="055FC71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（1）评标委员会按</w:t>
      </w:r>
      <w:r>
        <w:rPr>
          <w:rFonts w:hint="eastAsia" w:ascii="宋体" w:hAnsi="宋体" w:cs="宋体"/>
          <w:i w:val="0"/>
          <w:iCs w:val="0"/>
          <w:color w:val="auto"/>
          <w:sz w:val="24"/>
          <w:szCs w:val="24"/>
          <w:lang w:eastAsia="zh-CN"/>
        </w:rPr>
        <w:t>投标人总</w:t>
      </w:r>
      <w:r>
        <w:rPr>
          <w:rFonts w:hint="eastAsia" w:ascii="宋体" w:hAnsi="宋体" w:eastAsia="宋体" w:cs="宋体"/>
          <w:i w:val="0"/>
          <w:iCs w:val="0"/>
          <w:color w:val="auto"/>
          <w:sz w:val="24"/>
          <w:szCs w:val="24"/>
        </w:rPr>
        <w:t>得分由高至低的次序，推荐排名次序位于前三名的投标人作为中标候选人。如果在排序中出现</w:t>
      </w:r>
      <w:r>
        <w:rPr>
          <w:rFonts w:hint="eastAsia" w:ascii="宋体" w:hAnsi="宋体" w:cs="宋体"/>
          <w:i w:val="0"/>
          <w:iCs w:val="0"/>
          <w:color w:val="auto"/>
          <w:sz w:val="24"/>
          <w:szCs w:val="24"/>
          <w:lang w:eastAsia="zh-CN"/>
        </w:rPr>
        <w:t>总</w:t>
      </w:r>
      <w:r>
        <w:rPr>
          <w:rFonts w:hint="eastAsia" w:ascii="宋体" w:hAnsi="宋体" w:eastAsia="宋体" w:cs="宋体"/>
          <w:i w:val="0"/>
          <w:iCs w:val="0"/>
          <w:color w:val="auto"/>
          <w:sz w:val="24"/>
          <w:szCs w:val="24"/>
        </w:rPr>
        <w:t>得分相同的情况，则投标价格较低的投标人排序优先；如果投标价格相同，则技术</w:t>
      </w:r>
      <w:r>
        <w:rPr>
          <w:rFonts w:hint="eastAsia" w:ascii="宋体" w:hAnsi="宋体" w:cs="宋体"/>
          <w:i w:val="0"/>
          <w:iCs w:val="0"/>
          <w:color w:val="auto"/>
          <w:sz w:val="24"/>
          <w:szCs w:val="24"/>
          <w:lang w:eastAsia="zh-CN"/>
        </w:rPr>
        <w:t>标</w:t>
      </w:r>
      <w:r>
        <w:rPr>
          <w:rFonts w:hint="eastAsia" w:ascii="宋体" w:hAnsi="宋体" w:eastAsia="宋体" w:cs="宋体"/>
          <w:i w:val="0"/>
          <w:iCs w:val="0"/>
          <w:color w:val="auto"/>
          <w:sz w:val="24"/>
          <w:szCs w:val="24"/>
        </w:rPr>
        <w:t>得分较高者排序优先；如果技术</w:t>
      </w:r>
      <w:r>
        <w:rPr>
          <w:rFonts w:hint="eastAsia" w:ascii="宋体" w:hAnsi="宋体" w:cs="宋体"/>
          <w:i w:val="0"/>
          <w:iCs w:val="0"/>
          <w:color w:val="auto"/>
          <w:sz w:val="24"/>
          <w:szCs w:val="24"/>
          <w:lang w:eastAsia="zh-CN"/>
        </w:rPr>
        <w:t>标</w:t>
      </w:r>
      <w:r>
        <w:rPr>
          <w:rFonts w:hint="eastAsia" w:ascii="宋体" w:hAnsi="宋体" w:eastAsia="宋体" w:cs="宋体"/>
          <w:i w:val="0"/>
          <w:iCs w:val="0"/>
          <w:color w:val="auto"/>
          <w:sz w:val="24"/>
          <w:szCs w:val="24"/>
        </w:rPr>
        <w:t>得分相同，则信用</w:t>
      </w:r>
      <w:r>
        <w:rPr>
          <w:rFonts w:hint="eastAsia" w:ascii="宋体" w:hAnsi="宋体" w:cs="宋体"/>
          <w:i w:val="0"/>
          <w:iCs w:val="0"/>
          <w:color w:val="auto"/>
          <w:sz w:val="24"/>
          <w:szCs w:val="24"/>
          <w:lang w:eastAsia="zh-CN"/>
        </w:rPr>
        <w:t>部分</w:t>
      </w:r>
      <w:r>
        <w:rPr>
          <w:rFonts w:hint="eastAsia" w:ascii="宋体" w:hAnsi="宋体" w:eastAsia="宋体" w:cs="宋体"/>
          <w:i w:val="0"/>
          <w:iCs w:val="0"/>
          <w:color w:val="auto"/>
          <w:sz w:val="24"/>
          <w:szCs w:val="24"/>
        </w:rPr>
        <w:t>得分较高者排序优先。</w:t>
      </w:r>
    </w:p>
    <w:p w14:paraId="4BD3B1D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（2）如果评标委员会根据本办法的规定，否决不合格投标后，有效投标不足三个，评标委员会能够阐明原因说明投标形成了有效竞争，而不否决全部投标的，则评标委员会可以将所有有效投标按</w:t>
      </w:r>
      <w:r>
        <w:rPr>
          <w:rFonts w:hint="eastAsia" w:ascii="宋体" w:hAnsi="宋体" w:cs="宋体"/>
          <w:i w:val="0"/>
          <w:iCs w:val="0"/>
          <w:color w:val="auto"/>
          <w:sz w:val="24"/>
          <w:szCs w:val="24"/>
          <w:lang w:eastAsia="zh-CN"/>
        </w:rPr>
        <w:t>总得</w:t>
      </w:r>
      <w:r>
        <w:rPr>
          <w:rFonts w:hint="eastAsia" w:ascii="宋体" w:hAnsi="宋体" w:eastAsia="宋体" w:cs="宋体"/>
          <w:i w:val="0"/>
          <w:iCs w:val="0"/>
          <w:color w:val="auto"/>
          <w:sz w:val="24"/>
          <w:szCs w:val="24"/>
        </w:rPr>
        <w:t>分由高至低的次序作为中标候选人向招标人推荐。</w:t>
      </w:r>
    </w:p>
    <w:p w14:paraId="09ED720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确定中标人</w:t>
      </w:r>
    </w:p>
    <w:p w14:paraId="61A7B9B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bCs/>
          <w:i w:val="0"/>
          <w:iCs w:val="0"/>
          <w:color w:val="auto"/>
          <w:sz w:val="24"/>
          <w:szCs w:val="24"/>
        </w:rPr>
      </w:pPr>
      <w:bookmarkStart w:id="631" w:name="_Toc1554502403"/>
      <w:r>
        <w:rPr>
          <w:rFonts w:hint="eastAsia" w:ascii="宋体" w:hAnsi="宋体" w:eastAsia="宋体" w:cs="宋体"/>
          <w:i w:val="0"/>
          <w:iCs w:val="0"/>
          <w:color w:val="auto"/>
          <w:sz w:val="24"/>
          <w:szCs w:val="24"/>
        </w:rPr>
        <w:t>按照评标委员会推荐的中标候选人顺序，招标人或招标人授权评标委员会按照相关规定确定排名第一的中标候选人为中标人。</w:t>
      </w:r>
      <w:bookmarkEnd w:id="631"/>
    </w:p>
    <w:p w14:paraId="0EB0625A">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1"/>
        <w:rPr>
          <w:rFonts w:hint="eastAsia" w:ascii="方正黑体_GBK" w:hAnsi="方正黑体_GBK" w:eastAsia="方正黑体_GBK" w:cs="方正黑体_GBK"/>
          <w:bCs/>
          <w:color w:val="auto"/>
          <w:sz w:val="24"/>
          <w:szCs w:val="24"/>
        </w:rPr>
      </w:pPr>
      <w:bookmarkStart w:id="632" w:name="_Toc28559"/>
      <w:r>
        <w:rPr>
          <w:rFonts w:hint="eastAsia" w:ascii="方正黑体_GBK" w:hAnsi="方正黑体_GBK" w:eastAsia="方正黑体_GBK" w:cs="方正黑体_GBK"/>
          <w:bCs/>
          <w:color w:val="auto"/>
          <w:sz w:val="24"/>
          <w:szCs w:val="24"/>
        </w:rPr>
        <w:t>五、评标报告</w:t>
      </w:r>
      <w:bookmarkEnd w:id="632"/>
    </w:p>
    <w:p w14:paraId="7908F31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评标委员会完成评标后，应当向招标人提出书面评标报告，并抄送有关行政监督部门备案。评标报告应当由全体评标委员会成员签字，并如实记载以下内容：</w:t>
      </w:r>
    </w:p>
    <w:p w14:paraId="2C2DD9D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基本情况和数据表；</w:t>
      </w:r>
    </w:p>
    <w:p w14:paraId="08E5E20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开标记录；</w:t>
      </w:r>
    </w:p>
    <w:p w14:paraId="60207AF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符合要求的投标一览表；</w:t>
      </w:r>
    </w:p>
    <w:p w14:paraId="2500CB3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否决投标的情况说明；</w:t>
      </w:r>
    </w:p>
    <w:p w14:paraId="505706D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评标标准、评标方法或者评标因素一览表；</w:t>
      </w:r>
    </w:p>
    <w:p w14:paraId="7EC69F1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6.评标情况和结果；</w:t>
      </w:r>
    </w:p>
    <w:p w14:paraId="07808A6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经评审的价格或者评分比较一览表；</w:t>
      </w:r>
    </w:p>
    <w:p w14:paraId="5733168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经评审的投标人排序；</w:t>
      </w:r>
    </w:p>
    <w:p w14:paraId="3E6DE3C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推荐的中标候选人名单与签订合同前要处理的事宜；</w:t>
      </w:r>
    </w:p>
    <w:p w14:paraId="303B7E1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澄清、说明事项纪要。</w:t>
      </w:r>
    </w:p>
    <w:p w14:paraId="4002B2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hint="eastAsia" w:ascii="宋体" w:hAnsi="宋体" w:eastAsia="宋体" w:cs="宋体"/>
          <w:b/>
          <w:bCs/>
          <w:color w:val="auto"/>
          <w:sz w:val="28"/>
          <w:szCs w:val="28"/>
          <w:u w:val="single"/>
          <w:lang w:val="en-US" w:eastAsia="zh-CN"/>
        </w:rPr>
      </w:pPr>
      <w:r>
        <w:rPr>
          <w:rFonts w:hint="eastAsia" w:ascii="宋体" w:hAnsi="宋体" w:eastAsia="宋体" w:cs="宋体"/>
          <w:color w:val="auto"/>
          <w:sz w:val="21"/>
          <w:szCs w:val="21"/>
        </w:rPr>
        <w:br w:type="page"/>
      </w:r>
      <w:bookmarkStart w:id="633" w:name="_Toc25294"/>
      <w:r>
        <w:rPr>
          <w:rFonts w:hint="eastAsia" w:ascii="宋体" w:hAnsi="宋体" w:eastAsia="宋体" w:cs="宋体"/>
          <w:b/>
          <w:bCs/>
          <w:color w:val="auto"/>
          <w:sz w:val="28"/>
          <w:szCs w:val="28"/>
        </w:rPr>
        <w:t>资格后审必要合格条件标准</w:t>
      </w:r>
      <w:bookmarkEnd w:id="633"/>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3029"/>
        <w:gridCol w:w="2753"/>
        <w:gridCol w:w="1489"/>
        <w:gridCol w:w="1824"/>
      </w:tblGrid>
      <w:tr w14:paraId="3961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228BC7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序号</w:t>
            </w:r>
          </w:p>
        </w:tc>
        <w:tc>
          <w:tcPr>
            <w:tcW w:w="1538" w:type="pct"/>
            <w:noWrap w:val="0"/>
            <w:vAlign w:val="center"/>
          </w:tcPr>
          <w:p w14:paraId="06BB94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项目内容</w:t>
            </w:r>
          </w:p>
        </w:tc>
        <w:tc>
          <w:tcPr>
            <w:tcW w:w="1398" w:type="pct"/>
            <w:noWrap w:val="0"/>
            <w:vAlign w:val="center"/>
          </w:tcPr>
          <w:p w14:paraId="272326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合格条件</w:t>
            </w:r>
          </w:p>
        </w:tc>
        <w:tc>
          <w:tcPr>
            <w:tcW w:w="755" w:type="pct"/>
            <w:noWrap w:val="0"/>
            <w:vAlign w:val="center"/>
          </w:tcPr>
          <w:p w14:paraId="313FCD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备 注</w:t>
            </w:r>
          </w:p>
        </w:tc>
        <w:tc>
          <w:tcPr>
            <w:tcW w:w="926" w:type="pct"/>
            <w:noWrap w:val="0"/>
            <w:vAlign w:val="center"/>
          </w:tcPr>
          <w:p w14:paraId="591BD3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是否合格及</w:t>
            </w:r>
          </w:p>
          <w:p w14:paraId="5C9A6B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相关情况</w:t>
            </w:r>
          </w:p>
        </w:tc>
      </w:tr>
      <w:tr w14:paraId="1775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81" w:type="pct"/>
            <w:noWrap w:val="0"/>
            <w:vAlign w:val="center"/>
          </w:tcPr>
          <w:p w14:paraId="04324DD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w:t>
            </w:r>
          </w:p>
        </w:tc>
        <w:tc>
          <w:tcPr>
            <w:tcW w:w="1538" w:type="pct"/>
            <w:noWrap w:val="0"/>
            <w:vAlign w:val="center"/>
          </w:tcPr>
          <w:p w14:paraId="597501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营业执照</w:t>
            </w:r>
          </w:p>
        </w:tc>
        <w:tc>
          <w:tcPr>
            <w:tcW w:w="1398" w:type="pct"/>
            <w:noWrap w:val="0"/>
            <w:vAlign w:val="center"/>
          </w:tcPr>
          <w:p w14:paraId="1728EB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有效</w:t>
            </w:r>
          </w:p>
        </w:tc>
        <w:tc>
          <w:tcPr>
            <w:tcW w:w="755" w:type="pct"/>
            <w:vMerge w:val="restart"/>
            <w:noWrap w:val="0"/>
            <w:vAlign w:val="center"/>
          </w:tcPr>
          <w:p w14:paraId="06AACFA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原件</w:t>
            </w:r>
            <w:r>
              <w:rPr>
                <w:rFonts w:hint="eastAsia" w:ascii="宋体" w:hAnsi="宋体" w:cs="宋体"/>
                <w:i w:val="0"/>
                <w:iCs w:val="0"/>
                <w:color w:val="auto"/>
                <w:sz w:val="24"/>
                <w:szCs w:val="24"/>
                <w:lang w:eastAsia="zh-CN"/>
              </w:rPr>
              <w:t>扫描件</w:t>
            </w:r>
          </w:p>
        </w:tc>
        <w:tc>
          <w:tcPr>
            <w:tcW w:w="926" w:type="pct"/>
            <w:noWrap w:val="0"/>
            <w:vAlign w:val="center"/>
          </w:tcPr>
          <w:p w14:paraId="49653C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B65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55F8B6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w:t>
            </w:r>
          </w:p>
        </w:tc>
        <w:tc>
          <w:tcPr>
            <w:tcW w:w="1538" w:type="pct"/>
            <w:noWrap w:val="0"/>
            <w:vAlign w:val="center"/>
          </w:tcPr>
          <w:p w14:paraId="617E24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资质证书</w:t>
            </w:r>
          </w:p>
        </w:tc>
        <w:tc>
          <w:tcPr>
            <w:tcW w:w="1398" w:type="pct"/>
            <w:noWrap w:val="0"/>
            <w:vAlign w:val="center"/>
          </w:tcPr>
          <w:p w14:paraId="3B3C12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u w:val="none"/>
              </w:rPr>
              <w:t>有效，符合本文件要求</w:t>
            </w:r>
          </w:p>
        </w:tc>
        <w:tc>
          <w:tcPr>
            <w:tcW w:w="755" w:type="pct"/>
            <w:vMerge w:val="continue"/>
            <w:noWrap w:val="0"/>
            <w:vAlign w:val="center"/>
          </w:tcPr>
          <w:p w14:paraId="5FB8A05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32DE33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44E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05C0379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3</w:t>
            </w:r>
          </w:p>
        </w:tc>
        <w:tc>
          <w:tcPr>
            <w:tcW w:w="1538" w:type="pct"/>
            <w:noWrap w:val="0"/>
            <w:vAlign w:val="center"/>
          </w:tcPr>
          <w:p w14:paraId="378177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cs="宋体"/>
                <w:i w:val="0"/>
                <w:iCs w:val="0"/>
                <w:color w:val="auto"/>
                <w:sz w:val="24"/>
                <w:szCs w:val="24"/>
                <w:lang w:eastAsia="zh-CN"/>
              </w:rPr>
              <w:t>安全生产许可证</w:t>
            </w:r>
          </w:p>
        </w:tc>
        <w:tc>
          <w:tcPr>
            <w:tcW w:w="1398" w:type="pct"/>
            <w:noWrap w:val="0"/>
            <w:vAlign w:val="center"/>
          </w:tcPr>
          <w:p w14:paraId="3F9DC3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cs="宋体"/>
                <w:i w:val="0"/>
                <w:iCs w:val="0"/>
                <w:color w:val="auto"/>
                <w:sz w:val="24"/>
                <w:szCs w:val="24"/>
                <w:lang w:eastAsia="zh-CN"/>
              </w:rPr>
              <w:t>有效</w:t>
            </w:r>
          </w:p>
        </w:tc>
        <w:tc>
          <w:tcPr>
            <w:tcW w:w="755" w:type="pct"/>
            <w:vMerge w:val="continue"/>
            <w:noWrap w:val="0"/>
            <w:vAlign w:val="center"/>
          </w:tcPr>
          <w:p w14:paraId="0D74E0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73960C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7917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0557BD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4</w:t>
            </w:r>
          </w:p>
        </w:tc>
        <w:tc>
          <w:tcPr>
            <w:tcW w:w="1538" w:type="pct"/>
            <w:noWrap w:val="0"/>
            <w:vAlign w:val="center"/>
          </w:tcPr>
          <w:p w14:paraId="734A44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cs="宋体"/>
                <w:i w:val="0"/>
                <w:iCs w:val="0"/>
                <w:color w:val="auto"/>
                <w:sz w:val="24"/>
                <w:szCs w:val="24"/>
                <w:lang w:eastAsia="zh-CN"/>
              </w:rPr>
              <w:t>安全生产考核合格证书</w:t>
            </w:r>
          </w:p>
        </w:tc>
        <w:tc>
          <w:tcPr>
            <w:tcW w:w="1398" w:type="pct"/>
            <w:noWrap w:val="0"/>
            <w:vAlign w:val="center"/>
          </w:tcPr>
          <w:p w14:paraId="2BD31E8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cs="宋体"/>
                <w:i w:val="0"/>
                <w:iCs w:val="0"/>
                <w:color w:val="auto"/>
                <w:sz w:val="24"/>
                <w:szCs w:val="24"/>
                <w:lang w:eastAsia="zh-CN"/>
              </w:rPr>
              <w:t>有效，符合本文件要求</w:t>
            </w:r>
          </w:p>
        </w:tc>
        <w:tc>
          <w:tcPr>
            <w:tcW w:w="755" w:type="pct"/>
            <w:vMerge w:val="continue"/>
            <w:noWrap w:val="0"/>
            <w:vAlign w:val="center"/>
          </w:tcPr>
          <w:p w14:paraId="3D5CAE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6A9706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4370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76FE3D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5</w:t>
            </w:r>
          </w:p>
        </w:tc>
        <w:tc>
          <w:tcPr>
            <w:tcW w:w="1538" w:type="pct"/>
            <w:noWrap w:val="0"/>
            <w:vAlign w:val="center"/>
          </w:tcPr>
          <w:p w14:paraId="115E1B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i w:val="0"/>
                <w:iCs w:val="0"/>
                <w:color w:val="auto"/>
                <w:sz w:val="24"/>
                <w:szCs w:val="24"/>
                <w:lang w:eastAsia="zh-CN"/>
              </w:rPr>
            </w:pPr>
            <w:r>
              <w:rPr>
                <w:rFonts w:hint="eastAsia" w:ascii="宋体" w:hAnsi="宋体" w:cs="宋体"/>
                <w:i w:val="0"/>
                <w:iCs w:val="0"/>
                <w:color w:val="auto"/>
                <w:sz w:val="24"/>
                <w:szCs w:val="24"/>
                <w:lang w:eastAsia="zh-CN"/>
              </w:rPr>
              <w:t>注册执业资格证书或专业技术职称证书</w:t>
            </w:r>
          </w:p>
        </w:tc>
        <w:tc>
          <w:tcPr>
            <w:tcW w:w="1398" w:type="pct"/>
            <w:noWrap w:val="0"/>
            <w:vAlign w:val="center"/>
          </w:tcPr>
          <w:p w14:paraId="6A925A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i w:val="0"/>
                <w:iCs w:val="0"/>
                <w:color w:val="auto"/>
                <w:sz w:val="24"/>
                <w:szCs w:val="24"/>
                <w:lang w:eastAsia="zh-CN"/>
              </w:rPr>
            </w:pPr>
            <w:r>
              <w:rPr>
                <w:rFonts w:hint="eastAsia" w:ascii="宋体" w:hAnsi="宋体" w:cs="宋体"/>
                <w:i w:val="0"/>
                <w:iCs w:val="0"/>
                <w:color w:val="auto"/>
                <w:sz w:val="24"/>
                <w:szCs w:val="24"/>
                <w:lang w:eastAsia="zh-CN"/>
              </w:rPr>
              <w:t>有效，符合本文件要求</w:t>
            </w:r>
          </w:p>
        </w:tc>
        <w:tc>
          <w:tcPr>
            <w:tcW w:w="755" w:type="pct"/>
            <w:vMerge w:val="continue"/>
            <w:noWrap w:val="0"/>
            <w:vAlign w:val="center"/>
          </w:tcPr>
          <w:p w14:paraId="6C32024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3A9745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1BFA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5B221D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val="en-US" w:eastAsia="zh-CN"/>
              </w:rPr>
              <w:t>6</w:t>
            </w:r>
          </w:p>
        </w:tc>
        <w:tc>
          <w:tcPr>
            <w:tcW w:w="1538" w:type="pct"/>
            <w:noWrap w:val="0"/>
            <w:vAlign w:val="center"/>
          </w:tcPr>
          <w:p w14:paraId="65C774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投标保证金</w:t>
            </w:r>
          </w:p>
        </w:tc>
        <w:tc>
          <w:tcPr>
            <w:tcW w:w="1398" w:type="pct"/>
            <w:noWrap w:val="0"/>
            <w:vAlign w:val="center"/>
          </w:tcPr>
          <w:p w14:paraId="328EE3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有效，符合本文件要求</w:t>
            </w:r>
          </w:p>
        </w:tc>
        <w:tc>
          <w:tcPr>
            <w:tcW w:w="755" w:type="pct"/>
            <w:vMerge w:val="continue"/>
            <w:noWrap w:val="0"/>
            <w:vAlign w:val="center"/>
          </w:tcPr>
          <w:p w14:paraId="0E83A77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76AC36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79B3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095A6E3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val="en-US" w:eastAsia="zh-CN"/>
              </w:rPr>
              <w:t>7</w:t>
            </w:r>
          </w:p>
        </w:tc>
        <w:tc>
          <w:tcPr>
            <w:tcW w:w="1538" w:type="pct"/>
            <w:noWrap w:val="0"/>
            <w:vAlign w:val="center"/>
          </w:tcPr>
          <w:p w14:paraId="321A94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法定代表人签署授权委托书</w:t>
            </w:r>
          </w:p>
        </w:tc>
        <w:tc>
          <w:tcPr>
            <w:tcW w:w="1398" w:type="pct"/>
            <w:noWrap w:val="0"/>
            <w:vAlign w:val="center"/>
          </w:tcPr>
          <w:p w14:paraId="24CBFB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有效，符合本文件要求</w:t>
            </w:r>
          </w:p>
        </w:tc>
        <w:tc>
          <w:tcPr>
            <w:tcW w:w="755" w:type="pct"/>
            <w:vMerge w:val="continue"/>
            <w:noWrap w:val="0"/>
            <w:vAlign w:val="center"/>
          </w:tcPr>
          <w:p w14:paraId="4CE475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58A60F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B6D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3A6D1BF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8</w:t>
            </w:r>
          </w:p>
        </w:tc>
        <w:tc>
          <w:tcPr>
            <w:tcW w:w="1538" w:type="pct"/>
            <w:noWrap w:val="0"/>
            <w:vAlign w:val="center"/>
          </w:tcPr>
          <w:p w14:paraId="61E7B8D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eastAsia="zh-CN"/>
              </w:rPr>
              <w:t>联合体协议书</w:t>
            </w:r>
          </w:p>
        </w:tc>
        <w:tc>
          <w:tcPr>
            <w:tcW w:w="1398" w:type="pct"/>
            <w:noWrap w:val="0"/>
            <w:vAlign w:val="center"/>
          </w:tcPr>
          <w:p w14:paraId="4FA3AF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eastAsia="zh-CN"/>
              </w:rPr>
              <w:t>有效（联合体投标的提供）</w:t>
            </w:r>
          </w:p>
        </w:tc>
        <w:tc>
          <w:tcPr>
            <w:tcW w:w="755" w:type="pct"/>
            <w:vMerge w:val="continue"/>
            <w:noWrap w:val="0"/>
            <w:vAlign w:val="center"/>
          </w:tcPr>
          <w:p w14:paraId="1B8289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444630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7539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51C653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9</w:t>
            </w:r>
          </w:p>
        </w:tc>
        <w:tc>
          <w:tcPr>
            <w:tcW w:w="1538" w:type="pct"/>
            <w:noWrap w:val="0"/>
            <w:vAlign w:val="center"/>
          </w:tcPr>
          <w:p w14:paraId="485460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i w:val="0"/>
                <w:iCs w:val="0"/>
                <w:color w:val="auto"/>
                <w:sz w:val="24"/>
                <w:szCs w:val="24"/>
                <w:lang w:eastAsia="zh-CN"/>
              </w:rPr>
            </w:pPr>
            <w:r>
              <w:rPr>
                <w:rFonts w:hint="eastAsia" w:ascii="宋体" w:hAnsi="宋体" w:cs="宋体"/>
                <w:i w:val="0"/>
                <w:iCs w:val="0"/>
                <w:color w:val="auto"/>
                <w:sz w:val="24"/>
                <w:szCs w:val="24"/>
                <w:lang w:eastAsia="zh-CN"/>
              </w:rPr>
              <w:t>信誉要求</w:t>
            </w:r>
          </w:p>
        </w:tc>
        <w:tc>
          <w:tcPr>
            <w:tcW w:w="1398" w:type="pct"/>
            <w:noWrap w:val="0"/>
            <w:vAlign w:val="center"/>
          </w:tcPr>
          <w:p w14:paraId="24C2AE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投标人未被列入失信被执行人名单</w:t>
            </w:r>
          </w:p>
        </w:tc>
        <w:tc>
          <w:tcPr>
            <w:tcW w:w="755" w:type="pct"/>
            <w:noWrap w:val="0"/>
            <w:vAlign w:val="center"/>
          </w:tcPr>
          <w:p w14:paraId="041063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cs="Times New Roman"/>
                <w:i w:val="0"/>
                <w:iCs w:val="0"/>
                <w:color w:val="auto"/>
                <w:kern w:val="0"/>
                <w:sz w:val="24"/>
                <w:szCs w:val="24"/>
                <w:highlight w:val="none"/>
                <w:u w:val="none"/>
                <w:lang w:eastAsia="zh-CN"/>
              </w:rPr>
              <w:t>以</w:t>
            </w:r>
            <w:r>
              <w:rPr>
                <w:rFonts w:hint="eastAsia" w:cs="Times New Roman"/>
                <w:i w:val="0"/>
                <w:iCs w:val="0"/>
                <w:color w:val="auto"/>
                <w:kern w:val="0"/>
                <w:sz w:val="24"/>
                <w:szCs w:val="24"/>
                <w:highlight w:val="none"/>
                <w:u w:val="none"/>
                <w:lang w:val="en-US" w:eastAsia="zh-CN"/>
              </w:rPr>
              <w:t>开标当天</w:t>
            </w:r>
            <w:r>
              <w:rPr>
                <w:rFonts w:hint="eastAsia" w:cs="Times New Roman"/>
                <w:i w:val="0"/>
                <w:iCs w:val="0"/>
                <w:color w:val="auto"/>
                <w:kern w:val="0"/>
                <w:sz w:val="24"/>
                <w:szCs w:val="24"/>
                <w:highlight w:val="none"/>
                <w:u w:val="none"/>
                <w:lang w:eastAsia="zh-CN"/>
              </w:rPr>
              <w:t>信用中国网站</w:t>
            </w:r>
            <w:r>
              <w:rPr>
                <w:rFonts w:hint="eastAsia" w:cs="Times New Roman"/>
                <w:i w:val="0"/>
                <w:iCs w:val="0"/>
                <w:color w:val="auto"/>
                <w:kern w:val="0"/>
                <w:sz w:val="24"/>
                <w:szCs w:val="24"/>
                <w:highlight w:val="none"/>
                <w:u w:val="none"/>
                <w:lang w:val="en-US" w:eastAsia="zh-CN"/>
              </w:rPr>
              <w:t>查询结果为准</w:t>
            </w:r>
          </w:p>
        </w:tc>
        <w:tc>
          <w:tcPr>
            <w:tcW w:w="926" w:type="pct"/>
            <w:noWrap w:val="0"/>
            <w:vAlign w:val="center"/>
          </w:tcPr>
          <w:p w14:paraId="39F554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265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noWrap w:val="0"/>
            <w:vAlign w:val="center"/>
          </w:tcPr>
          <w:p w14:paraId="512077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10</w:t>
            </w:r>
          </w:p>
        </w:tc>
        <w:tc>
          <w:tcPr>
            <w:tcW w:w="1538" w:type="pct"/>
            <w:noWrap w:val="0"/>
            <w:vAlign w:val="center"/>
          </w:tcPr>
          <w:p w14:paraId="28DA91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政府采购政策</w:t>
            </w:r>
          </w:p>
        </w:tc>
        <w:tc>
          <w:tcPr>
            <w:tcW w:w="1398" w:type="pct"/>
            <w:noWrap w:val="0"/>
            <w:vAlign w:val="center"/>
          </w:tcPr>
          <w:p w14:paraId="42114F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符合本文件要求</w:t>
            </w:r>
          </w:p>
        </w:tc>
        <w:tc>
          <w:tcPr>
            <w:tcW w:w="755" w:type="pct"/>
            <w:noWrap w:val="0"/>
            <w:vAlign w:val="center"/>
          </w:tcPr>
          <w:p w14:paraId="67BC7F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7E9405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10D7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1A8D7D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11</w:t>
            </w:r>
          </w:p>
        </w:tc>
        <w:tc>
          <w:tcPr>
            <w:tcW w:w="1538" w:type="pct"/>
            <w:noWrap w:val="0"/>
            <w:vAlign w:val="center"/>
          </w:tcPr>
          <w:p w14:paraId="1966D3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投标人不参与涉黑涉恶承诺书</w:t>
            </w:r>
          </w:p>
        </w:tc>
        <w:tc>
          <w:tcPr>
            <w:tcW w:w="1398" w:type="pct"/>
            <w:noWrap w:val="0"/>
            <w:vAlign w:val="center"/>
          </w:tcPr>
          <w:p w14:paraId="724FA7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符合本文件要求</w:t>
            </w:r>
          </w:p>
        </w:tc>
        <w:tc>
          <w:tcPr>
            <w:tcW w:w="755" w:type="pct"/>
            <w:noWrap w:val="0"/>
            <w:vAlign w:val="center"/>
          </w:tcPr>
          <w:p w14:paraId="0526A8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2EE9CE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4D3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073" w:type="pct"/>
            <w:gridSpan w:val="4"/>
            <w:noWrap w:val="0"/>
            <w:vAlign w:val="center"/>
          </w:tcPr>
          <w:p w14:paraId="105008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结  论</w:t>
            </w:r>
          </w:p>
        </w:tc>
        <w:tc>
          <w:tcPr>
            <w:tcW w:w="926" w:type="pct"/>
            <w:noWrap w:val="0"/>
            <w:vAlign w:val="center"/>
          </w:tcPr>
          <w:p w14:paraId="262CAA4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是否通过</w:t>
            </w:r>
          </w:p>
        </w:tc>
      </w:tr>
    </w:tbl>
    <w:p w14:paraId="1005CA12">
      <w:pPr>
        <w:spacing w:line="400" w:lineRule="exact"/>
        <w:ind w:firstLine="630" w:firstLineChars="300"/>
        <w:rPr>
          <w:rFonts w:hint="eastAsia" w:ascii="宋体" w:hAnsi="宋体" w:eastAsia="仿宋_GB2312"/>
          <w:color w:val="auto"/>
          <w:szCs w:val="21"/>
          <w:lang w:eastAsia="zh-CN"/>
        </w:rPr>
        <w:sectPr>
          <w:headerReference r:id="rId9" w:type="default"/>
          <w:footerReference r:id="rId10"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rFonts w:hint="eastAsia" w:ascii="宋体" w:hAnsi="宋体" w:eastAsia="宋体" w:cs="宋体"/>
          <w:color w:val="auto"/>
          <w:sz w:val="21"/>
          <w:szCs w:val="21"/>
          <w:lang w:val="en-US" w:eastAsia="zh-CN"/>
        </w:rPr>
        <w:t xml:space="preserve"> </w:t>
      </w:r>
      <w:r>
        <w:rPr>
          <w:rFonts w:hint="eastAsia" w:ascii="方正仿宋_GBK" w:hAnsi="方正仿宋_GBK" w:eastAsia="方正仿宋_GBK" w:cs="方正仿宋_GBK"/>
          <w:color w:val="auto"/>
          <w:sz w:val="24"/>
          <w:szCs w:val="24"/>
          <w:lang w:eastAsia="zh-CN"/>
        </w:rPr>
        <w:t>注：招标人可以根据项目情况调整资格后审的条件。</w:t>
      </w:r>
    </w:p>
    <w:p w14:paraId="56EB84B5">
      <w:pPr>
        <w:keepNext w:val="0"/>
        <w:keepLines w:val="0"/>
        <w:pageBreakBefore w:val="0"/>
        <w:widowControl w:val="0"/>
        <w:kinsoku/>
        <w:overflowPunct/>
        <w:topLinePunct w:val="0"/>
        <w:autoSpaceDE/>
        <w:autoSpaceDN/>
        <w:bidi w:val="0"/>
        <w:adjustRightInd/>
        <w:spacing w:line="400" w:lineRule="exact"/>
        <w:ind w:left="0" w:leftChars="0" w:right="0" w:rightChars="0" w:firstLine="0" w:firstLineChars="0"/>
        <w:jc w:val="left"/>
        <w:textAlignment w:val="auto"/>
        <w:outlineLvl w:val="1"/>
        <w:rPr>
          <w:rFonts w:hint="eastAsia" w:ascii="宋体" w:hAnsi="宋体" w:eastAsia="宋体" w:cs="宋体"/>
          <w:color w:val="auto"/>
          <w:sz w:val="24"/>
          <w:szCs w:val="24"/>
        </w:rPr>
      </w:pPr>
      <w:bookmarkStart w:id="634" w:name="_Toc30955"/>
      <w:bookmarkStart w:id="635" w:name="_Toc4637"/>
      <w:bookmarkStart w:id="636" w:name="_Toc18053"/>
      <w:bookmarkStart w:id="637" w:name="_Toc5207"/>
      <w:bookmarkStart w:id="638" w:name="_Toc22238"/>
      <w:r>
        <w:rPr>
          <w:rFonts w:hint="eastAsia" w:ascii="宋体" w:hAnsi="宋体" w:eastAsia="宋体" w:cs="宋体"/>
          <w:color w:val="auto"/>
          <w:sz w:val="24"/>
          <w:szCs w:val="24"/>
        </w:rPr>
        <w:t>附：评标专家承诺书</w:t>
      </w:r>
      <w:bookmarkEnd w:id="634"/>
      <w:bookmarkEnd w:id="635"/>
    </w:p>
    <w:p w14:paraId="55CF253E">
      <w:pPr>
        <w:keepNext w:val="0"/>
        <w:keepLines w:val="0"/>
        <w:pageBreakBefore w:val="0"/>
        <w:widowControl w:val="0"/>
        <w:kinsoku/>
        <w:overflowPunct/>
        <w:topLinePunct w:val="0"/>
        <w:autoSpaceDE/>
        <w:autoSpaceDN/>
        <w:bidi w:val="0"/>
        <w:adjustRightInd/>
        <w:spacing w:line="400" w:lineRule="exact"/>
        <w:ind w:left="0" w:leftChars="0" w:right="0" w:rightChars="0"/>
        <w:textAlignment w:val="auto"/>
        <w:rPr>
          <w:rStyle w:val="58"/>
          <w:rFonts w:hint="eastAsia" w:ascii="宋体" w:hAnsi="宋体" w:eastAsia="宋体" w:cs="宋体"/>
          <w:b w:val="0"/>
          <w:bCs w:val="0"/>
          <w:color w:val="auto"/>
          <w:sz w:val="21"/>
          <w:szCs w:val="21"/>
        </w:rPr>
      </w:pPr>
    </w:p>
    <w:bookmarkEnd w:id="636"/>
    <w:bookmarkEnd w:id="637"/>
    <w:bookmarkEnd w:id="638"/>
    <w:p w14:paraId="549765A5">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562" w:firstLineChars="200"/>
        <w:jc w:val="center"/>
        <w:textAlignment w:val="auto"/>
        <w:outlineLvl w:val="9"/>
        <w:rPr>
          <w:rFonts w:hint="eastAsia" w:ascii="宋体" w:hAnsi="宋体" w:eastAsia="宋体" w:cs="宋体"/>
          <w:b/>
          <w:bCs/>
          <w:color w:val="auto"/>
          <w:sz w:val="28"/>
          <w:szCs w:val="28"/>
        </w:rPr>
      </w:pPr>
      <w:bookmarkStart w:id="639" w:name="_Toc2009265127"/>
      <w:r>
        <w:rPr>
          <w:rFonts w:hint="eastAsia" w:ascii="宋体" w:hAnsi="宋体" w:eastAsia="宋体" w:cs="宋体"/>
          <w:b/>
          <w:bCs/>
          <w:color w:val="auto"/>
          <w:sz w:val="28"/>
          <w:szCs w:val="28"/>
        </w:rPr>
        <w:t>评标专家承诺书</w:t>
      </w:r>
      <w:bookmarkEnd w:id="639"/>
    </w:p>
    <w:p w14:paraId="4A7415C9">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420" w:firstLineChars="200"/>
        <w:textAlignment w:val="auto"/>
        <w:rPr>
          <w:rFonts w:hint="eastAsia" w:ascii="宋体" w:hAnsi="宋体" w:eastAsia="宋体" w:cs="宋体"/>
          <w:color w:val="auto"/>
          <w:sz w:val="21"/>
          <w:szCs w:val="21"/>
        </w:rPr>
      </w:pPr>
    </w:p>
    <w:p w14:paraId="7F2A1D9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本人参加</w:t>
      </w:r>
      <w:r>
        <w:rPr>
          <w:rFonts w:hint="eastAsia" w:ascii="宋体" w:hAnsi="宋体" w:eastAsia="宋体" w:cs="宋体"/>
          <w:color w:val="auto"/>
          <w:sz w:val="24"/>
          <w:szCs w:val="24"/>
          <w:u w:val="single"/>
        </w:rPr>
        <w:t xml:space="preserve">  </w:t>
      </w:r>
      <w:r>
        <w:rPr>
          <w:rFonts w:hint="eastAsia" w:ascii="宋体" w:hAnsi="宋体" w:eastAsia="宋体" w:cs="宋体"/>
          <w:i/>
          <w:iCs/>
          <w:color w:val="auto"/>
          <w:sz w:val="24"/>
          <w:szCs w:val="24"/>
          <w:u w:val="single"/>
        </w:rPr>
        <w:t>（招标人）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r>
        <w:rPr>
          <w:rFonts w:hint="eastAsia" w:ascii="宋体" w:hAnsi="宋体" w:eastAsia="宋体" w:cs="宋体"/>
          <w:i/>
          <w:iCs/>
          <w:color w:val="auto"/>
          <w:sz w:val="24"/>
          <w:szCs w:val="24"/>
          <w:u w:val="single"/>
        </w:rPr>
        <w:t>（</w:t>
      </w:r>
      <w:r>
        <w:rPr>
          <w:rFonts w:hint="eastAsia" w:ascii="宋体" w:hAnsi="宋体" w:eastAsia="宋体" w:cs="宋体"/>
          <w:i/>
          <w:iCs/>
          <w:color w:val="auto"/>
          <w:sz w:val="24"/>
          <w:szCs w:val="24"/>
          <w:u w:val="single"/>
          <w:lang w:eastAsia="zh-CN"/>
        </w:rPr>
        <w:t>工程</w:t>
      </w:r>
      <w:r>
        <w:rPr>
          <w:rFonts w:hint="eastAsia" w:ascii="宋体" w:hAnsi="宋体" w:eastAsia="宋体" w:cs="宋体"/>
          <w:i/>
          <w:iCs/>
          <w:color w:val="auto"/>
          <w:sz w:val="24"/>
          <w:szCs w:val="24"/>
          <w:u w:val="single"/>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承诺如下：</w:t>
      </w:r>
    </w:p>
    <w:p w14:paraId="0DBB25E5">
      <w:pPr>
        <w:keepNext w:val="0"/>
        <w:keepLines w:val="0"/>
        <w:pageBreakBefore w:val="0"/>
        <w:widowControl w:val="0"/>
        <w:numPr>
          <w:ilvl w:val="0"/>
          <w:numId w:val="11"/>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国标黑体" w:hAnsi="国标黑体" w:eastAsia="国标黑体" w:cs="国标黑体"/>
          <w:color w:val="auto"/>
          <w:sz w:val="24"/>
          <w:szCs w:val="24"/>
          <w:lang w:eastAsia="zh-CN"/>
        </w:rPr>
      </w:pPr>
      <w:r>
        <w:rPr>
          <w:rFonts w:hint="eastAsia" w:ascii="国标黑体" w:hAnsi="国标黑体" w:eastAsia="国标黑体" w:cs="国标黑体"/>
          <w:color w:val="auto"/>
          <w:sz w:val="24"/>
          <w:szCs w:val="24"/>
          <w:lang w:eastAsia="zh-CN"/>
        </w:rPr>
        <w:t>评审工作方面</w:t>
      </w:r>
    </w:p>
    <w:p w14:paraId="78220D93">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身体状态良好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能够承担资格预审评审和评标工作</w:t>
      </w:r>
      <w:r>
        <w:rPr>
          <w:rFonts w:hint="eastAsia" w:ascii="宋体" w:hAnsi="宋体" w:eastAsia="宋体" w:cs="宋体"/>
          <w:color w:val="auto"/>
          <w:sz w:val="24"/>
          <w:szCs w:val="24"/>
          <w:lang w:eastAsia="zh-CN"/>
        </w:rPr>
        <w:t>。</w:t>
      </w:r>
    </w:p>
    <w:p w14:paraId="79A378FC">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熟知国家及本省、市</w:t>
      </w:r>
      <w:r>
        <w:rPr>
          <w:rFonts w:hint="eastAsia" w:ascii="宋体" w:hAnsi="宋体" w:eastAsia="宋体" w:cs="宋体"/>
          <w:color w:val="auto"/>
          <w:sz w:val="24"/>
          <w:szCs w:val="24"/>
          <w:lang w:eastAsia="zh-CN"/>
        </w:rPr>
        <w:t>各级</w:t>
      </w:r>
      <w:r>
        <w:rPr>
          <w:rFonts w:hint="eastAsia" w:ascii="宋体" w:hAnsi="宋体" w:eastAsia="宋体" w:cs="宋体"/>
          <w:color w:val="auto"/>
          <w:sz w:val="24"/>
          <w:szCs w:val="24"/>
        </w:rPr>
        <w:t>建设工程招</w:t>
      </w:r>
      <w:r>
        <w:rPr>
          <w:rFonts w:hint="eastAsia" w:ascii="宋体" w:hAnsi="宋体" w:eastAsia="宋体" w:cs="宋体"/>
          <w:color w:val="auto"/>
          <w:sz w:val="24"/>
          <w:szCs w:val="24"/>
          <w:lang w:eastAsia="zh-CN"/>
        </w:rPr>
        <w:t>标</w:t>
      </w:r>
      <w:r>
        <w:rPr>
          <w:rFonts w:hint="eastAsia" w:ascii="宋体" w:hAnsi="宋体" w:eastAsia="宋体" w:cs="宋体"/>
          <w:color w:val="auto"/>
          <w:sz w:val="24"/>
          <w:szCs w:val="24"/>
        </w:rPr>
        <w:t>投标方面的法律、法规、规章和规范性文件的相关规定，能够</w:t>
      </w:r>
      <w:r>
        <w:rPr>
          <w:rFonts w:hint="eastAsia" w:ascii="宋体" w:hAnsi="宋体" w:eastAsia="宋体" w:cs="宋体"/>
          <w:color w:val="auto"/>
          <w:sz w:val="24"/>
          <w:szCs w:val="24"/>
          <w:lang w:eastAsia="zh-CN"/>
        </w:rPr>
        <w:t>在法律法规框架内</w:t>
      </w:r>
      <w:r>
        <w:rPr>
          <w:rFonts w:hint="eastAsia" w:ascii="宋体" w:hAnsi="宋体" w:eastAsia="宋体" w:cs="宋体"/>
          <w:color w:val="auto"/>
          <w:sz w:val="24"/>
          <w:szCs w:val="24"/>
        </w:rPr>
        <w:t>按照招标文件确定的评标标准和方法客观、公正、独立的履行评标专家职责</w:t>
      </w:r>
      <w:r>
        <w:rPr>
          <w:rFonts w:hint="eastAsia" w:ascii="宋体" w:hAnsi="宋体" w:eastAsia="宋体" w:cs="宋体"/>
          <w:color w:val="auto"/>
          <w:sz w:val="24"/>
          <w:szCs w:val="24"/>
          <w:lang w:eastAsia="zh-CN"/>
        </w:rPr>
        <w:t>。</w:t>
      </w:r>
    </w:p>
    <w:p w14:paraId="5E985B27">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宋体" w:hAnsi="宋体" w:eastAsia="宋体" w:cs="宋体"/>
          <w:color w:val="auto"/>
          <w:sz w:val="24"/>
          <w:szCs w:val="24"/>
        </w:rPr>
        <w:t>遵守评标工作纪律和评标现场秩序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能熟练使用各类评审、评标工具。</w:t>
      </w:r>
    </w:p>
    <w:p w14:paraId="2A8042EC">
      <w:pPr>
        <w:keepNext w:val="0"/>
        <w:keepLines w:val="0"/>
        <w:pageBreakBefore w:val="0"/>
        <w:widowControl w:val="0"/>
        <w:numPr>
          <w:ilvl w:val="0"/>
          <w:numId w:val="11"/>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国标黑体" w:hAnsi="国标黑体" w:eastAsia="国标黑体" w:cs="国标黑体"/>
          <w:color w:val="auto"/>
          <w:sz w:val="24"/>
          <w:szCs w:val="24"/>
          <w:lang w:eastAsia="zh-CN"/>
        </w:rPr>
      </w:pPr>
      <w:r>
        <w:rPr>
          <w:rFonts w:hint="eastAsia" w:ascii="国标黑体" w:hAnsi="国标黑体" w:eastAsia="国标黑体" w:cs="国标黑体"/>
          <w:color w:val="auto"/>
          <w:sz w:val="24"/>
          <w:szCs w:val="24"/>
          <w:lang w:eastAsia="zh-CN"/>
        </w:rPr>
        <w:t>职业道德方面</w:t>
      </w:r>
    </w:p>
    <w:p w14:paraId="0EE4FCAF">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评标期间不擅离职守。</w:t>
      </w:r>
    </w:p>
    <w:p w14:paraId="28289DBC">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不与</w:t>
      </w:r>
      <w:r>
        <w:rPr>
          <w:rFonts w:hint="eastAsia" w:ascii="宋体" w:hAnsi="宋体" w:eastAsia="宋体" w:cs="宋体"/>
          <w:color w:val="auto"/>
          <w:sz w:val="24"/>
          <w:szCs w:val="24"/>
          <w:lang w:val="en-US" w:eastAsia="zh-CN"/>
        </w:rPr>
        <w:t>任何</w:t>
      </w:r>
      <w:r>
        <w:rPr>
          <w:rFonts w:hint="eastAsia" w:ascii="宋体" w:hAnsi="宋体" w:eastAsia="宋体" w:cs="宋体"/>
          <w:color w:val="auto"/>
          <w:sz w:val="24"/>
          <w:szCs w:val="24"/>
        </w:rPr>
        <w:t>投标人或者招标结果有利害关系的人进行私下接触，不收受投标人、中介人、其他利害关系人的财物或者其他好处。</w:t>
      </w:r>
    </w:p>
    <w:p w14:paraId="033A6D68">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不向</w:t>
      </w:r>
      <w:r>
        <w:rPr>
          <w:rFonts w:hint="eastAsia" w:ascii="宋体" w:hAnsi="宋体" w:eastAsia="宋体" w:cs="宋体"/>
          <w:color w:val="auto"/>
          <w:sz w:val="24"/>
          <w:szCs w:val="24"/>
          <w:lang w:val="en-US" w:eastAsia="zh-CN"/>
        </w:rPr>
        <w:t>招标人或招标代理机构人员征询其确定中标人的意向，不接受任何单位和个人明示或者暗示提出的倾向或者排斥特定投标人的要求。</w:t>
      </w:r>
    </w:p>
    <w:p w14:paraId="21C90AA9">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严格按照招标文件规定的评标标准和方法进行评审，不恶意废标。</w:t>
      </w:r>
    </w:p>
    <w:p w14:paraId="5E7C9888">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宋体" w:hAnsi="宋体" w:eastAsia="宋体" w:cs="宋体"/>
          <w:color w:val="auto"/>
          <w:sz w:val="24"/>
          <w:szCs w:val="24"/>
          <w:lang w:val="en-US" w:eastAsia="zh-CN"/>
        </w:rPr>
        <w:t>不拖延评标时间、拒绝在评标报告上签字以索要高额评标报酬，不以投标文件瑕疵为由向招标人或者招标代理机构索要费用。</w:t>
      </w:r>
    </w:p>
    <w:p w14:paraId="4B482CD1">
      <w:pPr>
        <w:keepNext w:val="0"/>
        <w:keepLines w:val="0"/>
        <w:pageBreakBefore w:val="0"/>
        <w:widowControl w:val="0"/>
        <w:numPr>
          <w:ilvl w:val="0"/>
          <w:numId w:val="11"/>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国标黑体" w:hAnsi="国标黑体" w:eastAsia="国标黑体" w:cs="国标黑体"/>
          <w:color w:val="auto"/>
          <w:sz w:val="24"/>
          <w:szCs w:val="24"/>
          <w:lang w:val="en-US" w:eastAsia="zh-CN"/>
        </w:rPr>
      </w:pPr>
      <w:r>
        <w:rPr>
          <w:rFonts w:hint="eastAsia" w:ascii="国标黑体" w:hAnsi="国标黑体" w:eastAsia="国标黑体" w:cs="国标黑体"/>
          <w:color w:val="auto"/>
          <w:sz w:val="24"/>
          <w:szCs w:val="24"/>
          <w:lang w:val="en-US" w:eastAsia="zh-CN"/>
        </w:rPr>
        <w:t>职业义务方面</w:t>
      </w:r>
    </w:p>
    <w:p w14:paraId="1B574FF2">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不参与为方便围标串标组建的团体活动，不参与扰</w:t>
      </w:r>
      <w:r>
        <w:rPr>
          <w:rFonts w:hint="eastAsia" w:ascii="宋体" w:hAnsi="宋体" w:eastAsia="宋体" w:cs="宋体"/>
          <w:color w:val="auto"/>
          <w:sz w:val="24"/>
          <w:szCs w:val="24"/>
        </w:rPr>
        <w:t>乱招投标活动的其他行为。</w:t>
      </w:r>
    </w:p>
    <w:p w14:paraId="768430CA">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协助、配合招标人处理异议，按规定程序复核、纠正评标报告中的错误。</w:t>
      </w:r>
    </w:p>
    <w:p w14:paraId="06F08D36">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宋体" w:hAnsi="宋体" w:eastAsia="宋体" w:cs="宋体"/>
          <w:color w:val="auto"/>
          <w:sz w:val="24"/>
          <w:szCs w:val="24"/>
          <w:lang w:val="en-US" w:eastAsia="zh-CN"/>
        </w:rPr>
        <w:t>发现违法违规行为主动向招标人、行政监督部门反映，协助、配合行政监督部门、纪检监察机关、司法机关、审计部门开展监督、检查、调查及投诉处理。</w:t>
      </w:r>
    </w:p>
    <w:p w14:paraId="48A402C4">
      <w:pPr>
        <w:keepNext w:val="0"/>
        <w:keepLines w:val="0"/>
        <w:pageBreakBefore w:val="0"/>
        <w:widowControl w:val="0"/>
        <w:numPr>
          <w:ilvl w:val="0"/>
          <w:numId w:val="11"/>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国标黑体" w:hAnsi="国标黑体" w:eastAsia="国标黑体" w:cs="国标黑体"/>
          <w:color w:val="auto"/>
          <w:sz w:val="24"/>
          <w:szCs w:val="24"/>
          <w:lang w:val="en-US" w:eastAsia="zh-CN"/>
        </w:rPr>
      </w:pPr>
      <w:r>
        <w:rPr>
          <w:rFonts w:hint="eastAsia" w:ascii="国标黑体" w:hAnsi="国标黑体" w:eastAsia="国标黑体" w:cs="国标黑体"/>
          <w:color w:val="auto"/>
          <w:sz w:val="24"/>
          <w:szCs w:val="24"/>
          <w:lang w:val="en-US" w:eastAsia="zh-CN"/>
        </w:rPr>
        <w:t>回避方面</w:t>
      </w:r>
    </w:p>
    <w:p w14:paraId="2AE91C4E">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不存在法律、法规、规章及规范性文件规定应</w:t>
      </w:r>
      <w:bookmarkStart w:id="640" w:name="baidusnap2"/>
      <w:bookmarkEnd w:id="640"/>
      <w:r>
        <w:rPr>
          <w:rFonts w:hint="eastAsia" w:ascii="宋体" w:hAnsi="宋体" w:eastAsia="宋体" w:cs="宋体"/>
          <w:color w:val="auto"/>
          <w:sz w:val="24"/>
          <w:szCs w:val="24"/>
          <w:lang w:val="en-US" w:eastAsia="zh-CN"/>
        </w:rPr>
        <w:t>回避的情形，以及下列情形：</w:t>
      </w:r>
    </w:p>
    <w:p w14:paraId="72485630">
      <w:pPr>
        <w:keepNext w:val="0"/>
        <w:keepLines w:val="0"/>
        <w:pageBreakBefore w:val="0"/>
        <w:widowControl w:val="0"/>
        <w:numPr>
          <w:ilvl w:val="0"/>
          <w:numId w:val="1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被限制民事行为能力。</w:t>
      </w:r>
    </w:p>
    <w:p w14:paraId="3A25F5F0">
      <w:pPr>
        <w:keepNext w:val="0"/>
        <w:keepLines w:val="0"/>
        <w:pageBreakBefore w:val="0"/>
        <w:widowControl w:val="0"/>
        <w:numPr>
          <w:ilvl w:val="0"/>
          <w:numId w:val="1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被行政监督部门取消担任评标委员会成员资格。</w:t>
      </w:r>
    </w:p>
    <w:p w14:paraId="141A5F8C">
      <w:pPr>
        <w:keepNext w:val="0"/>
        <w:keepLines w:val="0"/>
        <w:pageBreakBefore w:val="0"/>
        <w:widowControl w:val="0"/>
        <w:numPr>
          <w:ilvl w:val="0"/>
          <w:numId w:val="1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被开除公职，或者受过刑事处罚。</w:t>
      </w:r>
    </w:p>
    <w:p w14:paraId="448883D9">
      <w:pPr>
        <w:keepNext w:val="0"/>
        <w:keepLines w:val="0"/>
        <w:pageBreakBefore w:val="0"/>
        <w:widowControl w:val="0"/>
        <w:numPr>
          <w:ilvl w:val="0"/>
          <w:numId w:val="1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被列入严重失信主体名单。</w:t>
      </w:r>
    </w:p>
    <w:p w14:paraId="12282B7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宋体" w:hAnsi="宋体" w:eastAsia="宋体" w:cs="宋体"/>
          <w:color w:val="auto"/>
          <w:sz w:val="24"/>
          <w:szCs w:val="24"/>
          <w:lang w:val="en-US" w:eastAsia="zh-CN"/>
        </w:rPr>
        <w:t>特此承诺</w:t>
      </w:r>
      <w:r>
        <w:rPr>
          <w:rFonts w:hint="eastAsia" w:ascii="方正仿宋_GBK" w:hAnsi="方正仿宋_GBK" w:eastAsia="方正仿宋_GBK" w:cs="方正仿宋_GBK"/>
          <w:color w:val="auto"/>
          <w:sz w:val="24"/>
          <w:szCs w:val="24"/>
          <w:lang w:val="en-US" w:eastAsia="zh-CN"/>
        </w:rPr>
        <w:t>。</w:t>
      </w:r>
    </w:p>
    <w:p w14:paraId="0F63E4E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jc w:val="right"/>
        <w:textAlignment w:val="auto"/>
        <w:rPr>
          <w:rFonts w:hint="eastAsia" w:ascii="宋体" w:hAnsi="宋体" w:eastAsia="宋体" w:cs="宋体"/>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评标专家：</w:t>
      </w:r>
      <w:r>
        <w:rPr>
          <w:rFonts w:hint="eastAsia" w:ascii="宋体" w:hAnsi="宋体" w:eastAsia="宋体" w:cs="宋体"/>
          <w:color w:val="auto"/>
          <w:sz w:val="24"/>
          <w:szCs w:val="24"/>
          <w:lang w:val="en-US" w:eastAsia="zh-CN"/>
        </w:rPr>
        <w:t xml:space="preserve">             </w:t>
      </w:r>
    </w:p>
    <w:p w14:paraId="20A3F273">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480" w:firstLineChars="200"/>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bookmarkEnd w:id="599"/>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日</w:t>
      </w:r>
    </w:p>
    <w:p w14:paraId="02C0BA15">
      <w:pPr>
        <w:keepNext w:val="0"/>
        <w:keepLines w:val="0"/>
        <w:pageBreakBefore w:val="0"/>
        <w:widowControl w:val="0"/>
        <w:kinsoku/>
        <w:overflowPunct/>
        <w:topLinePunct w:val="0"/>
        <w:autoSpaceDE/>
        <w:autoSpaceDN/>
        <w:bidi w:val="0"/>
        <w:adjustRightInd/>
        <w:snapToGrid w:val="0"/>
        <w:spacing w:line="400" w:lineRule="exact"/>
        <w:ind w:left="0" w:leftChars="0" w:right="0" w:rightChars="0"/>
        <w:jc w:val="left"/>
        <w:textAlignment w:val="auto"/>
        <w:rPr>
          <w:rFonts w:hint="eastAsia" w:ascii="方正仿宋简体" w:hAnsi="方正仿宋简体" w:eastAsia="方正仿宋简体" w:cs="方正仿宋简体"/>
          <w:color w:val="auto"/>
        </w:rPr>
      </w:pPr>
    </w:p>
    <w:p w14:paraId="51E05328">
      <w:pPr>
        <w:pageBreakBefore w:val="0"/>
        <w:kinsoku/>
        <w:wordWrap w:val="0"/>
        <w:overflowPunct/>
        <w:bidi w:val="0"/>
        <w:rPr>
          <w:color w:val="auto"/>
        </w:rPr>
      </w:pPr>
      <w:r>
        <w:rPr>
          <w:color w:val="auto"/>
        </w:rPr>
        <w:br w:type="page"/>
      </w:r>
    </w:p>
    <w:p w14:paraId="5DBA5ECB">
      <w:pPr>
        <w:pageBreakBefore w:val="0"/>
        <w:kinsoku/>
        <w:wordWrap w:val="0"/>
        <w:overflowPunct/>
        <w:bidi w:val="0"/>
        <w:rPr>
          <w:color w:val="auto"/>
        </w:rPr>
      </w:pPr>
    </w:p>
    <w:p w14:paraId="3550FCD3">
      <w:pPr>
        <w:pStyle w:val="2"/>
        <w:rPr>
          <w:color w:val="auto"/>
        </w:rPr>
      </w:pPr>
      <w:bookmarkStart w:id="641" w:name="_Toc14129"/>
      <w:bookmarkStart w:id="642" w:name="_Toc144974577"/>
      <w:bookmarkStart w:id="643" w:name="_Toc30263"/>
      <w:bookmarkStart w:id="644" w:name="_Toc152042387"/>
      <w:bookmarkStart w:id="645" w:name="_Toc247514033"/>
      <w:bookmarkStart w:id="646" w:name="_Toc152045609"/>
      <w:bookmarkStart w:id="647" w:name="_Toc247527634"/>
      <w:bookmarkStart w:id="648" w:name="_Toc15828"/>
      <w:bookmarkStart w:id="649" w:name="_Toc31062"/>
      <w:r>
        <w:rPr>
          <w:color w:val="auto"/>
        </w:rPr>
        <w:t>第四章 合同条款及格式</w:t>
      </w:r>
      <w:bookmarkEnd w:id="641"/>
      <w:bookmarkEnd w:id="642"/>
      <w:bookmarkEnd w:id="643"/>
      <w:bookmarkEnd w:id="644"/>
      <w:bookmarkEnd w:id="645"/>
      <w:bookmarkEnd w:id="646"/>
      <w:bookmarkEnd w:id="647"/>
      <w:bookmarkEnd w:id="648"/>
      <w:bookmarkEnd w:id="649"/>
      <w:bookmarkStart w:id="650" w:name="_Toc247527635"/>
      <w:bookmarkStart w:id="651" w:name="_Toc144974578"/>
      <w:bookmarkStart w:id="652" w:name="_Toc247514034"/>
      <w:bookmarkStart w:id="653" w:name="_Toc184635097"/>
      <w:bookmarkStart w:id="654" w:name="_Toc152042388"/>
      <w:bookmarkStart w:id="655" w:name="_Toc152045610"/>
    </w:p>
    <w:p w14:paraId="3A94E1D1">
      <w:pPr>
        <w:rPr>
          <w:rFonts w:hint="eastAsia"/>
          <w:color w:val="auto"/>
          <w:sz w:val="24"/>
          <w:szCs w:val="24"/>
          <w:lang w:eastAsia="zh-CN"/>
        </w:rPr>
      </w:pPr>
      <w:r>
        <w:rPr>
          <w:rFonts w:hint="eastAsia"/>
          <w:color w:val="auto"/>
          <w:sz w:val="24"/>
          <w:szCs w:val="24"/>
          <w:lang w:eastAsia="zh-CN"/>
        </w:rPr>
        <w:t>合同采用</w:t>
      </w:r>
      <w:r>
        <w:rPr>
          <w:rFonts w:hint="eastAsia" w:ascii="宋体" w:hAnsi="宋体" w:eastAsia="宋体" w:cs="宋体"/>
          <w:color w:val="auto"/>
          <w:sz w:val="24"/>
          <w:szCs w:val="24"/>
          <w:lang w:eastAsia="zh-CN"/>
        </w:rPr>
        <w:t>《建设项目工程总承包合同（示范文本）》（GF-2020-0216）</w:t>
      </w:r>
      <w:r>
        <w:rPr>
          <w:rFonts w:hint="eastAsia"/>
          <w:color w:val="auto"/>
          <w:sz w:val="24"/>
          <w:szCs w:val="24"/>
          <w:lang w:eastAsia="zh-CN"/>
        </w:rPr>
        <w:t>。</w:t>
      </w:r>
    </w:p>
    <w:p w14:paraId="0B779AEE">
      <w:pPr>
        <w:rPr>
          <w:color w:val="auto"/>
        </w:rPr>
      </w:pPr>
    </w:p>
    <w:p w14:paraId="58DCB554">
      <w:pPr>
        <w:rPr>
          <w:color w:val="auto"/>
        </w:rPr>
      </w:pPr>
    </w:p>
    <w:p w14:paraId="01C10EED">
      <w:pPr>
        <w:rPr>
          <w:color w:val="auto"/>
        </w:rPr>
      </w:pPr>
    </w:p>
    <w:p w14:paraId="36ED0226">
      <w:pPr>
        <w:rPr>
          <w:color w:val="auto"/>
        </w:rPr>
      </w:pPr>
      <w:r>
        <w:rPr>
          <w:color w:val="auto"/>
        </w:rPr>
        <w:br w:type="page"/>
      </w:r>
      <w:bookmarkEnd w:id="650"/>
      <w:bookmarkEnd w:id="651"/>
      <w:bookmarkEnd w:id="652"/>
      <w:bookmarkEnd w:id="653"/>
      <w:bookmarkEnd w:id="654"/>
      <w:bookmarkEnd w:id="655"/>
      <w:bookmarkStart w:id="656" w:name="_Toc144974851"/>
      <w:bookmarkStart w:id="657" w:name="_Toc247527820"/>
      <w:bookmarkStart w:id="658" w:name="_Toc247514233"/>
      <w:bookmarkStart w:id="659" w:name="_Toc152045782"/>
      <w:bookmarkStart w:id="660" w:name="_Toc152042571"/>
      <w:bookmarkStart w:id="661" w:name="_Toc31499"/>
      <w:bookmarkStart w:id="662" w:name="_Toc4228"/>
      <w:bookmarkStart w:id="663" w:name="_Toc796"/>
      <w:r>
        <w:rPr>
          <w:rFonts w:hint="eastAsia" w:ascii="仿宋_GB2312" w:hAnsi="仿宋_GB2312" w:eastAsia="仿宋_GB2312" w:cs="仿宋_GB2312"/>
          <w:color w:val="auto"/>
          <w:sz w:val="32"/>
          <w:szCs w:val="32"/>
        </w:rPr>
        <w:t>GF-2020-0216</w:t>
      </w:r>
    </w:p>
    <w:p w14:paraId="725C44B0">
      <w:pPr>
        <w:spacing w:line="480" w:lineRule="auto"/>
        <w:rPr>
          <w:color w:val="auto"/>
        </w:rPr>
      </w:pPr>
    </w:p>
    <w:p w14:paraId="5F8510FB">
      <w:pPr>
        <w:spacing w:line="480" w:lineRule="auto"/>
        <w:rPr>
          <w:color w:val="auto"/>
        </w:rPr>
      </w:pPr>
    </w:p>
    <w:p w14:paraId="1FBD41D5">
      <w:pPr>
        <w:spacing w:line="480" w:lineRule="auto"/>
        <w:rPr>
          <w:color w:val="auto"/>
        </w:rPr>
      </w:pPr>
    </w:p>
    <w:p w14:paraId="2009CAAA">
      <w:pPr>
        <w:spacing w:line="480" w:lineRule="auto"/>
        <w:rPr>
          <w:color w:val="auto"/>
        </w:rPr>
      </w:pPr>
    </w:p>
    <w:p w14:paraId="3CA1729D">
      <w:pPr>
        <w:pStyle w:val="81"/>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72"/>
          <w:szCs w:val="72"/>
        </w:rPr>
        <w:t>建设项目工程总承包合同</w:t>
      </w:r>
    </w:p>
    <w:p w14:paraId="4E864AFE">
      <w:pPr>
        <w:pStyle w:val="81"/>
        <w:rPr>
          <w:rFonts w:ascii="华文中宋" w:hAnsi="华文中宋" w:eastAsia="华文中宋"/>
          <w:b w:val="0"/>
          <w:bCs/>
          <w:color w:val="auto"/>
          <w:sz w:val="52"/>
          <w:szCs w:val="52"/>
        </w:rPr>
      </w:pPr>
      <w:r>
        <w:rPr>
          <w:rFonts w:hint="eastAsia" w:ascii="方正小标宋简体" w:hAnsi="方正小标宋简体" w:eastAsia="方正小标宋简体" w:cs="方正小标宋简体"/>
          <w:b w:val="0"/>
          <w:bCs/>
          <w:color w:val="auto"/>
          <w:sz w:val="52"/>
          <w:szCs w:val="52"/>
        </w:rPr>
        <w:t>（示范文本）</w:t>
      </w:r>
    </w:p>
    <w:p w14:paraId="1E0041A2">
      <w:pPr>
        <w:spacing w:line="480" w:lineRule="auto"/>
        <w:rPr>
          <w:color w:val="auto"/>
        </w:rPr>
      </w:pPr>
    </w:p>
    <w:p w14:paraId="7522F8DD">
      <w:pPr>
        <w:pStyle w:val="11"/>
        <w:spacing w:line="480" w:lineRule="auto"/>
        <w:ind w:firstLine="0" w:firstLineChars="0"/>
        <w:rPr>
          <w:color w:val="auto"/>
        </w:rPr>
      </w:pPr>
    </w:p>
    <w:p w14:paraId="5572267C">
      <w:pPr>
        <w:spacing w:line="480" w:lineRule="auto"/>
        <w:rPr>
          <w:color w:val="auto"/>
        </w:rPr>
      </w:pPr>
    </w:p>
    <w:p w14:paraId="35CC6AB5">
      <w:pPr>
        <w:spacing w:line="480" w:lineRule="auto"/>
        <w:rPr>
          <w:color w:val="auto"/>
        </w:rPr>
      </w:pPr>
    </w:p>
    <w:p w14:paraId="11CC8851">
      <w:pPr>
        <w:spacing w:line="480" w:lineRule="auto"/>
        <w:rPr>
          <w:color w:val="auto"/>
        </w:rPr>
      </w:pPr>
    </w:p>
    <w:p w14:paraId="4B9307F2">
      <w:pPr>
        <w:spacing w:line="480" w:lineRule="auto"/>
        <w:rPr>
          <w:color w:val="auto"/>
        </w:rPr>
      </w:pPr>
    </w:p>
    <w:p w14:paraId="1811F821">
      <w:pPr>
        <w:spacing w:line="480" w:lineRule="auto"/>
        <w:rPr>
          <w:color w:val="auto"/>
        </w:rPr>
      </w:pPr>
    </w:p>
    <w:p w14:paraId="095AEC81">
      <w:pPr>
        <w:pStyle w:val="11"/>
        <w:ind w:firstLine="0" w:firstLineChars="0"/>
        <w:rPr>
          <w:color w:val="auto"/>
        </w:rPr>
      </w:pPr>
    </w:p>
    <w:p w14:paraId="25487C38">
      <w:pPr>
        <w:spacing w:line="360" w:lineRule="auto"/>
        <w:ind w:right="2182" w:rightChars="1039" w:firstLine="1606" w:firstLineChars="500"/>
        <w:jc w:val="left"/>
        <w:rPr>
          <w:b/>
          <w:bCs/>
          <w:color w:val="auto"/>
          <w:sz w:val="32"/>
          <w:szCs w:val="32"/>
        </w:rPr>
      </w:pPr>
      <w:r>
        <w:rPr>
          <w:b/>
          <w:bCs/>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4423410</wp:posOffset>
                </wp:positionH>
                <wp:positionV relativeFrom="paragraph">
                  <wp:posOffset>162560</wp:posOffset>
                </wp:positionV>
                <wp:extent cx="754380" cy="1778000"/>
                <wp:effectExtent l="0" t="0" r="7620" b="12700"/>
                <wp:wrapNone/>
                <wp:docPr id="1" name="文本框 1027"/>
                <wp:cNvGraphicFramePr/>
                <a:graphic xmlns:a="http://schemas.openxmlformats.org/drawingml/2006/main">
                  <a:graphicData uri="http://schemas.microsoft.com/office/word/2010/wordprocessingShape">
                    <wps:wsp>
                      <wps:cNvSpPr txBox="1"/>
                      <wps:spPr>
                        <a:xfrm>
                          <a:off x="0" y="0"/>
                          <a:ext cx="754380" cy="1778000"/>
                        </a:xfrm>
                        <a:prstGeom prst="rect">
                          <a:avLst/>
                        </a:prstGeom>
                        <a:solidFill>
                          <a:srgbClr val="FFFFFF"/>
                        </a:solidFill>
                        <a:ln>
                          <a:noFill/>
                        </a:ln>
                      </wps:spPr>
                      <wps:txbx>
                        <w:txbxContent>
                          <w:p w14:paraId="4A7CFB5C">
                            <w:pPr>
                              <w:ind w:left="0" w:leftChars="0" w:firstLine="0" w:firstLineChars="0"/>
                              <w:jc w:val="both"/>
                              <w:rPr>
                                <w:b/>
                                <w:bCs/>
                                <w:sz w:val="32"/>
                                <w:szCs w:val="32"/>
                              </w:rPr>
                            </w:pPr>
                            <w:r>
                              <w:rPr>
                                <w:rFonts w:hint="eastAsia"/>
                                <w:b/>
                                <w:bCs/>
                                <w:sz w:val="32"/>
                                <w:szCs w:val="32"/>
                              </w:rPr>
                              <w:t>制定</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1027" o:spid="_x0000_s1026" o:spt="202" type="#_x0000_t202" style="position:absolute;left:0pt;margin-left:348.3pt;margin-top:12.8pt;height:140pt;width:59.4pt;z-index:251659264;mso-width-relative:page;mso-height-relative:margin;mso-height-percent:200;" fillcolor="#FFFFFF" filled="t" stroked="f" coordsize="21600,21600" o:gfxdata="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JTsYp2AAAAAoBAAAPAAAAAAAA&#10;AAEAIAAAACIAAABkcnMvZG93bnJldi54bWxQSwECFAAUAAAACACHTuJAj6qlXtkBAACiAwAADgAA&#10;AAAAAAABACAAAAAnAQAAZHJzL2Uyb0RvYy54bWxQSwUGAAAAAAYABgBZAQAAcgUAAAAA&#10;">
                <v:fill on="t" focussize="0,0"/>
                <v:stroke on="f"/>
                <v:imagedata o:title=""/>
                <o:lock v:ext="edit" aspectratio="f"/>
                <v:textbox style="mso-fit-shape-to-text:t;">
                  <w:txbxContent>
                    <w:p w14:paraId="4A7CFB5C">
                      <w:pPr>
                        <w:ind w:left="0" w:leftChars="0" w:firstLine="0" w:firstLineChars="0"/>
                        <w:jc w:val="both"/>
                        <w:rPr>
                          <w:b/>
                          <w:bCs/>
                          <w:sz w:val="32"/>
                          <w:szCs w:val="32"/>
                        </w:rPr>
                      </w:pPr>
                      <w:r>
                        <w:rPr>
                          <w:rFonts w:hint="eastAsia"/>
                          <w:b/>
                          <w:bCs/>
                          <w:sz w:val="32"/>
                          <w:szCs w:val="32"/>
                        </w:rPr>
                        <w:t>制定</w:t>
                      </w:r>
                    </w:p>
                  </w:txbxContent>
                </v:textbox>
              </v:shape>
            </w:pict>
          </mc:Fallback>
        </mc:AlternateContent>
      </w:r>
      <w:r>
        <w:rPr>
          <w:rFonts w:hint="eastAsia"/>
          <w:b/>
          <w:bCs/>
          <w:color w:val="auto"/>
          <w:sz w:val="32"/>
          <w:szCs w:val="32"/>
        </w:rPr>
        <w:t>中华人民共和国</w:t>
      </w:r>
      <w:r>
        <w:rPr>
          <w:b/>
          <w:bCs/>
          <w:color w:val="auto"/>
          <w:sz w:val="32"/>
          <w:szCs w:val="32"/>
        </w:rPr>
        <w:t>住房</w:t>
      </w:r>
      <w:r>
        <w:rPr>
          <w:rFonts w:hint="eastAsia"/>
          <w:b/>
          <w:bCs/>
          <w:color w:val="auto"/>
          <w:sz w:val="32"/>
          <w:szCs w:val="32"/>
        </w:rPr>
        <w:t>和</w:t>
      </w:r>
      <w:r>
        <w:rPr>
          <w:b/>
          <w:bCs/>
          <w:color w:val="auto"/>
          <w:sz w:val="32"/>
          <w:szCs w:val="32"/>
        </w:rPr>
        <w:t>城乡建设部</w:t>
      </w:r>
    </w:p>
    <w:p w14:paraId="136C839F">
      <w:pPr>
        <w:spacing w:line="360" w:lineRule="auto"/>
        <w:ind w:right="2182" w:rightChars="1039" w:firstLine="1606" w:firstLineChars="500"/>
        <w:jc w:val="left"/>
        <w:rPr>
          <w:b/>
          <w:bCs/>
          <w:color w:val="auto"/>
          <w:sz w:val="32"/>
          <w:szCs w:val="32"/>
        </w:rPr>
      </w:pPr>
      <w:r>
        <w:rPr>
          <w:rFonts w:hint="eastAsia"/>
          <w:b/>
          <w:color w:val="auto"/>
          <w:sz w:val="32"/>
          <w:szCs w:val="28"/>
        </w:rPr>
        <w:t>国</w:t>
      </w:r>
      <w:r>
        <w:rPr>
          <w:rFonts w:hint="eastAsia"/>
          <w:b/>
          <w:color w:val="auto"/>
          <w:sz w:val="32"/>
          <w:szCs w:val="28"/>
          <w:lang w:val="en-US" w:eastAsia="zh-CN"/>
        </w:rPr>
        <w:t xml:space="preserve"> </w:t>
      </w:r>
      <w:r>
        <w:rPr>
          <w:rFonts w:hint="eastAsia"/>
          <w:b/>
          <w:color w:val="auto"/>
          <w:sz w:val="32"/>
          <w:szCs w:val="28"/>
        </w:rPr>
        <w:t>家</w:t>
      </w:r>
      <w:r>
        <w:rPr>
          <w:rFonts w:hint="eastAsia"/>
          <w:b/>
          <w:color w:val="auto"/>
          <w:sz w:val="32"/>
          <w:szCs w:val="28"/>
          <w:lang w:val="en-US" w:eastAsia="zh-CN"/>
        </w:rPr>
        <w:t xml:space="preserve"> </w:t>
      </w:r>
      <w:r>
        <w:rPr>
          <w:rFonts w:hint="eastAsia"/>
          <w:b/>
          <w:bCs/>
          <w:color w:val="auto"/>
          <w:sz w:val="32"/>
          <w:szCs w:val="32"/>
        </w:rPr>
        <w:t>市</w:t>
      </w:r>
      <w:r>
        <w:rPr>
          <w:rFonts w:hint="eastAsia"/>
          <w:b/>
          <w:bCs/>
          <w:color w:val="auto"/>
          <w:sz w:val="32"/>
          <w:szCs w:val="32"/>
          <w:lang w:val="en-US" w:eastAsia="zh-CN"/>
        </w:rPr>
        <w:t xml:space="preserve"> </w:t>
      </w:r>
      <w:r>
        <w:rPr>
          <w:rFonts w:hint="eastAsia"/>
          <w:b/>
          <w:bCs/>
          <w:color w:val="auto"/>
          <w:sz w:val="32"/>
          <w:szCs w:val="32"/>
        </w:rPr>
        <w:t>场</w:t>
      </w:r>
      <w:r>
        <w:rPr>
          <w:rFonts w:hint="eastAsia"/>
          <w:b/>
          <w:bCs/>
          <w:color w:val="auto"/>
          <w:sz w:val="32"/>
          <w:szCs w:val="32"/>
          <w:lang w:val="en-US" w:eastAsia="zh-CN"/>
        </w:rPr>
        <w:t xml:space="preserve"> </w:t>
      </w:r>
      <w:r>
        <w:rPr>
          <w:rFonts w:hint="eastAsia"/>
          <w:b/>
          <w:bCs/>
          <w:color w:val="auto"/>
          <w:sz w:val="32"/>
          <w:szCs w:val="32"/>
        </w:rPr>
        <w:t>监</w:t>
      </w:r>
      <w:r>
        <w:rPr>
          <w:rFonts w:hint="eastAsia"/>
          <w:b/>
          <w:bCs/>
          <w:color w:val="auto"/>
          <w:sz w:val="32"/>
          <w:szCs w:val="32"/>
          <w:lang w:val="en-US" w:eastAsia="zh-CN"/>
        </w:rPr>
        <w:t xml:space="preserve"> </w:t>
      </w:r>
      <w:r>
        <w:rPr>
          <w:rFonts w:hint="eastAsia"/>
          <w:b/>
          <w:color w:val="auto"/>
          <w:sz w:val="32"/>
          <w:szCs w:val="28"/>
        </w:rPr>
        <w:t>督</w:t>
      </w:r>
      <w:r>
        <w:rPr>
          <w:rFonts w:hint="eastAsia"/>
          <w:b/>
          <w:color w:val="auto"/>
          <w:sz w:val="32"/>
          <w:szCs w:val="28"/>
          <w:lang w:val="en-US" w:eastAsia="zh-CN"/>
        </w:rPr>
        <w:t xml:space="preserve"> </w:t>
      </w:r>
      <w:r>
        <w:rPr>
          <w:rFonts w:hint="eastAsia"/>
          <w:b/>
          <w:bCs/>
          <w:color w:val="auto"/>
          <w:sz w:val="32"/>
          <w:szCs w:val="32"/>
        </w:rPr>
        <w:t>管</w:t>
      </w:r>
      <w:r>
        <w:rPr>
          <w:rFonts w:hint="eastAsia"/>
          <w:b/>
          <w:bCs/>
          <w:color w:val="auto"/>
          <w:sz w:val="32"/>
          <w:szCs w:val="32"/>
          <w:lang w:val="en-US" w:eastAsia="zh-CN"/>
        </w:rPr>
        <w:t xml:space="preserve"> </w:t>
      </w:r>
      <w:r>
        <w:rPr>
          <w:rFonts w:hint="eastAsia"/>
          <w:b/>
          <w:bCs/>
          <w:color w:val="auto"/>
          <w:sz w:val="32"/>
          <w:szCs w:val="32"/>
        </w:rPr>
        <w:t>理</w:t>
      </w:r>
      <w:r>
        <w:rPr>
          <w:rFonts w:hint="eastAsia"/>
          <w:b/>
          <w:bCs/>
          <w:color w:val="auto"/>
          <w:sz w:val="32"/>
          <w:szCs w:val="32"/>
          <w:lang w:val="en-US" w:eastAsia="zh-CN"/>
        </w:rPr>
        <w:t xml:space="preserve"> </w:t>
      </w:r>
      <w:r>
        <w:rPr>
          <w:b/>
          <w:bCs/>
          <w:color w:val="auto"/>
          <w:sz w:val="32"/>
          <w:szCs w:val="32"/>
        </w:rPr>
        <w:t>总</w:t>
      </w:r>
      <w:r>
        <w:rPr>
          <w:rFonts w:hint="eastAsia"/>
          <w:b/>
          <w:bCs/>
          <w:color w:val="auto"/>
          <w:sz w:val="32"/>
          <w:szCs w:val="32"/>
          <w:lang w:val="en-US" w:eastAsia="zh-CN"/>
        </w:rPr>
        <w:t xml:space="preserve"> </w:t>
      </w:r>
      <w:r>
        <w:rPr>
          <w:b/>
          <w:bCs/>
          <w:color w:val="auto"/>
          <w:sz w:val="32"/>
          <w:szCs w:val="32"/>
        </w:rPr>
        <w:t>局</w:t>
      </w:r>
    </w:p>
    <w:p w14:paraId="1DB21D15">
      <w:pPr>
        <w:ind w:right="2182" w:rightChars="1039" w:firstLine="1928" w:firstLineChars="600"/>
        <w:jc w:val="left"/>
        <w:rPr>
          <w:rFonts w:hint="default"/>
          <w:b/>
          <w:bCs/>
          <w:color w:val="auto"/>
          <w:sz w:val="32"/>
          <w:szCs w:val="32"/>
          <w:highlight w:val="none"/>
          <w:lang w:val="en-US"/>
        </w:rPr>
      </w:pPr>
    </w:p>
    <w:p w14:paraId="7A7679C4">
      <w:pPr>
        <w:ind w:right="2182" w:rightChars="1039" w:firstLine="1928" w:firstLineChars="600"/>
        <w:jc w:val="left"/>
        <w:rPr>
          <w:rFonts w:hint="default"/>
          <w:b/>
          <w:bCs/>
          <w:color w:val="auto"/>
          <w:sz w:val="32"/>
          <w:szCs w:val="32"/>
          <w:highlight w:val="none"/>
          <w:lang w:val="en-US"/>
        </w:rPr>
        <w:sectPr>
          <w:footerReference r:id="rId14" w:type="first"/>
          <w:footerReference r:id="rId12" w:type="default"/>
          <w:headerReference r:id="rId11" w:type="even"/>
          <w:footerReference r:id="rId13" w:type="even"/>
          <w:pgSz w:w="11906" w:h="16838"/>
          <w:pgMar w:top="1417" w:right="1134" w:bottom="1417" w:left="1134" w:header="720" w:footer="998" w:gutter="0"/>
          <w:pgNumType w:fmt="decimal"/>
          <w:cols w:space="720" w:num="1"/>
          <w:titlePg/>
          <w:docGrid w:linePitch="326" w:charSpace="0"/>
        </w:sectPr>
      </w:pPr>
    </w:p>
    <w:p w14:paraId="30C4B382">
      <w:pPr>
        <w:pStyle w:val="81"/>
        <w:spacing w:after="0" w:afterLines="0"/>
        <w:rPr>
          <w:color w:val="auto"/>
          <w:sz w:val="44"/>
          <w:szCs w:val="44"/>
          <w:highlight w:val="none"/>
        </w:rPr>
      </w:pPr>
      <w:bookmarkStart w:id="664" w:name="_Toc523410369"/>
      <w:r>
        <w:rPr>
          <w:rFonts w:hint="eastAsia"/>
          <w:color w:val="auto"/>
          <w:sz w:val="44"/>
          <w:szCs w:val="44"/>
          <w:highlight w:val="none"/>
        </w:rPr>
        <w:t>说</w:t>
      </w:r>
      <w:r>
        <w:rPr>
          <w:color w:val="auto"/>
          <w:sz w:val="44"/>
          <w:szCs w:val="44"/>
          <w:highlight w:val="none"/>
        </w:rPr>
        <w:t xml:space="preserve">  </w:t>
      </w:r>
      <w:r>
        <w:rPr>
          <w:rFonts w:hint="eastAsia"/>
          <w:color w:val="auto"/>
          <w:sz w:val="44"/>
          <w:szCs w:val="44"/>
          <w:highlight w:val="none"/>
        </w:rPr>
        <w:t>明</w:t>
      </w:r>
      <w:bookmarkEnd w:id="664"/>
    </w:p>
    <w:p w14:paraId="089A91E0">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14:paraId="40A25861">
      <w:pPr>
        <w:pStyle w:val="93"/>
        <w:numPr>
          <w:ilvl w:val="0"/>
          <w:numId w:val="0"/>
        </w:numPr>
        <w:spacing w:line="360" w:lineRule="auto"/>
        <w:ind w:firstLine="560" w:firstLineChars="200"/>
        <w:rPr>
          <w:b w:val="0"/>
          <w:bCs/>
          <w:color w:val="auto"/>
          <w:sz w:val="28"/>
          <w:szCs w:val="28"/>
          <w:highlight w:val="none"/>
        </w:rPr>
      </w:pPr>
      <w:bookmarkStart w:id="665" w:name="_Toc521079598"/>
      <w:r>
        <w:rPr>
          <w:rFonts w:hint="eastAsia"/>
          <w:b w:val="0"/>
          <w:bCs/>
          <w:color w:val="auto"/>
          <w:sz w:val="28"/>
          <w:szCs w:val="28"/>
          <w:highlight w:val="none"/>
        </w:rPr>
        <w:t>一、《示范文本》的组成</w:t>
      </w:r>
      <w:bookmarkEnd w:id="665"/>
    </w:p>
    <w:p w14:paraId="41BA4C48">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《示范文本》由合同协议书、通用合同条件和专用合同条件三部分组成。</w:t>
      </w:r>
    </w:p>
    <w:p w14:paraId="4862825B">
      <w:pPr>
        <w:spacing w:line="360" w:lineRule="auto"/>
        <w:ind w:firstLine="601"/>
        <w:rPr>
          <w:rFonts w:hint="eastAsia" w:ascii="宋体" w:hAnsi="宋体" w:cs="宋体"/>
          <w:color w:val="auto"/>
          <w:sz w:val="24"/>
          <w:highlight w:val="none"/>
        </w:rPr>
      </w:pPr>
      <w:bookmarkStart w:id="666" w:name="_Toc521079599"/>
      <w:r>
        <w:rPr>
          <w:rFonts w:hint="eastAsia" w:ascii="宋体" w:hAnsi="宋体" w:cs="宋体"/>
          <w:color w:val="auto"/>
          <w:sz w:val="24"/>
          <w:highlight w:val="none"/>
        </w:rPr>
        <w:t>（一）合同协议书</w:t>
      </w:r>
      <w:bookmarkEnd w:id="666"/>
    </w:p>
    <w:p w14:paraId="5C324B7F">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示范文本》合同协议书共计11条，主要包括：工程概况、合同工期、质量标准、签约合同价与合同价格形式、工程总承包项目经理、合同文件构成、承诺、订立时间、订立地点、合同生效和合同份数，集中约定了合同当事人基本的合同权利义务。</w:t>
      </w:r>
    </w:p>
    <w:p w14:paraId="635D4DF7">
      <w:pPr>
        <w:spacing w:line="360" w:lineRule="auto"/>
        <w:ind w:firstLine="601"/>
        <w:rPr>
          <w:rFonts w:hint="eastAsia" w:ascii="宋体" w:hAnsi="宋体" w:cs="宋体"/>
          <w:color w:val="auto"/>
          <w:sz w:val="24"/>
          <w:highlight w:val="none"/>
        </w:rPr>
      </w:pPr>
      <w:bookmarkStart w:id="667" w:name="_Toc521079600"/>
      <w:r>
        <w:rPr>
          <w:rFonts w:hint="eastAsia" w:ascii="宋体" w:hAnsi="宋体" w:cs="宋体"/>
          <w:color w:val="auto"/>
          <w:sz w:val="24"/>
          <w:highlight w:val="none"/>
        </w:rPr>
        <w:t>（二）通用合同条件</w:t>
      </w:r>
      <w:bookmarkEnd w:id="667"/>
    </w:p>
    <w:p w14:paraId="19B3A11F">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668" w:name="_Hlk54448922"/>
      <w:r>
        <w:rPr>
          <w:rFonts w:hint="eastAsia" w:ascii="宋体" w:hAnsi="宋体" w:cs="宋体"/>
          <w:color w:val="auto"/>
          <w:sz w:val="24"/>
          <w:highlight w:val="none"/>
        </w:rPr>
        <w:t>第1条 一般约定，第2条 发包人，第3条 发包人的管理，第4条 承包人，第5条 设计，第6条 材料、工程设备，第7条 施工，第8条 工期和进度，第9条 竣工试验，第10条 验收和工程接收，第11条 缺陷责任与保修，第12条 竣工后试验，第13条 变更与调整，第14条 合同价格与支付，第15条 违约，第16条 合同解除，第17条 不可抗力，第18条 保险，第19条 索赔，第20条 争议解决。</w:t>
      </w:r>
      <w:bookmarkEnd w:id="668"/>
      <w:r>
        <w:rPr>
          <w:rFonts w:hint="eastAsia" w:ascii="宋体" w:hAnsi="宋体" w:cs="宋体"/>
          <w:color w:val="auto"/>
          <w:sz w:val="24"/>
          <w:highlight w:val="none"/>
        </w:rPr>
        <w:t>前述条款安排既考虑了现行法律法规对工程总承包活动的有关要求，也考虑了工程总承包项目管理的实际需要。</w:t>
      </w:r>
    </w:p>
    <w:p w14:paraId="1B263E08">
      <w:pPr>
        <w:spacing w:line="360" w:lineRule="auto"/>
        <w:ind w:firstLine="601"/>
        <w:rPr>
          <w:rFonts w:hint="eastAsia" w:ascii="宋体" w:hAnsi="宋体" w:cs="宋体"/>
          <w:color w:val="auto"/>
          <w:sz w:val="24"/>
          <w:highlight w:val="none"/>
        </w:rPr>
      </w:pPr>
      <w:bookmarkStart w:id="669" w:name="_Toc521079601"/>
      <w:r>
        <w:rPr>
          <w:rFonts w:hint="eastAsia" w:ascii="宋体" w:hAnsi="宋体" w:cs="宋体"/>
          <w:color w:val="auto"/>
          <w:sz w:val="24"/>
          <w:highlight w:val="none"/>
        </w:rPr>
        <w:t>（三）专用合同条件</w:t>
      </w:r>
      <w:bookmarkEnd w:id="669"/>
    </w:p>
    <w:p w14:paraId="445CE6E8">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专用合同条件是合同当事人根据不同建设项目的特点及具体情况，通过双方的谈判、协商对通用合同条件原则性约定细化、完善、补充、修改或另行约定的合同条件。在编写专用合同条件时，应注意以下事项：</w:t>
      </w:r>
    </w:p>
    <w:p w14:paraId="598E1288">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1.专用合同条件的编号应与相应的通用合同条件的编号一致；</w:t>
      </w:r>
    </w:p>
    <w:p w14:paraId="3517A1B8">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2.在专用合同条件中有横道线的地方，合同当事人可针对相应的通用合同条件进行细化、完善、补充、修改或另行约定；如无细化、完善、补充、修改或另行约定，则填写“无”或划“/”；</w:t>
      </w:r>
    </w:p>
    <w:p w14:paraId="5EF9448F">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3.对于在专用合同条件中未列出的通用合同条件中的条款，合同当事人根据建设项目的具体情况认为需要进行细化、完善、补充、修改或另行约定的，可在专用合同条件中，以同一条款号增加相关条款的内容。</w:t>
      </w:r>
    </w:p>
    <w:p w14:paraId="1DAAF33E">
      <w:pPr>
        <w:pStyle w:val="93"/>
        <w:numPr>
          <w:ilvl w:val="0"/>
          <w:numId w:val="0"/>
        </w:numPr>
        <w:spacing w:line="360" w:lineRule="auto"/>
        <w:rPr>
          <w:b w:val="0"/>
          <w:bCs/>
          <w:color w:val="auto"/>
          <w:sz w:val="28"/>
          <w:szCs w:val="28"/>
          <w:highlight w:val="none"/>
        </w:rPr>
      </w:pPr>
      <w:bookmarkStart w:id="670" w:name="_Toc521079602"/>
      <w:r>
        <w:rPr>
          <w:rFonts w:hint="eastAsia"/>
          <w:b w:val="0"/>
          <w:bCs/>
          <w:color w:val="auto"/>
          <w:sz w:val="28"/>
          <w:szCs w:val="28"/>
          <w:highlight w:val="none"/>
        </w:rPr>
        <w:t>二、《示范文本》的适用范围</w:t>
      </w:r>
      <w:bookmarkEnd w:id="670"/>
    </w:p>
    <w:p w14:paraId="7B93AEAC">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《示范文本》适用于房屋建筑和市政基础设施项目工程总承包承发包活动。</w:t>
      </w:r>
    </w:p>
    <w:p w14:paraId="5A897BD4">
      <w:pPr>
        <w:pStyle w:val="93"/>
        <w:numPr>
          <w:ilvl w:val="0"/>
          <w:numId w:val="0"/>
        </w:numPr>
        <w:spacing w:line="360" w:lineRule="auto"/>
        <w:rPr>
          <w:b w:val="0"/>
          <w:bCs/>
          <w:color w:val="auto"/>
          <w:sz w:val="28"/>
          <w:szCs w:val="28"/>
          <w:highlight w:val="none"/>
        </w:rPr>
      </w:pPr>
      <w:r>
        <w:rPr>
          <w:rFonts w:hint="eastAsia"/>
          <w:b w:val="0"/>
          <w:bCs/>
          <w:color w:val="auto"/>
          <w:sz w:val="28"/>
          <w:szCs w:val="28"/>
          <w:highlight w:val="none"/>
        </w:rPr>
        <w:t>三、《示范文本》的性质</w:t>
      </w:r>
    </w:p>
    <w:p w14:paraId="776CA34B">
      <w:pPr>
        <w:spacing w:line="360" w:lineRule="auto"/>
        <w:ind w:firstLine="601"/>
        <w:rPr>
          <w:rFonts w:ascii="仿宋_GB2312" w:eastAsia="仿宋_GB2312"/>
          <w:color w:val="auto"/>
          <w:sz w:val="30"/>
          <w:szCs w:val="30"/>
          <w:highlight w:val="none"/>
        </w:rPr>
        <w:sectPr>
          <w:footerReference r:id="rId16" w:type="first"/>
          <w:footerReference r:id="rId15" w:type="default"/>
          <w:pgSz w:w="11906" w:h="16838"/>
          <w:pgMar w:top="1417" w:right="1134" w:bottom="1417" w:left="1134" w:header="720" w:footer="998" w:gutter="0"/>
          <w:pgNumType w:fmt="decimal"/>
          <w:cols w:space="720" w:num="1"/>
          <w:titlePg/>
          <w:docGrid w:linePitch="326" w:charSpace="0"/>
        </w:sectPr>
      </w:pPr>
      <w:r>
        <w:rPr>
          <w:rFonts w:hint="eastAsia" w:ascii="宋体" w:hAnsi="宋体" w:cs="宋体"/>
          <w:color w:val="auto"/>
          <w:sz w:val="24"/>
          <w:highlight w:val="none"/>
        </w:rPr>
        <w:t>《示范文本》为推荐使用的非强制性使用文本。合同当事人可结合建设工程具体情况，参照《示范文本》订立合同，并按照法律法规和合同约定承担相应的法律责任及合同权利义务。</w:t>
      </w:r>
    </w:p>
    <w:p w14:paraId="20323C9E">
      <w:pPr>
        <w:rPr>
          <w:rFonts w:ascii="仿宋_GB2312" w:eastAsia="仿宋_GB2312"/>
          <w:color w:val="auto"/>
          <w:sz w:val="30"/>
          <w:szCs w:val="30"/>
          <w:highlight w:val="none"/>
        </w:rPr>
        <w:sectPr>
          <w:type w:val="continuous"/>
          <w:pgSz w:w="11906" w:h="16838"/>
          <w:pgMar w:top="1440" w:right="1800" w:bottom="1440" w:left="1800" w:header="720" w:footer="998" w:gutter="0"/>
          <w:pgNumType w:fmt="decimal"/>
          <w:cols w:space="720" w:num="1"/>
          <w:titlePg/>
          <w:docGrid w:linePitch="326" w:charSpace="0"/>
        </w:sectPr>
      </w:pPr>
    </w:p>
    <w:p w14:paraId="3F2D673E">
      <w:pPr>
        <w:pStyle w:val="82"/>
        <w:spacing w:before="0" w:after="50" w:line="360" w:lineRule="auto"/>
        <w:jc w:val="center"/>
        <w:rPr>
          <w:rFonts w:ascii="黑体" w:hAnsi="黑体" w:eastAsia="黑体"/>
          <w:b/>
          <w:color w:val="auto"/>
          <w:kern w:val="44"/>
          <w:sz w:val="44"/>
          <w:szCs w:val="44"/>
          <w:highlight w:val="none"/>
          <w:lang w:val="zh-CN"/>
        </w:rPr>
      </w:pPr>
      <w:bookmarkStart w:id="671" w:name="_Toc521267369"/>
      <w:bookmarkStart w:id="672" w:name="_Toc4813"/>
      <w:bookmarkStart w:id="673" w:name="_Toc21135"/>
      <w:r>
        <w:rPr>
          <w:rFonts w:hint="eastAsia" w:ascii="黑体" w:hAnsi="黑体" w:eastAsia="黑体"/>
          <w:b/>
          <w:color w:val="auto"/>
          <w:kern w:val="44"/>
          <w:sz w:val="44"/>
          <w:szCs w:val="44"/>
          <w:highlight w:val="none"/>
          <w:lang w:val="zh-CN"/>
        </w:rPr>
        <w:t>目</w:t>
      </w:r>
      <w:r>
        <w:rPr>
          <w:rFonts w:ascii="黑体" w:hAnsi="黑体" w:eastAsia="黑体"/>
          <w:b/>
          <w:color w:val="auto"/>
          <w:kern w:val="44"/>
          <w:sz w:val="44"/>
          <w:szCs w:val="44"/>
          <w:highlight w:val="none"/>
          <w:lang w:val="zh-CN"/>
        </w:rPr>
        <w:t xml:space="preserve">  </w:t>
      </w:r>
      <w:r>
        <w:rPr>
          <w:rFonts w:hint="eastAsia" w:ascii="黑体" w:hAnsi="黑体" w:eastAsia="黑体"/>
          <w:b/>
          <w:color w:val="auto"/>
          <w:kern w:val="44"/>
          <w:sz w:val="44"/>
          <w:szCs w:val="44"/>
          <w:highlight w:val="none"/>
          <w:lang w:val="zh-CN"/>
        </w:rPr>
        <w:t>录</w:t>
      </w:r>
      <w:bookmarkEnd w:id="671"/>
      <w:bookmarkEnd w:id="672"/>
      <w:bookmarkEnd w:id="673"/>
    </w:p>
    <w:p w14:paraId="7B243AA6">
      <w:pPr>
        <w:pStyle w:val="27"/>
        <w:tabs>
          <w:tab w:val="right" w:leader="dot" w:pos="8306"/>
        </w:tabs>
        <w:rPr>
          <w:color w:val="auto"/>
          <w:highlight w:val="none"/>
        </w:rPr>
      </w:pPr>
      <w:r>
        <w:rPr>
          <w:rFonts w:hint="eastAsia"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 TOC \o "1-3" \u </w:instrText>
      </w:r>
      <w:r>
        <w:rPr>
          <w:rFonts w:hint="eastAsia" w:ascii="仿宋_GB2312" w:eastAsia="仿宋_GB2312"/>
          <w:color w:val="auto"/>
          <w:sz w:val="28"/>
          <w:szCs w:val="28"/>
          <w:highlight w:val="none"/>
        </w:rPr>
        <w:fldChar w:fldCharType="separate"/>
      </w:r>
    </w:p>
    <w:p w14:paraId="6B67B8C7">
      <w:pPr>
        <w:pStyle w:val="27"/>
        <w:tabs>
          <w:tab w:val="right" w:leader="dot" w:pos="8296"/>
        </w:tabs>
        <w:spacing w:after="0"/>
        <w:ind w:firstLine="420"/>
        <w:rPr>
          <w:rFonts w:ascii="等线" w:hAnsi="等线" w:eastAsia="等线"/>
          <w:color w:val="auto"/>
          <w:sz w:val="21"/>
          <w:szCs w:val="22"/>
        </w:rPr>
      </w:pPr>
      <w:r>
        <w:rPr>
          <w:rFonts w:hint="eastAsia" w:ascii="仿宋_GB2312" w:eastAsia="仿宋_GB2312"/>
          <w:color w:val="auto"/>
          <w:sz w:val="21"/>
          <w:szCs w:val="21"/>
        </w:rPr>
        <w:fldChar w:fldCharType="begin"/>
      </w:r>
      <w:r>
        <w:rPr>
          <w:rFonts w:hint="eastAsia" w:ascii="仿宋_GB2312" w:eastAsia="仿宋_GB2312"/>
          <w:color w:val="auto"/>
          <w:sz w:val="21"/>
          <w:szCs w:val="21"/>
        </w:rPr>
        <w:instrText xml:space="preserve"> TOC \o "1-3" \u </w:instrText>
      </w:r>
      <w:r>
        <w:rPr>
          <w:rFonts w:hint="eastAsia" w:ascii="仿宋_GB2312" w:eastAsia="仿宋_GB2312"/>
          <w:color w:val="auto"/>
          <w:sz w:val="21"/>
          <w:szCs w:val="21"/>
        </w:rPr>
        <w:fldChar w:fldCharType="separate"/>
      </w:r>
      <w:r>
        <w:rPr>
          <w:rFonts w:ascii="华文中宋" w:hAnsi="华文中宋" w:eastAsia="华文中宋"/>
          <w:color w:val="auto"/>
        </w:rPr>
        <w:t>第一部分 合同协议书</w:t>
      </w:r>
      <w:r>
        <w:rPr>
          <w:color w:val="auto"/>
        </w:rPr>
        <w:tab/>
      </w:r>
    </w:p>
    <w:p w14:paraId="6FE4F43E">
      <w:pPr>
        <w:pStyle w:val="17"/>
        <w:tabs>
          <w:tab w:val="right" w:leader="dot" w:pos="8296"/>
        </w:tabs>
        <w:ind w:left="480"/>
        <w:rPr>
          <w:rFonts w:ascii="等线" w:hAnsi="等线" w:eastAsia="等线"/>
          <w:color w:val="auto"/>
          <w:sz w:val="21"/>
          <w:szCs w:val="22"/>
        </w:rPr>
      </w:pPr>
      <w:r>
        <w:rPr>
          <w:rFonts w:ascii="黑体" w:hAnsi="黑体" w:eastAsia="黑体"/>
          <w:bCs/>
          <w:color w:val="auto"/>
        </w:rPr>
        <w:t>一、工程概况</w:t>
      </w:r>
      <w:r>
        <w:rPr>
          <w:color w:val="auto"/>
        </w:rPr>
        <w:tab/>
      </w:r>
    </w:p>
    <w:p w14:paraId="183C6BEB">
      <w:pPr>
        <w:pStyle w:val="17"/>
        <w:tabs>
          <w:tab w:val="right" w:leader="dot" w:pos="8296"/>
        </w:tabs>
        <w:ind w:left="480"/>
        <w:rPr>
          <w:rFonts w:ascii="等线" w:hAnsi="等线" w:eastAsia="等线"/>
          <w:color w:val="auto"/>
          <w:sz w:val="21"/>
          <w:szCs w:val="22"/>
        </w:rPr>
      </w:pPr>
      <w:r>
        <w:rPr>
          <w:rFonts w:ascii="黑体" w:hAnsi="黑体" w:eastAsia="黑体"/>
          <w:bCs/>
          <w:color w:val="auto"/>
        </w:rPr>
        <w:t>二、合同工期</w:t>
      </w:r>
      <w:r>
        <w:rPr>
          <w:color w:val="auto"/>
        </w:rPr>
        <w:tab/>
      </w:r>
    </w:p>
    <w:p w14:paraId="43945A43">
      <w:pPr>
        <w:pStyle w:val="17"/>
        <w:tabs>
          <w:tab w:val="right" w:leader="dot" w:pos="8296"/>
        </w:tabs>
        <w:ind w:left="480"/>
        <w:rPr>
          <w:rFonts w:ascii="等线" w:hAnsi="等线" w:eastAsia="等线"/>
          <w:color w:val="auto"/>
          <w:sz w:val="21"/>
          <w:szCs w:val="22"/>
        </w:rPr>
      </w:pPr>
      <w:r>
        <w:rPr>
          <w:rFonts w:ascii="黑体" w:hAnsi="黑体" w:eastAsia="黑体"/>
          <w:bCs/>
          <w:color w:val="auto"/>
        </w:rPr>
        <w:t>三、质量标准</w:t>
      </w:r>
      <w:r>
        <w:rPr>
          <w:color w:val="auto"/>
        </w:rPr>
        <w:tab/>
      </w:r>
    </w:p>
    <w:p w14:paraId="70BFF83E">
      <w:pPr>
        <w:pStyle w:val="17"/>
        <w:tabs>
          <w:tab w:val="right" w:leader="dot" w:pos="8296"/>
        </w:tabs>
        <w:ind w:left="480"/>
        <w:rPr>
          <w:rFonts w:ascii="等线" w:hAnsi="等线" w:eastAsia="等线"/>
          <w:color w:val="auto"/>
          <w:sz w:val="21"/>
          <w:szCs w:val="22"/>
        </w:rPr>
      </w:pPr>
      <w:r>
        <w:rPr>
          <w:rFonts w:ascii="黑体" w:hAnsi="黑体" w:eastAsia="黑体"/>
          <w:bCs/>
          <w:color w:val="auto"/>
        </w:rPr>
        <w:t>四、签约合同价与合同价格形式</w:t>
      </w:r>
      <w:r>
        <w:rPr>
          <w:color w:val="auto"/>
        </w:rPr>
        <w:tab/>
      </w:r>
    </w:p>
    <w:p w14:paraId="66E17996">
      <w:pPr>
        <w:pStyle w:val="17"/>
        <w:tabs>
          <w:tab w:val="right" w:leader="dot" w:pos="8296"/>
        </w:tabs>
        <w:ind w:left="480"/>
        <w:rPr>
          <w:rFonts w:ascii="等线" w:hAnsi="等线" w:eastAsia="等线"/>
          <w:color w:val="auto"/>
          <w:sz w:val="21"/>
          <w:szCs w:val="22"/>
        </w:rPr>
      </w:pPr>
      <w:r>
        <w:rPr>
          <w:rFonts w:ascii="黑体" w:hAnsi="黑体" w:eastAsia="黑体"/>
          <w:bCs/>
          <w:color w:val="auto"/>
        </w:rPr>
        <w:t>五、工程总承包项目经理</w:t>
      </w:r>
      <w:r>
        <w:rPr>
          <w:color w:val="auto"/>
        </w:rPr>
        <w:tab/>
      </w:r>
    </w:p>
    <w:p w14:paraId="06F7531C">
      <w:pPr>
        <w:pStyle w:val="17"/>
        <w:tabs>
          <w:tab w:val="right" w:leader="dot" w:pos="8296"/>
        </w:tabs>
        <w:ind w:left="480"/>
        <w:rPr>
          <w:rFonts w:ascii="等线" w:hAnsi="等线" w:eastAsia="等线"/>
          <w:color w:val="auto"/>
          <w:sz w:val="21"/>
          <w:szCs w:val="22"/>
        </w:rPr>
      </w:pPr>
      <w:r>
        <w:rPr>
          <w:rFonts w:ascii="黑体" w:hAnsi="黑体" w:eastAsia="黑体"/>
          <w:bCs/>
          <w:color w:val="auto"/>
        </w:rPr>
        <w:t>六、合同文件构成</w:t>
      </w:r>
      <w:r>
        <w:rPr>
          <w:color w:val="auto"/>
        </w:rPr>
        <w:tab/>
      </w:r>
    </w:p>
    <w:p w14:paraId="49C578F6">
      <w:pPr>
        <w:pStyle w:val="17"/>
        <w:tabs>
          <w:tab w:val="right" w:leader="dot" w:pos="8296"/>
        </w:tabs>
        <w:ind w:left="480"/>
        <w:rPr>
          <w:rFonts w:ascii="等线" w:hAnsi="等线" w:eastAsia="等线"/>
          <w:color w:val="auto"/>
          <w:sz w:val="21"/>
          <w:szCs w:val="22"/>
        </w:rPr>
      </w:pPr>
      <w:r>
        <w:rPr>
          <w:rFonts w:ascii="黑体" w:hAnsi="黑体" w:eastAsia="黑体"/>
          <w:bCs/>
          <w:color w:val="auto"/>
        </w:rPr>
        <w:t>七、承诺</w:t>
      </w:r>
      <w:r>
        <w:rPr>
          <w:color w:val="auto"/>
        </w:rPr>
        <w:tab/>
      </w:r>
    </w:p>
    <w:p w14:paraId="442F3AD4">
      <w:pPr>
        <w:pStyle w:val="17"/>
        <w:tabs>
          <w:tab w:val="right" w:leader="dot" w:pos="8296"/>
        </w:tabs>
        <w:ind w:left="480"/>
        <w:rPr>
          <w:rFonts w:ascii="等线" w:hAnsi="等线" w:eastAsia="等线"/>
          <w:color w:val="auto"/>
          <w:sz w:val="21"/>
          <w:szCs w:val="22"/>
        </w:rPr>
      </w:pPr>
      <w:r>
        <w:rPr>
          <w:rFonts w:ascii="黑体" w:hAnsi="黑体" w:eastAsia="黑体"/>
          <w:bCs/>
          <w:color w:val="auto"/>
        </w:rPr>
        <w:t>八、订立时间</w:t>
      </w:r>
      <w:r>
        <w:rPr>
          <w:color w:val="auto"/>
        </w:rPr>
        <w:tab/>
      </w:r>
    </w:p>
    <w:p w14:paraId="73D77E9A">
      <w:pPr>
        <w:pStyle w:val="17"/>
        <w:tabs>
          <w:tab w:val="right" w:leader="dot" w:pos="8296"/>
        </w:tabs>
        <w:ind w:left="480"/>
        <w:rPr>
          <w:rFonts w:ascii="等线" w:hAnsi="等线" w:eastAsia="等线"/>
          <w:color w:val="auto"/>
          <w:sz w:val="21"/>
          <w:szCs w:val="22"/>
        </w:rPr>
      </w:pPr>
      <w:r>
        <w:rPr>
          <w:rFonts w:ascii="黑体" w:hAnsi="黑体" w:eastAsia="黑体"/>
          <w:bCs/>
          <w:color w:val="auto"/>
        </w:rPr>
        <w:t>九、订立地点</w:t>
      </w:r>
      <w:r>
        <w:rPr>
          <w:color w:val="auto"/>
        </w:rPr>
        <w:tab/>
      </w:r>
    </w:p>
    <w:p w14:paraId="4B2C1F6A">
      <w:pPr>
        <w:pStyle w:val="17"/>
        <w:tabs>
          <w:tab w:val="right" w:leader="dot" w:pos="8296"/>
        </w:tabs>
        <w:ind w:left="480"/>
        <w:rPr>
          <w:rFonts w:ascii="等线" w:hAnsi="等线" w:eastAsia="等线"/>
          <w:color w:val="auto"/>
          <w:sz w:val="21"/>
          <w:szCs w:val="22"/>
        </w:rPr>
      </w:pPr>
      <w:r>
        <w:rPr>
          <w:rFonts w:ascii="黑体" w:hAnsi="黑体" w:eastAsia="黑体"/>
          <w:bCs/>
          <w:color w:val="auto"/>
        </w:rPr>
        <w:t>十、合同生效</w:t>
      </w:r>
      <w:r>
        <w:rPr>
          <w:color w:val="auto"/>
        </w:rPr>
        <w:tab/>
      </w:r>
    </w:p>
    <w:p w14:paraId="6391AD64">
      <w:pPr>
        <w:pStyle w:val="17"/>
        <w:tabs>
          <w:tab w:val="right" w:leader="dot" w:pos="8296"/>
        </w:tabs>
        <w:ind w:left="480"/>
        <w:rPr>
          <w:rFonts w:ascii="等线" w:hAnsi="等线" w:eastAsia="等线"/>
          <w:color w:val="auto"/>
          <w:sz w:val="21"/>
          <w:szCs w:val="22"/>
        </w:rPr>
      </w:pPr>
      <w:r>
        <w:rPr>
          <w:rFonts w:ascii="黑体" w:hAnsi="黑体" w:eastAsia="黑体"/>
          <w:bCs/>
          <w:color w:val="auto"/>
        </w:rPr>
        <w:t>十一、合同份数</w:t>
      </w:r>
      <w:r>
        <w:rPr>
          <w:color w:val="auto"/>
        </w:rPr>
        <w:tab/>
      </w:r>
    </w:p>
    <w:p w14:paraId="4D87E9A2">
      <w:pPr>
        <w:pStyle w:val="27"/>
        <w:tabs>
          <w:tab w:val="right" w:leader="dot" w:pos="8296"/>
        </w:tabs>
        <w:spacing w:after="0"/>
        <w:rPr>
          <w:rFonts w:ascii="等线" w:hAnsi="等线" w:eastAsia="等线"/>
          <w:color w:val="auto"/>
          <w:sz w:val="21"/>
          <w:szCs w:val="22"/>
        </w:rPr>
      </w:pPr>
      <w:r>
        <w:rPr>
          <w:rFonts w:ascii="华文中宋" w:hAnsi="华文中宋" w:eastAsia="华文中宋"/>
          <w:color w:val="auto"/>
        </w:rPr>
        <w:t>第二部分 通用合同条件</w:t>
      </w:r>
      <w:r>
        <w:rPr>
          <w:color w:val="auto"/>
        </w:rPr>
        <w:tab/>
      </w:r>
    </w:p>
    <w:p w14:paraId="76EF63A0">
      <w:pPr>
        <w:pStyle w:val="17"/>
        <w:tabs>
          <w:tab w:val="right" w:leader="dot" w:pos="8296"/>
        </w:tabs>
        <w:ind w:left="480"/>
        <w:rPr>
          <w:rFonts w:ascii="等线" w:hAnsi="等线" w:eastAsia="等线"/>
          <w:color w:val="auto"/>
          <w:sz w:val="21"/>
          <w:szCs w:val="22"/>
        </w:rPr>
      </w:pPr>
      <w:r>
        <w:rPr>
          <w:bCs/>
          <w:color w:val="auto"/>
        </w:rPr>
        <w:t>第1条 一般约定</w:t>
      </w:r>
      <w:r>
        <w:rPr>
          <w:color w:val="auto"/>
        </w:rPr>
        <w:tab/>
      </w:r>
    </w:p>
    <w:p w14:paraId="105A2C19">
      <w:pPr>
        <w:pStyle w:val="20"/>
        <w:tabs>
          <w:tab w:val="right" w:leader="dot" w:pos="8296"/>
        </w:tabs>
        <w:ind w:left="960"/>
        <w:rPr>
          <w:rFonts w:ascii="等线" w:hAnsi="等线" w:eastAsia="等线"/>
          <w:color w:val="auto"/>
          <w:sz w:val="21"/>
          <w:szCs w:val="22"/>
        </w:rPr>
      </w:pPr>
      <w:r>
        <w:rPr>
          <w:bCs/>
          <w:color w:val="auto"/>
        </w:rPr>
        <w:t>1.1 词语定义和解释</w:t>
      </w:r>
      <w:r>
        <w:rPr>
          <w:color w:val="auto"/>
        </w:rPr>
        <w:tab/>
      </w:r>
    </w:p>
    <w:p w14:paraId="105CC45C">
      <w:pPr>
        <w:pStyle w:val="20"/>
        <w:tabs>
          <w:tab w:val="right" w:leader="dot" w:pos="8296"/>
        </w:tabs>
        <w:ind w:left="960"/>
        <w:rPr>
          <w:rFonts w:ascii="等线" w:hAnsi="等线" w:eastAsia="等线"/>
          <w:color w:val="auto"/>
          <w:sz w:val="21"/>
          <w:szCs w:val="22"/>
        </w:rPr>
      </w:pPr>
      <w:r>
        <w:rPr>
          <w:bCs/>
          <w:color w:val="auto"/>
        </w:rPr>
        <w:t>1.2 语言文字</w:t>
      </w:r>
      <w:r>
        <w:rPr>
          <w:color w:val="auto"/>
        </w:rPr>
        <w:tab/>
      </w:r>
    </w:p>
    <w:p w14:paraId="3C9232C4">
      <w:pPr>
        <w:pStyle w:val="20"/>
        <w:tabs>
          <w:tab w:val="right" w:leader="dot" w:pos="8296"/>
        </w:tabs>
        <w:ind w:left="960"/>
        <w:rPr>
          <w:rFonts w:ascii="等线" w:hAnsi="等线" w:eastAsia="等线"/>
          <w:color w:val="auto"/>
          <w:sz w:val="21"/>
          <w:szCs w:val="22"/>
        </w:rPr>
      </w:pPr>
      <w:r>
        <w:rPr>
          <w:bCs/>
          <w:color w:val="auto"/>
        </w:rPr>
        <w:t>1.3 法律</w:t>
      </w:r>
      <w:r>
        <w:rPr>
          <w:color w:val="auto"/>
        </w:rPr>
        <w:tab/>
      </w:r>
    </w:p>
    <w:p w14:paraId="39D3FC89">
      <w:pPr>
        <w:pStyle w:val="20"/>
        <w:tabs>
          <w:tab w:val="right" w:leader="dot" w:pos="8296"/>
        </w:tabs>
        <w:ind w:left="960"/>
        <w:rPr>
          <w:rFonts w:ascii="等线" w:hAnsi="等线" w:eastAsia="等线"/>
          <w:color w:val="auto"/>
          <w:sz w:val="21"/>
          <w:szCs w:val="22"/>
        </w:rPr>
      </w:pPr>
      <w:r>
        <w:rPr>
          <w:bCs/>
          <w:color w:val="auto"/>
        </w:rPr>
        <w:t>1.4 标准和规范</w:t>
      </w:r>
      <w:r>
        <w:rPr>
          <w:color w:val="auto"/>
        </w:rPr>
        <w:tab/>
      </w:r>
    </w:p>
    <w:p w14:paraId="4D90234E">
      <w:pPr>
        <w:pStyle w:val="20"/>
        <w:tabs>
          <w:tab w:val="right" w:leader="dot" w:pos="8296"/>
        </w:tabs>
        <w:ind w:left="960"/>
        <w:rPr>
          <w:rFonts w:ascii="等线" w:hAnsi="等线" w:eastAsia="等线"/>
          <w:color w:val="auto"/>
          <w:sz w:val="21"/>
          <w:szCs w:val="22"/>
        </w:rPr>
      </w:pPr>
      <w:r>
        <w:rPr>
          <w:bCs/>
          <w:color w:val="auto"/>
        </w:rPr>
        <w:t>1.5 合同文件的优先顺序</w:t>
      </w:r>
      <w:r>
        <w:rPr>
          <w:color w:val="auto"/>
        </w:rPr>
        <w:tab/>
      </w:r>
    </w:p>
    <w:p w14:paraId="6317666A">
      <w:pPr>
        <w:pStyle w:val="20"/>
        <w:tabs>
          <w:tab w:val="right" w:leader="dot" w:pos="8296"/>
        </w:tabs>
        <w:ind w:left="960"/>
        <w:rPr>
          <w:rFonts w:ascii="等线" w:hAnsi="等线" w:eastAsia="等线"/>
          <w:color w:val="auto"/>
          <w:sz w:val="21"/>
          <w:szCs w:val="22"/>
        </w:rPr>
      </w:pPr>
      <w:r>
        <w:rPr>
          <w:bCs/>
          <w:color w:val="auto"/>
        </w:rPr>
        <w:t>1.6 文件的提供和照管</w:t>
      </w:r>
      <w:r>
        <w:rPr>
          <w:color w:val="auto"/>
        </w:rPr>
        <w:tab/>
      </w:r>
    </w:p>
    <w:p w14:paraId="108B06E0">
      <w:pPr>
        <w:pStyle w:val="20"/>
        <w:tabs>
          <w:tab w:val="right" w:leader="dot" w:pos="8296"/>
        </w:tabs>
        <w:ind w:left="960"/>
        <w:rPr>
          <w:rFonts w:ascii="等线" w:hAnsi="等线" w:eastAsia="等线"/>
          <w:color w:val="auto"/>
          <w:sz w:val="21"/>
          <w:szCs w:val="22"/>
        </w:rPr>
      </w:pPr>
      <w:r>
        <w:rPr>
          <w:bCs/>
          <w:color w:val="auto"/>
        </w:rPr>
        <w:t>1.7 联络</w:t>
      </w:r>
      <w:r>
        <w:rPr>
          <w:color w:val="auto"/>
        </w:rPr>
        <w:tab/>
      </w:r>
    </w:p>
    <w:p w14:paraId="17EDCA62">
      <w:pPr>
        <w:pStyle w:val="20"/>
        <w:tabs>
          <w:tab w:val="right" w:leader="dot" w:pos="8296"/>
        </w:tabs>
        <w:ind w:left="960"/>
        <w:rPr>
          <w:rFonts w:ascii="等线" w:hAnsi="等线" w:eastAsia="等线"/>
          <w:color w:val="auto"/>
          <w:sz w:val="21"/>
          <w:szCs w:val="22"/>
        </w:rPr>
      </w:pPr>
      <w:r>
        <w:rPr>
          <w:bCs/>
          <w:color w:val="auto"/>
        </w:rPr>
        <w:t>1.8 严禁贿赂</w:t>
      </w:r>
      <w:r>
        <w:rPr>
          <w:color w:val="auto"/>
        </w:rPr>
        <w:tab/>
      </w:r>
    </w:p>
    <w:p w14:paraId="7241CD75">
      <w:pPr>
        <w:pStyle w:val="20"/>
        <w:tabs>
          <w:tab w:val="right" w:leader="dot" w:pos="8296"/>
        </w:tabs>
        <w:ind w:left="960"/>
        <w:rPr>
          <w:rFonts w:ascii="等线" w:hAnsi="等线" w:eastAsia="等线"/>
          <w:color w:val="auto"/>
          <w:sz w:val="21"/>
          <w:szCs w:val="22"/>
        </w:rPr>
      </w:pPr>
      <w:r>
        <w:rPr>
          <w:bCs/>
          <w:color w:val="auto"/>
        </w:rPr>
        <w:t>1.9 化石、文物</w:t>
      </w:r>
      <w:r>
        <w:rPr>
          <w:color w:val="auto"/>
        </w:rPr>
        <w:tab/>
      </w:r>
    </w:p>
    <w:p w14:paraId="64BF1F0F">
      <w:pPr>
        <w:pStyle w:val="20"/>
        <w:tabs>
          <w:tab w:val="right" w:leader="dot" w:pos="8296"/>
        </w:tabs>
        <w:ind w:left="960"/>
        <w:rPr>
          <w:rFonts w:ascii="等线" w:hAnsi="等线" w:eastAsia="等线"/>
          <w:color w:val="auto"/>
          <w:sz w:val="21"/>
          <w:szCs w:val="22"/>
        </w:rPr>
      </w:pPr>
      <w:r>
        <w:rPr>
          <w:bCs/>
          <w:color w:val="auto"/>
        </w:rPr>
        <w:t>1.10 知识产权</w:t>
      </w:r>
      <w:r>
        <w:rPr>
          <w:color w:val="auto"/>
        </w:rPr>
        <w:tab/>
      </w:r>
    </w:p>
    <w:p w14:paraId="40C17015">
      <w:pPr>
        <w:pStyle w:val="20"/>
        <w:tabs>
          <w:tab w:val="right" w:leader="dot" w:pos="8296"/>
        </w:tabs>
        <w:ind w:left="960"/>
        <w:rPr>
          <w:rFonts w:ascii="等线" w:hAnsi="等线" w:eastAsia="等线"/>
          <w:color w:val="auto"/>
          <w:sz w:val="21"/>
          <w:szCs w:val="22"/>
        </w:rPr>
      </w:pPr>
      <w:r>
        <w:rPr>
          <w:bCs/>
          <w:color w:val="auto"/>
        </w:rPr>
        <w:t>1.11 保密</w:t>
      </w:r>
      <w:r>
        <w:rPr>
          <w:color w:val="auto"/>
        </w:rPr>
        <w:tab/>
      </w:r>
    </w:p>
    <w:p w14:paraId="17761F37">
      <w:pPr>
        <w:pStyle w:val="20"/>
        <w:tabs>
          <w:tab w:val="right" w:leader="dot" w:pos="8296"/>
        </w:tabs>
        <w:ind w:left="960"/>
        <w:rPr>
          <w:rFonts w:ascii="等线" w:hAnsi="等线" w:eastAsia="等线"/>
          <w:color w:val="auto"/>
          <w:sz w:val="21"/>
          <w:szCs w:val="22"/>
        </w:rPr>
      </w:pPr>
      <w:r>
        <w:rPr>
          <w:bCs/>
          <w:color w:val="auto"/>
        </w:rPr>
        <w:t>1.12 《发包人要求》和基础资料中的错误</w:t>
      </w:r>
      <w:r>
        <w:rPr>
          <w:color w:val="auto"/>
        </w:rPr>
        <w:tab/>
      </w:r>
    </w:p>
    <w:p w14:paraId="35075B07">
      <w:pPr>
        <w:pStyle w:val="20"/>
        <w:tabs>
          <w:tab w:val="right" w:leader="dot" w:pos="8296"/>
        </w:tabs>
        <w:ind w:left="960"/>
        <w:rPr>
          <w:rFonts w:ascii="等线" w:hAnsi="等线" w:eastAsia="等线"/>
          <w:color w:val="auto"/>
          <w:sz w:val="21"/>
          <w:szCs w:val="22"/>
        </w:rPr>
      </w:pPr>
      <w:r>
        <w:rPr>
          <w:bCs/>
          <w:color w:val="auto"/>
        </w:rPr>
        <w:t>1.13 责任限制</w:t>
      </w:r>
      <w:r>
        <w:rPr>
          <w:color w:val="auto"/>
        </w:rPr>
        <w:tab/>
      </w:r>
    </w:p>
    <w:p w14:paraId="3CA1D41F">
      <w:pPr>
        <w:pStyle w:val="20"/>
        <w:tabs>
          <w:tab w:val="right" w:leader="dot" w:pos="8296"/>
        </w:tabs>
        <w:ind w:left="960"/>
        <w:rPr>
          <w:rFonts w:ascii="等线" w:hAnsi="等线" w:eastAsia="等线"/>
          <w:color w:val="auto"/>
          <w:sz w:val="21"/>
          <w:szCs w:val="22"/>
        </w:rPr>
      </w:pPr>
      <w:r>
        <w:rPr>
          <w:bCs/>
          <w:color w:val="auto"/>
        </w:rPr>
        <w:t>1.14 建筑信息模型技术的应用</w:t>
      </w:r>
      <w:r>
        <w:rPr>
          <w:color w:val="auto"/>
        </w:rPr>
        <w:tab/>
      </w:r>
    </w:p>
    <w:p w14:paraId="463B5321">
      <w:pPr>
        <w:pStyle w:val="17"/>
        <w:tabs>
          <w:tab w:val="right" w:leader="dot" w:pos="8296"/>
        </w:tabs>
        <w:ind w:left="480"/>
        <w:rPr>
          <w:rFonts w:ascii="等线" w:hAnsi="等线" w:eastAsia="等线"/>
          <w:color w:val="auto"/>
          <w:sz w:val="21"/>
          <w:szCs w:val="22"/>
        </w:rPr>
      </w:pPr>
      <w:r>
        <w:rPr>
          <w:bCs/>
          <w:color w:val="auto"/>
        </w:rPr>
        <w:t>第2条 发包人</w:t>
      </w:r>
      <w:r>
        <w:rPr>
          <w:color w:val="auto"/>
        </w:rPr>
        <w:tab/>
      </w:r>
    </w:p>
    <w:p w14:paraId="31A01ADC">
      <w:pPr>
        <w:pStyle w:val="20"/>
        <w:tabs>
          <w:tab w:val="right" w:leader="dot" w:pos="8296"/>
        </w:tabs>
        <w:ind w:left="960"/>
        <w:rPr>
          <w:rFonts w:ascii="等线" w:hAnsi="等线" w:eastAsia="等线"/>
          <w:color w:val="auto"/>
          <w:sz w:val="21"/>
          <w:szCs w:val="22"/>
        </w:rPr>
      </w:pPr>
      <w:r>
        <w:rPr>
          <w:bCs/>
          <w:color w:val="auto"/>
        </w:rPr>
        <w:t>2.1 遵守法律</w:t>
      </w:r>
      <w:r>
        <w:rPr>
          <w:color w:val="auto"/>
        </w:rPr>
        <w:tab/>
      </w:r>
    </w:p>
    <w:p w14:paraId="19915ECE">
      <w:pPr>
        <w:pStyle w:val="20"/>
        <w:tabs>
          <w:tab w:val="right" w:leader="dot" w:pos="8296"/>
        </w:tabs>
        <w:ind w:left="960"/>
        <w:rPr>
          <w:rFonts w:ascii="等线" w:hAnsi="等线" w:eastAsia="等线"/>
          <w:color w:val="auto"/>
          <w:sz w:val="21"/>
          <w:szCs w:val="22"/>
        </w:rPr>
      </w:pPr>
      <w:r>
        <w:rPr>
          <w:bCs/>
          <w:color w:val="auto"/>
        </w:rPr>
        <w:t>2.2 提供施工现场和工作条件</w:t>
      </w:r>
      <w:r>
        <w:rPr>
          <w:color w:val="auto"/>
        </w:rPr>
        <w:tab/>
      </w:r>
    </w:p>
    <w:p w14:paraId="35661426">
      <w:pPr>
        <w:pStyle w:val="20"/>
        <w:tabs>
          <w:tab w:val="right" w:leader="dot" w:pos="8296"/>
        </w:tabs>
        <w:ind w:left="960"/>
        <w:rPr>
          <w:rFonts w:ascii="等线" w:hAnsi="等线" w:eastAsia="等线"/>
          <w:color w:val="auto"/>
          <w:sz w:val="21"/>
          <w:szCs w:val="22"/>
        </w:rPr>
      </w:pPr>
      <w:r>
        <w:rPr>
          <w:bCs/>
          <w:color w:val="auto"/>
        </w:rPr>
        <w:t>2.3 提供基础资料</w:t>
      </w:r>
      <w:r>
        <w:rPr>
          <w:color w:val="auto"/>
        </w:rPr>
        <w:tab/>
      </w:r>
    </w:p>
    <w:p w14:paraId="7C676F8C">
      <w:pPr>
        <w:pStyle w:val="20"/>
        <w:tabs>
          <w:tab w:val="right" w:leader="dot" w:pos="8296"/>
        </w:tabs>
        <w:ind w:left="960"/>
        <w:rPr>
          <w:rFonts w:ascii="等线" w:hAnsi="等线" w:eastAsia="等线"/>
          <w:color w:val="auto"/>
          <w:sz w:val="21"/>
          <w:szCs w:val="22"/>
        </w:rPr>
      </w:pPr>
      <w:r>
        <w:rPr>
          <w:bCs/>
          <w:color w:val="auto"/>
        </w:rPr>
        <w:t>2.4 办理许可和批准</w:t>
      </w:r>
      <w:r>
        <w:rPr>
          <w:color w:val="auto"/>
        </w:rPr>
        <w:tab/>
      </w:r>
    </w:p>
    <w:p w14:paraId="0EE35D9F">
      <w:pPr>
        <w:pStyle w:val="20"/>
        <w:tabs>
          <w:tab w:val="right" w:leader="dot" w:pos="8296"/>
        </w:tabs>
        <w:ind w:left="960"/>
        <w:rPr>
          <w:rFonts w:ascii="等线" w:hAnsi="等线" w:eastAsia="等线"/>
          <w:color w:val="auto"/>
          <w:sz w:val="21"/>
          <w:szCs w:val="22"/>
        </w:rPr>
      </w:pPr>
      <w:r>
        <w:rPr>
          <w:bCs/>
          <w:color w:val="auto"/>
        </w:rPr>
        <w:t>2.5 支付合同价款</w:t>
      </w:r>
      <w:r>
        <w:rPr>
          <w:color w:val="auto"/>
        </w:rPr>
        <w:tab/>
      </w:r>
    </w:p>
    <w:p w14:paraId="20942052">
      <w:pPr>
        <w:pStyle w:val="20"/>
        <w:tabs>
          <w:tab w:val="right" w:leader="dot" w:pos="8296"/>
        </w:tabs>
        <w:ind w:left="960"/>
        <w:rPr>
          <w:rFonts w:ascii="等线" w:hAnsi="等线" w:eastAsia="等线"/>
          <w:color w:val="auto"/>
          <w:sz w:val="21"/>
          <w:szCs w:val="22"/>
        </w:rPr>
      </w:pPr>
      <w:r>
        <w:rPr>
          <w:bCs/>
          <w:color w:val="auto"/>
        </w:rPr>
        <w:t>2.6 现场管理配合</w:t>
      </w:r>
      <w:r>
        <w:rPr>
          <w:color w:val="auto"/>
        </w:rPr>
        <w:tab/>
      </w:r>
    </w:p>
    <w:p w14:paraId="1DDB9A24">
      <w:pPr>
        <w:pStyle w:val="20"/>
        <w:tabs>
          <w:tab w:val="right" w:leader="dot" w:pos="8296"/>
        </w:tabs>
        <w:ind w:left="960"/>
        <w:rPr>
          <w:rFonts w:ascii="等线" w:hAnsi="等线" w:eastAsia="等线"/>
          <w:color w:val="auto"/>
          <w:sz w:val="21"/>
          <w:szCs w:val="22"/>
        </w:rPr>
      </w:pPr>
      <w:r>
        <w:rPr>
          <w:bCs/>
          <w:color w:val="auto"/>
        </w:rPr>
        <w:t>2.7 其他义务</w:t>
      </w:r>
      <w:r>
        <w:rPr>
          <w:color w:val="auto"/>
        </w:rPr>
        <w:tab/>
      </w:r>
    </w:p>
    <w:p w14:paraId="71995F8D">
      <w:pPr>
        <w:pStyle w:val="17"/>
        <w:tabs>
          <w:tab w:val="right" w:leader="dot" w:pos="8296"/>
        </w:tabs>
        <w:ind w:left="480"/>
        <w:rPr>
          <w:rFonts w:ascii="等线" w:hAnsi="等线" w:eastAsia="等线"/>
          <w:color w:val="auto"/>
          <w:sz w:val="21"/>
          <w:szCs w:val="22"/>
        </w:rPr>
      </w:pPr>
      <w:r>
        <w:rPr>
          <w:bCs/>
          <w:color w:val="auto"/>
        </w:rPr>
        <w:t>第3条 发包人的管理</w:t>
      </w:r>
      <w:r>
        <w:rPr>
          <w:color w:val="auto"/>
        </w:rPr>
        <w:tab/>
      </w:r>
    </w:p>
    <w:p w14:paraId="72311179">
      <w:pPr>
        <w:pStyle w:val="20"/>
        <w:tabs>
          <w:tab w:val="right" w:leader="dot" w:pos="8296"/>
        </w:tabs>
        <w:ind w:left="960"/>
        <w:rPr>
          <w:rFonts w:ascii="等线" w:hAnsi="等线" w:eastAsia="等线"/>
          <w:color w:val="auto"/>
          <w:sz w:val="21"/>
          <w:szCs w:val="22"/>
        </w:rPr>
      </w:pPr>
      <w:r>
        <w:rPr>
          <w:bCs/>
          <w:color w:val="auto"/>
        </w:rPr>
        <w:t>3.1 发包人代表</w:t>
      </w:r>
      <w:r>
        <w:rPr>
          <w:color w:val="auto"/>
        </w:rPr>
        <w:tab/>
      </w:r>
    </w:p>
    <w:p w14:paraId="4C3727D1">
      <w:pPr>
        <w:pStyle w:val="20"/>
        <w:tabs>
          <w:tab w:val="right" w:leader="dot" w:pos="8296"/>
        </w:tabs>
        <w:ind w:left="960"/>
        <w:rPr>
          <w:rFonts w:ascii="等线" w:hAnsi="等线" w:eastAsia="等线"/>
          <w:color w:val="auto"/>
          <w:sz w:val="21"/>
          <w:szCs w:val="22"/>
        </w:rPr>
      </w:pPr>
      <w:r>
        <w:rPr>
          <w:bCs/>
          <w:color w:val="auto"/>
        </w:rPr>
        <w:t>3.2 发包人人员</w:t>
      </w:r>
      <w:r>
        <w:rPr>
          <w:color w:val="auto"/>
        </w:rPr>
        <w:tab/>
      </w:r>
    </w:p>
    <w:p w14:paraId="2E095EED">
      <w:pPr>
        <w:pStyle w:val="20"/>
        <w:tabs>
          <w:tab w:val="right" w:leader="dot" w:pos="8296"/>
        </w:tabs>
        <w:ind w:left="960"/>
        <w:rPr>
          <w:rFonts w:ascii="等线" w:hAnsi="等线" w:eastAsia="等线"/>
          <w:color w:val="auto"/>
          <w:sz w:val="21"/>
          <w:szCs w:val="22"/>
        </w:rPr>
      </w:pPr>
      <w:r>
        <w:rPr>
          <w:bCs/>
          <w:color w:val="auto"/>
        </w:rPr>
        <w:t>3.3 工程师</w:t>
      </w:r>
      <w:r>
        <w:rPr>
          <w:color w:val="auto"/>
        </w:rPr>
        <w:tab/>
      </w:r>
    </w:p>
    <w:p w14:paraId="03AFDD91">
      <w:pPr>
        <w:pStyle w:val="20"/>
        <w:tabs>
          <w:tab w:val="right" w:leader="dot" w:pos="8296"/>
        </w:tabs>
        <w:ind w:left="960"/>
        <w:rPr>
          <w:rFonts w:ascii="等线" w:hAnsi="等线" w:eastAsia="等线"/>
          <w:color w:val="auto"/>
          <w:sz w:val="21"/>
          <w:szCs w:val="22"/>
        </w:rPr>
      </w:pPr>
      <w:r>
        <w:rPr>
          <w:bCs/>
          <w:color w:val="auto"/>
        </w:rPr>
        <w:t>3.4 任命和授权</w:t>
      </w:r>
      <w:r>
        <w:rPr>
          <w:color w:val="auto"/>
        </w:rPr>
        <w:tab/>
      </w:r>
    </w:p>
    <w:p w14:paraId="3C94B346">
      <w:pPr>
        <w:pStyle w:val="20"/>
        <w:tabs>
          <w:tab w:val="right" w:leader="dot" w:pos="8296"/>
        </w:tabs>
        <w:ind w:left="960"/>
        <w:rPr>
          <w:rFonts w:ascii="等线" w:hAnsi="等线" w:eastAsia="等线"/>
          <w:color w:val="auto"/>
          <w:sz w:val="21"/>
          <w:szCs w:val="22"/>
        </w:rPr>
      </w:pPr>
      <w:r>
        <w:rPr>
          <w:bCs/>
          <w:color w:val="auto"/>
        </w:rPr>
        <w:t>3.5 指示</w:t>
      </w:r>
      <w:r>
        <w:rPr>
          <w:color w:val="auto"/>
        </w:rPr>
        <w:tab/>
      </w:r>
    </w:p>
    <w:p w14:paraId="00C68B19">
      <w:pPr>
        <w:pStyle w:val="20"/>
        <w:tabs>
          <w:tab w:val="right" w:leader="dot" w:pos="8296"/>
        </w:tabs>
        <w:ind w:left="960"/>
        <w:rPr>
          <w:rFonts w:ascii="等线" w:hAnsi="等线" w:eastAsia="等线"/>
          <w:color w:val="auto"/>
          <w:sz w:val="21"/>
          <w:szCs w:val="22"/>
        </w:rPr>
      </w:pPr>
      <w:r>
        <w:rPr>
          <w:bCs/>
          <w:color w:val="auto"/>
        </w:rPr>
        <w:t>3.6 商定或确定</w:t>
      </w:r>
      <w:r>
        <w:rPr>
          <w:color w:val="auto"/>
        </w:rPr>
        <w:tab/>
      </w:r>
    </w:p>
    <w:p w14:paraId="5DCFC5AA">
      <w:pPr>
        <w:pStyle w:val="20"/>
        <w:tabs>
          <w:tab w:val="right" w:leader="dot" w:pos="8296"/>
        </w:tabs>
        <w:ind w:left="960"/>
        <w:rPr>
          <w:rFonts w:ascii="等线" w:hAnsi="等线" w:eastAsia="等线"/>
          <w:color w:val="auto"/>
          <w:sz w:val="21"/>
          <w:szCs w:val="22"/>
        </w:rPr>
      </w:pPr>
      <w:r>
        <w:rPr>
          <w:bCs/>
          <w:color w:val="auto"/>
        </w:rPr>
        <w:t>3.7 会议</w:t>
      </w:r>
      <w:r>
        <w:rPr>
          <w:color w:val="auto"/>
        </w:rPr>
        <w:tab/>
      </w:r>
    </w:p>
    <w:p w14:paraId="37AD0BF2">
      <w:pPr>
        <w:pStyle w:val="17"/>
        <w:tabs>
          <w:tab w:val="right" w:leader="dot" w:pos="8296"/>
        </w:tabs>
        <w:ind w:left="480"/>
        <w:rPr>
          <w:rFonts w:ascii="等线" w:hAnsi="等线" w:eastAsia="等线"/>
          <w:color w:val="auto"/>
          <w:sz w:val="21"/>
          <w:szCs w:val="22"/>
        </w:rPr>
      </w:pPr>
      <w:r>
        <w:rPr>
          <w:bCs/>
          <w:color w:val="auto"/>
        </w:rPr>
        <w:t>第4条 承包人</w:t>
      </w:r>
      <w:r>
        <w:rPr>
          <w:color w:val="auto"/>
        </w:rPr>
        <w:tab/>
      </w:r>
    </w:p>
    <w:p w14:paraId="1063DAB7">
      <w:pPr>
        <w:pStyle w:val="20"/>
        <w:tabs>
          <w:tab w:val="right" w:leader="dot" w:pos="8296"/>
        </w:tabs>
        <w:ind w:left="960"/>
        <w:rPr>
          <w:rFonts w:ascii="等线" w:hAnsi="等线" w:eastAsia="等线"/>
          <w:color w:val="auto"/>
          <w:sz w:val="21"/>
          <w:szCs w:val="22"/>
        </w:rPr>
      </w:pPr>
      <w:r>
        <w:rPr>
          <w:bCs/>
          <w:color w:val="auto"/>
        </w:rPr>
        <w:t>4.1 承包人的一般义务</w:t>
      </w:r>
      <w:r>
        <w:rPr>
          <w:color w:val="auto"/>
        </w:rPr>
        <w:tab/>
      </w:r>
    </w:p>
    <w:p w14:paraId="4221AA65">
      <w:pPr>
        <w:pStyle w:val="20"/>
        <w:tabs>
          <w:tab w:val="right" w:leader="dot" w:pos="8296"/>
        </w:tabs>
        <w:ind w:left="960"/>
        <w:rPr>
          <w:rFonts w:ascii="等线" w:hAnsi="等线" w:eastAsia="等线"/>
          <w:color w:val="auto"/>
          <w:sz w:val="21"/>
          <w:szCs w:val="22"/>
        </w:rPr>
      </w:pPr>
      <w:r>
        <w:rPr>
          <w:bCs/>
          <w:color w:val="auto"/>
        </w:rPr>
        <w:t>4.2 履约担保</w:t>
      </w:r>
      <w:r>
        <w:rPr>
          <w:color w:val="auto"/>
        </w:rPr>
        <w:tab/>
      </w:r>
    </w:p>
    <w:p w14:paraId="651DC866">
      <w:pPr>
        <w:pStyle w:val="20"/>
        <w:tabs>
          <w:tab w:val="right" w:leader="dot" w:pos="8296"/>
        </w:tabs>
        <w:ind w:left="960"/>
        <w:rPr>
          <w:rFonts w:ascii="等线" w:hAnsi="等线" w:eastAsia="等线"/>
          <w:color w:val="auto"/>
          <w:sz w:val="21"/>
          <w:szCs w:val="22"/>
        </w:rPr>
      </w:pPr>
      <w:r>
        <w:rPr>
          <w:bCs/>
          <w:color w:val="auto"/>
        </w:rPr>
        <w:t>4.3 工程总承包项目经理</w:t>
      </w:r>
      <w:r>
        <w:rPr>
          <w:color w:val="auto"/>
        </w:rPr>
        <w:tab/>
      </w:r>
    </w:p>
    <w:p w14:paraId="7457C611">
      <w:pPr>
        <w:pStyle w:val="20"/>
        <w:tabs>
          <w:tab w:val="right" w:leader="dot" w:pos="8296"/>
        </w:tabs>
        <w:ind w:left="960"/>
        <w:rPr>
          <w:rFonts w:ascii="等线" w:hAnsi="等线" w:eastAsia="等线"/>
          <w:color w:val="auto"/>
          <w:sz w:val="21"/>
          <w:szCs w:val="22"/>
        </w:rPr>
      </w:pPr>
      <w:r>
        <w:rPr>
          <w:bCs/>
          <w:color w:val="auto"/>
        </w:rPr>
        <w:t>4.4 承包人人员</w:t>
      </w:r>
      <w:r>
        <w:rPr>
          <w:color w:val="auto"/>
        </w:rPr>
        <w:tab/>
      </w:r>
    </w:p>
    <w:p w14:paraId="2618147B">
      <w:pPr>
        <w:pStyle w:val="20"/>
        <w:tabs>
          <w:tab w:val="right" w:leader="dot" w:pos="8296"/>
        </w:tabs>
        <w:ind w:left="960"/>
        <w:rPr>
          <w:rFonts w:ascii="等线" w:hAnsi="等线" w:eastAsia="等线"/>
          <w:color w:val="auto"/>
          <w:sz w:val="21"/>
          <w:szCs w:val="22"/>
        </w:rPr>
      </w:pPr>
      <w:r>
        <w:rPr>
          <w:bCs/>
          <w:color w:val="auto"/>
        </w:rPr>
        <w:t>4.5 分包</w:t>
      </w:r>
      <w:r>
        <w:rPr>
          <w:color w:val="auto"/>
        </w:rPr>
        <w:tab/>
      </w:r>
    </w:p>
    <w:p w14:paraId="41CAA55C">
      <w:pPr>
        <w:pStyle w:val="20"/>
        <w:tabs>
          <w:tab w:val="right" w:leader="dot" w:pos="8296"/>
        </w:tabs>
        <w:ind w:left="960"/>
        <w:rPr>
          <w:rFonts w:ascii="等线" w:hAnsi="等线" w:eastAsia="等线"/>
          <w:color w:val="auto"/>
          <w:sz w:val="21"/>
          <w:szCs w:val="22"/>
        </w:rPr>
      </w:pPr>
      <w:r>
        <w:rPr>
          <w:bCs/>
          <w:color w:val="auto"/>
        </w:rPr>
        <w:t>4.6 联合体</w:t>
      </w:r>
      <w:r>
        <w:rPr>
          <w:color w:val="auto"/>
        </w:rPr>
        <w:tab/>
      </w:r>
    </w:p>
    <w:p w14:paraId="0BDA5823">
      <w:pPr>
        <w:pStyle w:val="20"/>
        <w:tabs>
          <w:tab w:val="right" w:leader="dot" w:pos="8296"/>
        </w:tabs>
        <w:ind w:left="960"/>
        <w:rPr>
          <w:rFonts w:ascii="等线" w:hAnsi="等线" w:eastAsia="等线"/>
          <w:color w:val="auto"/>
          <w:sz w:val="21"/>
          <w:szCs w:val="22"/>
        </w:rPr>
      </w:pPr>
      <w:r>
        <w:rPr>
          <w:bCs/>
          <w:color w:val="auto"/>
        </w:rPr>
        <w:t>4.7 承包人现场查勘</w:t>
      </w:r>
      <w:r>
        <w:rPr>
          <w:color w:val="auto"/>
        </w:rPr>
        <w:tab/>
      </w:r>
    </w:p>
    <w:p w14:paraId="5D8149FD">
      <w:pPr>
        <w:pStyle w:val="20"/>
        <w:tabs>
          <w:tab w:val="right" w:leader="dot" w:pos="8296"/>
        </w:tabs>
        <w:ind w:left="960"/>
        <w:rPr>
          <w:rFonts w:ascii="等线" w:hAnsi="等线" w:eastAsia="等线"/>
          <w:color w:val="auto"/>
          <w:sz w:val="21"/>
          <w:szCs w:val="22"/>
        </w:rPr>
      </w:pPr>
      <w:r>
        <w:rPr>
          <w:bCs/>
          <w:color w:val="auto"/>
        </w:rPr>
        <w:t>4.8 不可预见的困难</w:t>
      </w:r>
      <w:r>
        <w:rPr>
          <w:color w:val="auto"/>
        </w:rPr>
        <w:tab/>
      </w:r>
    </w:p>
    <w:p w14:paraId="52356D69">
      <w:pPr>
        <w:pStyle w:val="20"/>
        <w:tabs>
          <w:tab w:val="right" w:leader="dot" w:pos="8296"/>
        </w:tabs>
        <w:ind w:left="960"/>
        <w:rPr>
          <w:rFonts w:ascii="等线" w:hAnsi="等线" w:eastAsia="等线"/>
          <w:color w:val="auto"/>
          <w:sz w:val="21"/>
          <w:szCs w:val="22"/>
        </w:rPr>
      </w:pPr>
      <w:r>
        <w:rPr>
          <w:bCs/>
          <w:color w:val="auto"/>
        </w:rPr>
        <w:t>4.9 工程质量管理</w:t>
      </w:r>
      <w:r>
        <w:rPr>
          <w:color w:val="auto"/>
        </w:rPr>
        <w:tab/>
      </w:r>
    </w:p>
    <w:p w14:paraId="7F6E19F5">
      <w:pPr>
        <w:pStyle w:val="17"/>
        <w:tabs>
          <w:tab w:val="right" w:leader="dot" w:pos="8296"/>
        </w:tabs>
        <w:ind w:left="480"/>
        <w:rPr>
          <w:rFonts w:ascii="等线" w:hAnsi="等线" w:eastAsia="等线"/>
          <w:color w:val="auto"/>
          <w:sz w:val="21"/>
          <w:szCs w:val="22"/>
        </w:rPr>
      </w:pPr>
      <w:r>
        <w:rPr>
          <w:bCs/>
          <w:color w:val="auto"/>
        </w:rPr>
        <w:t>第5条 设计</w:t>
      </w:r>
      <w:r>
        <w:rPr>
          <w:color w:val="auto"/>
        </w:rPr>
        <w:tab/>
      </w:r>
    </w:p>
    <w:p w14:paraId="6E2BA403">
      <w:pPr>
        <w:pStyle w:val="20"/>
        <w:tabs>
          <w:tab w:val="right" w:leader="dot" w:pos="8296"/>
        </w:tabs>
        <w:ind w:left="960"/>
        <w:rPr>
          <w:rFonts w:ascii="等线" w:hAnsi="等线" w:eastAsia="等线"/>
          <w:color w:val="auto"/>
          <w:sz w:val="21"/>
          <w:szCs w:val="22"/>
        </w:rPr>
      </w:pPr>
      <w:r>
        <w:rPr>
          <w:bCs/>
          <w:color w:val="auto"/>
        </w:rPr>
        <w:t>5.1 承包人的设计义务</w:t>
      </w:r>
      <w:r>
        <w:rPr>
          <w:color w:val="auto"/>
        </w:rPr>
        <w:tab/>
      </w:r>
    </w:p>
    <w:p w14:paraId="167DE739">
      <w:pPr>
        <w:pStyle w:val="20"/>
        <w:tabs>
          <w:tab w:val="right" w:leader="dot" w:pos="8296"/>
        </w:tabs>
        <w:ind w:left="960"/>
        <w:rPr>
          <w:rFonts w:ascii="等线" w:hAnsi="等线" w:eastAsia="等线"/>
          <w:color w:val="auto"/>
          <w:sz w:val="21"/>
          <w:szCs w:val="22"/>
        </w:rPr>
      </w:pPr>
      <w:r>
        <w:rPr>
          <w:bCs/>
          <w:color w:val="auto"/>
        </w:rPr>
        <w:t>5.2 承包人文件审查</w:t>
      </w:r>
      <w:r>
        <w:rPr>
          <w:color w:val="auto"/>
        </w:rPr>
        <w:tab/>
      </w:r>
    </w:p>
    <w:p w14:paraId="3227846D">
      <w:pPr>
        <w:pStyle w:val="20"/>
        <w:tabs>
          <w:tab w:val="right" w:leader="dot" w:pos="8296"/>
        </w:tabs>
        <w:ind w:left="960"/>
        <w:rPr>
          <w:rFonts w:ascii="等线" w:hAnsi="等线" w:eastAsia="等线"/>
          <w:color w:val="auto"/>
          <w:sz w:val="21"/>
          <w:szCs w:val="22"/>
        </w:rPr>
      </w:pPr>
      <w:r>
        <w:rPr>
          <w:bCs/>
          <w:color w:val="auto"/>
        </w:rPr>
        <w:t>5.3 培训</w:t>
      </w:r>
      <w:r>
        <w:rPr>
          <w:color w:val="auto"/>
        </w:rPr>
        <w:tab/>
      </w:r>
    </w:p>
    <w:p w14:paraId="254368AA">
      <w:pPr>
        <w:pStyle w:val="20"/>
        <w:tabs>
          <w:tab w:val="right" w:leader="dot" w:pos="8296"/>
        </w:tabs>
        <w:ind w:left="960"/>
        <w:rPr>
          <w:rFonts w:ascii="等线" w:hAnsi="等线" w:eastAsia="等线"/>
          <w:color w:val="auto"/>
          <w:sz w:val="21"/>
          <w:szCs w:val="22"/>
        </w:rPr>
      </w:pPr>
      <w:r>
        <w:rPr>
          <w:bCs/>
          <w:color w:val="auto"/>
        </w:rPr>
        <w:t>5.4 竣工文件</w:t>
      </w:r>
      <w:r>
        <w:rPr>
          <w:color w:val="auto"/>
        </w:rPr>
        <w:tab/>
      </w:r>
    </w:p>
    <w:p w14:paraId="5929999A">
      <w:pPr>
        <w:pStyle w:val="20"/>
        <w:tabs>
          <w:tab w:val="right" w:leader="dot" w:pos="8296"/>
        </w:tabs>
        <w:ind w:left="960"/>
        <w:rPr>
          <w:rFonts w:ascii="等线" w:hAnsi="等线" w:eastAsia="等线"/>
          <w:color w:val="auto"/>
          <w:sz w:val="21"/>
          <w:szCs w:val="22"/>
        </w:rPr>
      </w:pPr>
      <w:r>
        <w:rPr>
          <w:bCs/>
          <w:color w:val="auto"/>
        </w:rPr>
        <w:t>5.5 操作和维修手册</w:t>
      </w:r>
      <w:r>
        <w:rPr>
          <w:color w:val="auto"/>
        </w:rPr>
        <w:tab/>
      </w:r>
    </w:p>
    <w:p w14:paraId="3AD06050">
      <w:pPr>
        <w:pStyle w:val="20"/>
        <w:tabs>
          <w:tab w:val="right" w:leader="dot" w:pos="8296"/>
        </w:tabs>
        <w:ind w:left="960"/>
        <w:rPr>
          <w:rFonts w:ascii="等线" w:hAnsi="等线" w:eastAsia="等线"/>
          <w:color w:val="auto"/>
          <w:sz w:val="21"/>
          <w:szCs w:val="22"/>
        </w:rPr>
      </w:pPr>
      <w:r>
        <w:rPr>
          <w:bCs/>
          <w:color w:val="auto"/>
        </w:rPr>
        <w:t>5.6 承包人文件错误</w:t>
      </w:r>
      <w:r>
        <w:rPr>
          <w:color w:val="auto"/>
        </w:rPr>
        <w:tab/>
      </w:r>
    </w:p>
    <w:p w14:paraId="77678A73">
      <w:pPr>
        <w:pStyle w:val="17"/>
        <w:tabs>
          <w:tab w:val="right" w:leader="dot" w:pos="8296"/>
        </w:tabs>
        <w:ind w:left="480"/>
        <w:rPr>
          <w:rFonts w:ascii="等线" w:hAnsi="等线" w:eastAsia="等线"/>
          <w:color w:val="auto"/>
          <w:sz w:val="21"/>
          <w:szCs w:val="22"/>
        </w:rPr>
      </w:pPr>
      <w:r>
        <w:rPr>
          <w:bCs/>
          <w:color w:val="auto"/>
        </w:rPr>
        <w:t>第6条 材料、工程设备</w:t>
      </w:r>
      <w:r>
        <w:rPr>
          <w:color w:val="auto"/>
        </w:rPr>
        <w:tab/>
      </w:r>
    </w:p>
    <w:p w14:paraId="771B1D0C">
      <w:pPr>
        <w:pStyle w:val="20"/>
        <w:tabs>
          <w:tab w:val="right" w:leader="dot" w:pos="8296"/>
        </w:tabs>
        <w:ind w:left="960"/>
        <w:rPr>
          <w:rFonts w:ascii="等线" w:hAnsi="等线" w:eastAsia="等线"/>
          <w:color w:val="auto"/>
          <w:sz w:val="21"/>
          <w:szCs w:val="22"/>
        </w:rPr>
      </w:pPr>
      <w:r>
        <w:rPr>
          <w:bCs/>
          <w:color w:val="auto"/>
        </w:rPr>
        <w:t>6.1 实施方法</w:t>
      </w:r>
      <w:r>
        <w:rPr>
          <w:color w:val="auto"/>
        </w:rPr>
        <w:tab/>
      </w:r>
    </w:p>
    <w:p w14:paraId="5A1B3D23">
      <w:pPr>
        <w:pStyle w:val="20"/>
        <w:tabs>
          <w:tab w:val="right" w:leader="dot" w:pos="8296"/>
        </w:tabs>
        <w:ind w:left="960"/>
        <w:rPr>
          <w:rFonts w:ascii="等线" w:hAnsi="等线" w:eastAsia="等线"/>
          <w:color w:val="auto"/>
          <w:sz w:val="21"/>
          <w:szCs w:val="22"/>
        </w:rPr>
      </w:pPr>
      <w:r>
        <w:rPr>
          <w:bCs/>
          <w:color w:val="auto"/>
        </w:rPr>
        <w:t>6.2 材料和工程设备</w:t>
      </w:r>
      <w:r>
        <w:rPr>
          <w:color w:val="auto"/>
        </w:rPr>
        <w:tab/>
      </w:r>
    </w:p>
    <w:p w14:paraId="51728A35">
      <w:pPr>
        <w:pStyle w:val="20"/>
        <w:tabs>
          <w:tab w:val="right" w:leader="dot" w:pos="8296"/>
        </w:tabs>
        <w:ind w:left="960"/>
        <w:rPr>
          <w:rFonts w:ascii="等线" w:hAnsi="等线" w:eastAsia="等线"/>
          <w:color w:val="auto"/>
          <w:sz w:val="21"/>
          <w:szCs w:val="22"/>
        </w:rPr>
      </w:pPr>
      <w:r>
        <w:rPr>
          <w:bCs/>
          <w:color w:val="auto"/>
        </w:rPr>
        <w:t>6.3 样品</w:t>
      </w:r>
      <w:r>
        <w:rPr>
          <w:color w:val="auto"/>
        </w:rPr>
        <w:tab/>
      </w:r>
    </w:p>
    <w:p w14:paraId="24C1055E">
      <w:pPr>
        <w:pStyle w:val="20"/>
        <w:tabs>
          <w:tab w:val="right" w:leader="dot" w:pos="8296"/>
        </w:tabs>
        <w:ind w:left="960"/>
        <w:rPr>
          <w:rFonts w:ascii="等线" w:hAnsi="等线" w:eastAsia="等线"/>
          <w:color w:val="auto"/>
          <w:sz w:val="21"/>
          <w:szCs w:val="22"/>
        </w:rPr>
      </w:pPr>
      <w:r>
        <w:rPr>
          <w:bCs/>
          <w:color w:val="auto"/>
        </w:rPr>
        <w:t>6.4 质量检查</w:t>
      </w:r>
      <w:r>
        <w:rPr>
          <w:color w:val="auto"/>
        </w:rPr>
        <w:tab/>
      </w:r>
    </w:p>
    <w:p w14:paraId="2CECE48A">
      <w:pPr>
        <w:pStyle w:val="20"/>
        <w:tabs>
          <w:tab w:val="right" w:leader="dot" w:pos="8296"/>
        </w:tabs>
        <w:ind w:left="960"/>
        <w:rPr>
          <w:rFonts w:ascii="等线" w:hAnsi="等线" w:eastAsia="等线"/>
          <w:color w:val="auto"/>
          <w:sz w:val="21"/>
          <w:szCs w:val="22"/>
        </w:rPr>
      </w:pPr>
      <w:r>
        <w:rPr>
          <w:bCs/>
          <w:color w:val="auto"/>
        </w:rPr>
        <w:t>6.5 由承包人试验和检验</w:t>
      </w:r>
      <w:r>
        <w:rPr>
          <w:color w:val="auto"/>
        </w:rPr>
        <w:tab/>
      </w:r>
    </w:p>
    <w:p w14:paraId="177AE2E9">
      <w:pPr>
        <w:pStyle w:val="20"/>
        <w:tabs>
          <w:tab w:val="right" w:leader="dot" w:pos="8296"/>
        </w:tabs>
        <w:ind w:left="960"/>
        <w:rPr>
          <w:rFonts w:ascii="等线" w:hAnsi="等线" w:eastAsia="等线"/>
          <w:color w:val="auto"/>
          <w:sz w:val="21"/>
          <w:szCs w:val="22"/>
        </w:rPr>
      </w:pPr>
      <w:r>
        <w:rPr>
          <w:bCs/>
          <w:color w:val="auto"/>
        </w:rPr>
        <w:t>6.6 缺陷和修补</w:t>
      </w:r>
      <w:r>
        <w:rPr>
          <w:color w:val="auto"/>
        </w:rPr>
        <w:tab/>
      </w:r>
    </w:p>
    <w:p w14:paraId="12E5D177">
      <w:pPr>
        <w:pStyle w:val="17"/>
        <w:tabs>
          <w:tab w:val="right" w:leader="dot" w:pos="8296"/>
        </w:tabs>
        <w:ind w:left="480"/>
        <w:rPr>
          <w:rFonts w:ascii="等线" w:hAnsi="等线" w:eastAsia="等线"/>
          <w:color w:val="auto"/>
          <w:sz w:val="21"/>
          <w:szCs w:val="22"/>
        </w:rPr>
      </w:pPr>
      <w:r>
        <w:rPr>
          <w:bCs/>
          <w:color w:val="auto"/>
        </w:rPr>
        <w:t>第7条 施工</w:t>
      </w:r>
      <w:r>
        <w:rPr>
          <w:color w:val="auto"/>
        </w:rPr>
        <w:tab/>
      </w:r>
    </w:p>
    <w:p w14:paraId="785D614B">
      <w:pPr>
        <w:pStyle w:val="20"/>
        <w:tabs>
          <w:tab w:val="right" w:leader="dot" w:pos="8296"/>
        </w:tabs>
        <w:ind w:left="960"/>
        <w:rPr>
          <w:rFonts w:ascii="等线" w:hAnsi="等线" w:eastAsia="等线"/>
          <w:color w:val="auto"/>
          <w:sz w:val="21"/>
          <w:szCs w:val="22"/>
        </w:rPr>
      </w:pPr>
      <w:r>
        <w:rPr>
          <w:bCs/>
          <w:color w:val="auto"/>
        </w:rPr>
        <w:t>7.1 交通运输</w:t>
      </w:r>
      <w:r>
        <w:rPr>
          <w:color w:val="auto"/>
        </w:rPr>
        <w:tab/>
      </w:r>
    </w:p>
    <w:p w14:paraId="12ABA9EC">
      <w:pPr>
        <w:pStyle w:val="20"/>
        <w:tabs>
          <w:tab w:val="right" w:leader="dot" w:pos="8296"/>
        </w:tabs>
        <w:ind w:left="960"/>
        <w:rPr>
          <w:rFonts w:ascii="等线" w:hAnsi="等线" w:eastAsia="等线"/>
          <w:color w:val="auto"/>
          <w:sz w:val="21"/>
          <w:szCs w:val="22"/>
        </w:rPr>
      </w:pPr>
      <w:r>
        <w:rPr>
          <w:bCs/>
          <w:color w:val="auto"/>
        </w:rPr>
        <w:t>7.2 施工设备和临时设施</w:t>
      </w:r>
      <w:r>
        <w:rPr>
          <w:color w:val="auto"/>
        </w:rPr>
        <w:tab/>
      </w:r>
    </w:p>
    <w:p w14:paraId="64DF56E6">
      <w:pPr>
        <w:pStyle w:val="20"/>
        <w:tabs>
          <w:tab w:val="right" w:leader="dot" w:pos="8296"/>
        </w:tabs>
        <w:ind w:left="960"/>
        <w:rPr>
          <w:rFonts w:ascii="等线" w:hAnsi="等线" w:eastAsia="等线"/>
          <w:color w:val="auto"/>
          <w:sz w:val="21"/>
          <w:szCs w:val="22"/>
        </w:rPr>
      </w:pPr>
      <w:r>
        <w:rPr>
          <w:bCs/>
          <w:color w:val="auto"/>
        </w:rPr>
        <w:t>7.3 现场合作</w:t>
      </w:r>
      <w:r>
        <w:rPr>
          <w:color w:val="auto"/>
        </w:rPr>
        <w:tab/>
      </w:r>
    </w:p>
    <w:p w14:paraId="230C1B85">
      <w:pPr>
        <w:pStyle w:val="20"/>
        <w:tabs>
          <w:tab w:val="right" w:leader="dot" w:pos="8296"/>
        </w:tabs>
        <w:ind w:left="960"/>
        <w:rPr>
          <w:rFonts w:ascii="等线" w:hAnsi="等线" w:eastAsia="等线"/>
          <w:color w:val="auto"/>
          <w:sz w:val="21"/>
          <w:szCs w:val="22"/>
        </w:rPr>
      </w:pPr>
      <w:r>
        <w:rPr>
          <w:bCs/>
          <w:color w:val="auto"/>
        </w:rPr>
        <w:t>7.4 测量放线</w:t>
      </w:r>
      <w:r>
        <w:rPr>
          <w:color w:val="auto"/>
        </w:rPr>
        <w:tab/>
      </w:r>
    </w:p>
    <w:p w14:paraId="0FF76814">
      <w:pPr>
        <w:pStyle w:val="20"/>
        <w:tabs>
          <w:tab w:val="right" w:leader="dot" w:pos="8296"/>
        </w:tabs>
        <w:ind w:left="960"/>
        <w:rPr>
          <w:rFonts w:ascii="等线" w:hAnsi="等线" w:eastAsia="等线"/>
          <w:color w:val="auto"/>
          <w:sz w:val="21"/>
          <w:szCs w:val="22"/>
        </w:rPr>
      </w:pPr>
      <w:r>
        <w:rPr>
          <w:bCs/>
          <w:color w:val="auto"/>
        </w:rPr>
        <w:t>7.5 现场劳动用工</w:t>
      </w:r>
      <w:r>
        <w:rPr>
          <w:color w:val="auto"/>
        </w:rPr>
        <w:tab/>
      </w:r>
    </w:p>
    <w:p w14:paraId="74D2D110">
      <w:pPr>
        <w:pStyle w:val="20"/>
        <w:tabs>
          <w:tab w:val="right" w:leader="dot" w:pos="8296"/>
        </w:tabs>
        <w:ind w:left="960"/>
        <w:rPr>
          <w:rFonts w:ascii="等线" w:hAnsi="等线" w:eastAsia="等线"/>
          <w:color w:val="auto"/>
          <w:sz w:val="21"/>
          <w:szCs w:val="22"/>
        </w:rPr>
      </w:pPr>
      <w:r>
        <w:rPr>
          <w:bCs/>
          <w:color w:val="auto"/>
        </w:rPr>
        <w:t>7.6 安全文明施工</w:t>
      </w:r>
      <w:r>
        <w:rPr>
          <w:color w:val="auto"/>
        </w:rPr>
        <w:tab/>
      </w:r>
    </w:p>
    <w:p w14:paraId="793BAF97">
      <w:pPr>
        <w:pStyle w:val="20"/>
        <w:tabs>
          <w:tab w:val="right" w:leader="dot" w:pos="8296"/>
        </w:tabs>
        <w:ind w:left="960"/>
        <w:rPr>
          <w:rFonts w:ascii="等线" w:hAnsi="等线" w:eastAsia="等线"/>
          <w:color w:val="auto"/>
          <w:sz w:val="21"/>
          <w:szCs w:val="22"/>
        </w:rPr>
      </w:pPr>
      <w:r>
        <w:rPr>
          <w:bCs/>
          <w:color w:val="auto"/>
        </w:rPr>
        <w:t>7.7 职业健康</w:t>
      </w:r>
      <w:r>
        <w:rPr>
          <w:color w:val="auto"/>
        </w:rPr>
        <w:tab/>
      </w:r>
    </w:p>
    <w:p w14:paraId="09C3C3FA">
      <w:pPr>
        <w:pStyle w:val="20"/>
        <w:tabs>
          <w:tab w:val="right" w:leader="dot" w:pos="8296"/>
        </w:tabs>
        <w:ind w:left="960"/>
        <w:rPr>
          <w:rFonts w:ascii="等线" w:hAnsi="等线" w:eastAsia="等线"/>
          <w:color w:val="auto"/>
          <w:sz w:val="21"/>
          <w:szCs w:val="22"/>
        </w:rPr>
      </w:pPr>
      <w:r>
        <w:rPr>
          <w:bCs/>
          <w:color w:val="auto"/>
        </w:rPr>
        <w:t>7.8 环境保护</w:t>
      </w:r>
      <w:r>
        <w:rPr>
          <w:color w:val="auto"/>
        </w:rPr>
        <w:tab/>
      </w:r>
    </w:p>
    <w:p w14:paraId="38B3733F">
      <w:pPr>
        <w:pStyle w:val="20"/>
        <w:tabs>
          <w:tab w:val="right" w:leader="dot" w:pos="8296"/>
        </w:tabs>
        <w:ind w:left="960"/>
        <w:rPr>
          <w:rFonts w:ascii="等线" w:hAnsi="等线" w:eastAsia="等线"/>
          <w:color w:val="auto"/>
          <w:sz w:val="21"/>
          <w:szCs w:val="22"/>
        </w:rPr>
      </w:pPr>
      <w:r>
        <w:rPr>
          <w:bCs/>
          <w:color w:val="auto"/>
        </w:rPr>
        <w:t>7.9 临时性公用设施</w:t>
      </w:r>
      <w:r>
        <w:rPr>
          <w:color w:val="auto"/>
        </w:rPr>
        <w:tab/>
      </w:r>
    </w:p>
    <w:p w14:paraId="5350881F">
      <w:pPr>
        <w:pStyle w:val="20"/>
        <w:tabs>
          <w:tab w:val="right" w:leader="dot" w:pos="8296"/>
        </w:tabs>
        <w:ind w:left="960"/>
        <w:rPr>
          <w:rFonts w:ascii="等线" w:hAnsi="等线" w:eastAsia="等线"/>
          <w:color w:val="auto"/>
          <w:sz w:val="21"/>
          <w:szCs w:val="22"/>
        </w:rPr>
      </w:pPr>
      <w:r>
        <w:rPr>
          <w:bCs/>
          <w:color w:val="auto"/>
        </w:rPr>
        <w:t>7.10 现场安保</w:t>
      </w:r>
      <w:r>
        <w:rPr>
          <w:color w:val="auto"/>
        </w:rPr>
        <w:tab/>
      </w:r>
    </w:p>
    <w:p w14:paraId="21CCC674">
      <w:pPr>
        <w:pStyle w:val="20"/>
        <w:tabs>
          <w:tab w:val="right" w:leader="dot" w:pos="8296"/>
        </w:tabs>
        <w:ind w:left="960"/>
        <w:rPr>
          <w:rFonts w:ascii="等线" w:hAnsi="等线" w:eastAsia="等线"/>
          <w:color w:val="auto"/>
          <w:sz w:val="21"/>
          <w:szCs w:val="22"/>
        </w:rPr>
      </w:pPr>
      <w:r>
        <w:rPr>
          <w:bCs/>
          <w:color w:val="auto"/>
        </w:rPr>
        <w:t>7.11 工程照管</w:t>
      </w:r>
      <w:r>
        <w:rPr>
          <w:color w:val="auto"/>
        </w:rPr>
        <w:tab/>
      </w:r>
    </w:p>
    <w:p w14:paraId="095FEDC1">
      <w:pPr>
        <w:pStyle w:val="17"/>
        <w:tabs>
          <w:tab w:val="right" w:leader="dot" w:pos="8296"/>
        </w:tabs>
        <w:ind w:left="480"/>
        <w:rPr>
          <w:rFonts w:ascii="等线" w:hAnsi="等线" w:eastAsia="等线"/>
          <w:color w:val="auto"/>
          <w:sz w:val="21"/>
          <w:szCs w:val="22"/>
        </w:rPr>
      </w:pPr>
      <w:r>
        <w:rPr>
          <w:bCs/>
          <w:color w:val="auto"/>
        </w:rPr>
        <w:t>第8条 工期和进度</w:t>
      </w:r>
      <w:r>
        <w:rPr>
          <w:color w:val="auto"/>
        </w:rPr>
        <w:tab/>
      </w:r>
    </w:p>
    <w:p w14:paraId="0C627F2F">
      <w:pPr>
        <w:pStyle w:val="20"/>
        <w:tabs>
          <w:tab w:val="right" w:leader="dot" w:pos="8296"/>
        </w:tabs>
        <w:ind w:left="960"/>
        <w:rPr>
          <w:rFonts w:ascii="等线" w:hAnsi="等线" w:eastAsia="等线"/>
          <w:color w:val="auto"/>
          <w:sz w:val="21"/>
          <w:szCs w:val="22"/>
        </w:rPr>
      </w:pPr>
      <w:r>
        <w:rPr>
          <w:bCs/>
          <w:color w:val="auto"/>
        </w:rPr>
        <w:t>8.1 开始工作</w:t>
      </w:r>
      <w:r>
        <w:rPr>
          <w:color w:val="auto"/>
        </w:rPr>
        <w:tab/>
      </w:r>
    </w:p>
    <w:p w14:paraId="23BC3B99">
      <w:pPr>
        <w:pStyle w:val="20"/>
        <w:tabs>
          <w:tab w:val="right" w:leader="dot" w:pos="8296"/>
        </w:tabs>
        <w:ind w:left="960"/>
        <w:rPr>
          <w:rFonts w:ascii="等线" w:hAnsi="等线" w:eastAsia="等线"/>
          <w:color w:val="auto"/>
          <w:sz w:val="21"/>
          <w:szCs w:val="22"/>
        </w:rPr>
      </w:pPr>
      <w:r>
        <w:rPr>
          <w:bCs/>
          <w:color w:val="auto"/>
        </w:rPr>
        <w:t>8.2 竣工日期</w:t>
      </w:r>
      <w:r>
        <w:rPr>
          <w:color w:val="auto"/>
        </w:rPr>
        <w:tab/>
      </w:r>
    </w:p>
    <w:p w14:paraId="19991149">
      <w:pPr>
        <w:pStyle w:val="20"/>
        <w:tabs>
          <w:tab w:val="right" w:leader="dot" w:pos="8296"/>
        </w:tabs>
        <w:ind w:left="960"/>
        <w:rPr>
          <w:rFonts w:ascii="等线" w:hAnsi="等线" w:eastAsia="等线"/>
          <w:color w:val="auto"/>
          <w:sz w:val="21"/>
          <w:szCs w:val="22"/>
        </w:rPr>
      </w:pPr>
      <w:r>
        <w:rPr>
          <w:bCs/>
          <w:color w:val="auto"/>
        </w:rPr>
        <w:t>8.3 项目实施计划</w:t>
      </w:r>
      <w:r>
        <w:rPr>
          <w:color w:val="auto"/>
        </w:rPr>
        <w:tab/>
      </w:r>
    </w:p>
    <w:p w14:paraId="7028539A">
      <w:pPr>
        <w:pStyle w:val="20"/>
        <w:tabs>
          <w:tab w:val="right" w:leader="dot" w:pos="8296"/>
        </w:tabs>
        <w:ind w:left="960"/>
        <w:rPr>
          <w:rFonts w:ascii="等线" w:hAnsi="等线" w:eastAsia="等线"/>
          <w:color w:val="auto"/>
          <w:sz w:val="21"/>
          <w:szCs w:val="22"/>
        </w:rPr>
      </w:pPr>
      <w:r>
        <w:rPr>
          <w:bCs/>
          <w:color w:val="auto"/>
        </w:rPr>
        <w:t>8.4 项目进度计划</w:t>
      </w:r>
      <w:r>
        <w:rPr>
          <w:color w:val="auto"/>
        </w:rPr>
        <w:tab/>
      </w:r>
    </w:p>
    <w:p w14:paraId="656316C3">
      <w:pPr>
        <w:pStyle w:val="20"/>
        <w:tabs>
          <w:tab w:val="right" w:leader="dot" w:pos="8296"/>
        </w:tabs>
        <w:ind w:left="960"/>
        <w:rPr>
          <w:rFonts w:ascii="等线" w:hAnsi="等线" w:eastAsia="等线"/>
          <w:color w:val="auto"/>
          <w:sz w:val="21"/>
          <w:szCs w:val="22"/>
        </w:rPr>
      </w:pPr>
      <w:r>
        <w:rPr>
          <w:bCs/>
          <w:color w:val="auto"/>
        </w:rPr>
        <w:t>8.5 进度报告</w:t>
      </w:r>
      <w:r>
        <w:rPr>
          <w:color w:val="auto"/>
        </w:rPr>
        <w:tab/>
      </w:r>
    </w:p>
    <w:p w14:paraId="2E113A42">
      <w:pPr>
        <w:pStyle w:val="20"/>
        <w:tabs>
          <w:tab w:val="right" w:leader="dot" w:pos="8296"/>
        </w:tabs>
        <w:ind w:left="960"/>
        <w:rPr>
          <w:rFonts w:ascii="等线" w:hAnsi="等线" w:eastAsia="等线"/>
          <w:color w:val="auto"/>
          <w:sz w:val="21"/>
          <w:szCs w:val="22"/>
        </w:rPr>
      </w:pPr>
      <w:r>
        <w:rPr>
          <w:bCs/>
          <w:color w:val="auto"/>
        </w:rPr>
        <w:t>8.6 提前预警</w:t>
      </w:r>
      <w:r>
        <w:rPr>
          <w:color w:val="auto"/>
        </w:rPr>
        <w:tab/>
      </w:r>
    </w:p>
    <w:p w14:paraId="6A51C704">
      <w:pPr>
        <w:pStyle w:val="20"/>
        <w:tabs>
          <w:tab w:val="right" w:leader="dot" w:pos="8296"/>
        </w:tabs>
        <w:ind w:left="960"/>
        <w:rPr>
          <w:rFonts w:ascii="等线" w:hAnsi="等线" w:eastAsia="等线"/>
          <w:color w:val="auto"/>
          <w:sz w:val="21"/>
          <w:szCs w:val="22"/>
        </w:rPr>
      </w:pPr>
      <w:r>
        <w:rPr>
          <w:bCs/>
          <w:color w:val="auto"/>
        </w:rPr>
        <w:t>8.7 工期延误</w:t>
      </w:r>
      <w:r>
        <w:rPr>
          <w:color w:val="auto"/>
        </w:rPr>
        <w:tab/>
      </w:r>
    </w:p>
    <w:p w14:paraId="5001481D">
      <w:pPr>
        <w:pStyle w:val="20"/>
        <w:tabs>
          <w:tab w:val="right" w:leader="dot" w:pos="8296"/>
        </w:tabs>
        <w:ind w:left="960"/>
        <w:rPr>
          <w:rFonts w:ascii="等线" w:hAnsi="等线" w:eastAsia="等线"/>
          <w:color w:val="auto"/>
          <w:sz w:val="21"/>
          <w:szCs w:val="22"/>
        </w:rPr>
      </w:pPr>
      <w:r>
        <w:rPr>
          <w:bCs/>
          <w:color w:val="auto"/>
        </w:rPr>
        <w:t>8.8 工期提前</w:t>
      </w:r>
      <w:r>
        <w:rPr>
          <w:color w:val="auto"/>
        </w:rPr>
        <w:tab/>
      </w:r>
    </w:p>
    <w:p w14:paraId="7CB080AF">
      <w:pPr>
        <w:pStyle w:val="20"/>
        <w:tabs>
          <w:tab w:val="right" w:leader="dot" w:pos="8296"/>
        </w:tabs>
        <w:ind w:left="960"/>
        <w:rPr>
          <w:rFonts w:ascii="等线" w:hAnsi="等线" w:eastAsia="等线"/>
          <w:color w:val="auto"/>
          <w:sz w:val="21"/>
          <w:szCs w:val="22"/>
        </w:rPr>
      </w:pPr>
      <w:r>
        <w:rPr>
          <w:bCs/>
          <w:color w:val="auto"/>
        </w:rPr>
        <w:t>8.9 暂停工作</w:t>
      </w:r>
      <w:r>
        <w:rPr>
          <w:color w:val="auto"/>
        </w:rPr>
        <w:tab/>
      </w:r>
    </w:p>
    <w:p w14:paraId="74E2B9D3">
      <w:pPr>
        <w:pStyle w:val="20"/>
        <w:tabs>
          <w:tab w:val="right" w:leader="dot" w:pos="8296"/>
        </w:tabs>
        <w:ind w:left="960"/>
        <w:rPr>
          <w:rFonts w:ascii="等线" w:hAnsi="等线" w:eastAsia="等线"/>
          <w:color w:val="auto"/>
          <w:sz w:val="21"/>
          <w:szCs w:val="22"/>
        </w:rPr>
      </w:pPr>
      <w:r>
        <w:rPr>
          <w:bCs/>
          <w:color w:val="auto"/>
        </w:rPr>
        <w:t>8.10 复工</w:t>
      </w:r>
      <w:r>
        <w:rPr>
          <w:color w:val="auto"/>
        </w:rPr>
        <w:tab/>
      </w:r>
    </w:p>
    <w:p w14:paraId="7F7F41BD">
      <w:pPr>
        <w:pStyle w:val="17"/>
        <w:tabs>
          <w:tab w:val="right" w:leader="dot" w:pos="8296"/>
        </w:tabs>
        <w:ind w:left="480"/>
        <w:rPr>
          <w:rFonts w:ascii="等线" w:hAnsi="等线" w:eastAsia="等线"/>
          <w:color w:val="auto"/>
          <w:sz w:val="21"/>
          <w:szCs w:val="22"/>
        </w:rPr>
      </w:pPr>
      <w:r>
        <w:rPr>
          <w:bCs/>
          <w:color w:val="auto"/>
        </w:rPr>
        <w:t>第9条 竣工试验</w:t>
      </w:r>
      <w:r>
        <w:rPr>
          <w:color w:val="auto"/>
        </w:rPr>
        <w:tab/>
      </w:r>
    </w:p>
    <w:p w14:paraId="4E4EDB22">
      <w:pPr>
        <w:pStyle w:val="20"/>
        <w:tabs>
          <w:tab w:val="right" w:leader="dot" w:pos="8296"/>
        </w:tabs>
        <w:ind w:left="960"/>
        <w:rPr>
          <w:rFonts w:ascii="等线" w:hAnsi="等线" w:eastAsia="等线"/>
          <w:color w:val="auto"/>
          <w:sz w:val="21"/>
          <w:szCs w:val="22"/>
        </w:rPr>
      </w:pPr>
      <w:r>
        <w:rPr>
          <w:bCs/>
          <w:color w:val="auto"/>
        </w:rPr>
        <w:t>9.1 竣工试验的义务</w:t>
      </w:r>
      <w:r>
        <w:rPr>
          <w:color w:val="auto"/>
        </w:rPr>
        <w:tab/>
      </w:r>
    </w:p>
    <w:p w14:paraId="37342AE7">
      <w:pPr>
        <w:pStyle w:val="20"/>
        <w:tabs>
          <w:tab w:val="right" w:leader="dot" w:pos="8296"/>
        </w:tabs>
        <w:ind w:left="960"/>
        <w:rPr>
          <w:rFonts w:ascii="等线" w:hAnsi="等线" w:eastAsia="等线"/>
          <w:color w:val="auto"/>
          <w:sz w:val="21"/>
          <w:szCs w:val="22"/>
        </w:rPr>
      </w:pPr>
      <w:r>
        <w:rPr>
          <w:bCs/>
          <w:color w:val="auto"/>
        </w:rPr>
        <w:t>9.2 延误的试验</w:t>
      </w:r>
      <w:r>
        <w:rPr>
          <w:color w:val="auto"/>
        </w:rPr>
        <w:tab/>
      </w:r>
    </w:p>
    <w:p w14:paraId="17566848">
      <w:pPr>
        <w:pStyle w:val="20"/>
        <w:tabs>
          <w:tab w:val="right" w:leader="dot" w:pos="8296"/>
        </w:tabs>
        <w:ind w:left="960"/>
        <w:rPr>
          <w:rFonts w:ascii="等线" w:hAnsi="等线" w:eastAsia="等线"/>
          <w:color w:val="auto"/>
          <w:sz w:val="21"/>
          <w:szCs w:val="22"/>
        </w:rPr>
      </w:pPr>
      <w:r>
        <w:rPr>
          <w:bCs/>
          <w:color w:val="auto"/>
        </w:rPr>
        <w:t>9.3 重新试验</w:t>
      </w:r>
      <w:r>
        <w:rPr>
          <w:color w:val="auto"/>
        </w:rPr>
        <w:tab/>
      </w:r>
    </w:p>
    <w:p w14:paraId="4225643A">
      <w:pPr>
        <w:pStyle w:val="20"/>
        <w:tabs>
          <w:tab w:val="right" w:leader="dot" w:pos="8296"/>
        </w:tabs>
        <w:ind w:left="960"/>
        <w:rPr>
          <w:rFonts w:ascii="等线" w:hAnsi="等线" w:eastAsia="等线"/>
          <w:color w:val="auto"/>
          <w:sz w:val="21"/>
          <w:szCs w:val="22"/>
        </w:rPr>
      </w:pPr>
      <w:r>
        <w:rPr>
          <w:bCs/>
          <w:color w:val="auto"/>
        </w:rPr>
        <w:t>9.4 未能通过竣工试验</w:t>
      </w:r>
      <w:r>
        <w:rPr>
          <w:color w:val="auto"/>
        </w:rPr>
        <w:tab/>
      </w:r>
    </w:p>
    <w:p w14:paraId="30C5C6BB">
      <w:pPr>
        <w:pStyle w:val="17"/>
        <w:tabs>
          <w:tab w:val="right" w:leader="dot" w:pos="8296"/>
        </w:tabs>
        <w:ind w:left="480"/>
        <w:rPr>
          <w:rFonts w:ascii="等线" w:hAnsi="等线" w:eastAsia="等线"/>
          <w:color w:val="auto"/>
          <w:sz w:val="21"/>
          <w:szCs w:val="22"/>
        </w:rPr>
      </w:pPr>
      <w:r>
        <w:rPr>
          <w:bCs/>
          <w:color w:val="auto"/>
        </w:rPr>
        <w:t>第10条 验收和工程接收</w:t>
      </w:r>
      <w:r>
        <w:rPr>
          <w:color w:val="auto"/>
        </w:rPr>
        <w:tab/>
      </w:r>
    </w:p>
    <w:p w14:paraId="15E8AD10">
      <w:pPr>
        <w:pStyle w:val="20"/>
        <w:tabs>
          <w:tab w:val="right" w:leader="dot" w:pos="8296"/>
        </w:tabs>
        <w:ind w:left="960"/>
        <w:rPr>
          <w:rFonts w:ascii="等线" w:hAnsi="等线" w:eastAsia="等线"/>
          <w:color w:val="auto"/>
          <w:sz w:val="21"/>
          <w:szCs w:val="22"/>
        </w:rPr>
      </w:pPr>
      <w:r>
        <w:rPr>
          <w:bCs/>
          <w:color w:val="auto"/>
        </w:rPr>
        <w:t>10.1 竣工验收</w:t>
      </w:r>
      <w:r>
        <w:rPr>
          <w:color w:val="auto"/>
        </w:rPr>
        <w:tab/>
      </w:r>
    </w:p>
    <w:p w14:paraId="3C152359">
      <w:pPr>
        <w:pStyle w:val="20"/>
        <w:tabs>
          <w:tab w:val="right" w:leader="dot" w:pos="8296"/>
        </w:tabs>
        <w:ind w:left="960"/>
        <w:rPr>
          <w:rFonts w:ascii="等线" w:hAnsi="等线" w:eastAsia="等线"/>
          <w:color w:val="auto"/>
          <w:sz w:val="21"/>
          <w:szCs w:val="22"/>
        </w:rPr>
      </w:pPr>
      <w:r>
        <w:rPr>
          <w:bCs/>
          <w:color w:val="auto"/>
        </w:rPr>
        <w:t>10.2 单位/区段工程的验收</w:t>
      </w:r>
      <w:r>
        <w:rPr>
          <w:color w:val="auto"/>
        </w:rPr>
        <w:tab/>
      </w:r>
    </w:p>
    <w:p w14:paraId="7F56D20A">
      <w:pPr>
        <w:pStyle w:val="20"/>
        <w:tabs>
          <w:tab w:val="right" w:leader="dot" w:pos="8296"/>
        </w:tabs>
        <w:ind w:left="960"/>
        <w:rPr>
          <w:rFonts w:ascii="等线" w:hAnsi="等线" w:eastAsia="等线"/>
          <w:color w:val="auto"/>
          <w:sz w:val="21"/>
          <w:szCs w:val="22"/>
        </w:rPr>
      </w:pPr>
      <w:r>
        <w:rPr>
          <w:bCs/>
          <w:color w:val="auto"/>
        </w:rPr>
        <w:t>10.3 工程的接收</w:t>
      </w:r>
      <w:r>
        <w:rPr>
          <w:color w:val="auto"/>
        </w:rPr>
        <w:tab/>
      </w:r>
    </w:p>
    <w:p w14:paraId="32B807ED">
      <w:pPr>
        <w:pStyle w:val="20"/>
        <w:tabs>
          <w:tab w:val="right" w:leader="dot" w:pos="8296"/>
        </w:tabs>
        <w:ind w:left="960"/>
        <w:rPr>
          <w:rFonts w:ascii="等线" w:hAnsi="等线" w:eastAsia="等线"/>
          <w:color w:val="auto"/>
          <w:sz w:val="21"/>
          <w:szCs w:val="22"/>
        </w:rPr>
      </w:pPr>
      <w:r>
        <w:rPr>
          <w:bCs/>
          <w:color w:val="auto"/>
        </w:rPr>
        <w:t>10.4 接收证书</w:t>
      </w:r>
      <w:r>
        <w:rPr>
          <w:color w:val="auto"/>
        </w:rPr>
        <w:tab/>
      </w:r>
    </w:p>
    <w:p w14:paraId="0934F15D">
      <w:pPr>
        <w:pStyle w:val="20"/>
        <w:tabs>
          <w:tab w:val="right" w:leader="dot" w:pos="8296"/>
        </w:tabs>
        <w:ind w:left="960"/>
        <w:rPr>
          <w:rFonts w:ascii="等线" w:hAnsi="等线" w:eastAsia="等线"/>
          <w:color w:val="auto"/>
          <w:sz w:val="21"/>
          <w:szCs w:val="22"/>
        </w:rPr>
      </w:pPr>
      <w:r>
        <w:rPr>
          <w:bCs/>
          <w:color w:val="auto"/>
        </w:rPr>
        <w:t>10.5 竣工退场</w:t>
      </w:r>
      <w:r>
        <w:rPr>
          <w:color w:val="auto"/>
        </w:rPr>
        <w:tab/>
      </w:r>
    </w:p>
    <w:p w14:paraId="7E767217">
      <w:pPr>
        <w:pStyle w:val="17"/>
        <w:tabs>
          <w:tab w:val="right" w:leader="dot" w:pos="8296"/>
        </w:tabs>
        <w:ind w:left="480"/>
        <w:rPr>
          <w:rFonts w:ascii="等线" w:hAnsi="等线" w:eastAsia="等线"/>
          <w:color w:val="auto"/>
          <w:sz w:val="21"/>
          <w:szCs w:val="22"/>
        </w:rPr>
      </w:pPr>
      <w:r>
        <w:rPr>
          <w:bCs/>
          <w:color w:val="auto"/>
        </w:rPr>
        <w:t>第11条 缺陷责任与保修</w:t>
      </w:r>
      <w:r>
        <w:rPr>
          <w:color w:val="auto"/>
        </w:rPr>
        <w:tab/>
      </w:r>
    </w:p>
    <w:p w14:paraId="528F80AC">
      <w:pPr>
        <w:pStyle w:val="20"/>
        <w:tabs>
          <w:tab w:val="right" w:leader="dot" w:pos="8296"/>
        </w:tabs>
        <w:ind w:left="960"/>
        <w:rPr>
          <w:rFonts w:ascii="等线" w:hAnsi="等线" w:eastAsia="等线"/>
          <w:color w:val="auto"/>
          <w:sz w:val="21"/>
          <w:szCs w:val="22"/>
        </w:rPr>
      </w:pPr>
      <w:r>
        <w:rPr>
          <w:bCs/>
          <w:color w:val="auto"/>
        </w:rPr>
        <w:t>11.1 工程保修的原则</w:t>
      </w:r>
      <w:r>
        <w:rPr>
          <w:color w:val="auto"/>
        </w:rPr>
        <w:tab/>
      </w:r>
    </w:p>
    <w:p w14:paraId="7FFD6FFB">
      <w:pPr>
        <w:pStyle w:val="20"/>
        <w:tabs>
          <w:tab w:val="right" w:leader="dot" w:pos="8296"/>
        </w:tabs>
        <w:ind w:left="960"/>
        <w:rPr>
          <w:rFonts w:ascii="等线" w:hAnsi="等线" w:eastAsia="等线"/>
          <w:color w:val="auto"/>
          <w:sz w:val="21"/>
          <w:szCs w:val="22"/>
        </w:rPr>
      </w:pPr>
      <w:r>
        <w:rPr>
          <w:bCs/>
          <w:color w:val="auto"/>
        </w:rPr>
        <w:t>11.2 缺陷责任期</w:t>
      </w:r>
      <w:r>
        <w:rPr>
          <w:color w:val="auto"/>
        </w:rPr>
        <w:tab/>
      </w:r>
    </w:p>
    <w:p w14:paraId="34BEEB04">
      <w:pPr>
        <w:pStyle w:val="20"/>
        <w:tabs>
          <w:tab w:val="right" w:leader="dot" w:pos="8296"/>
        </w:tabs>
        <w:ind w:left="960"/>
        <w:rPr>
          <w:rFonts w:ascii="等线" w:hAnsi="等线" w:eastAsia="等线"/>
          <w:color w:val="auto"/>
          <w:sz w:val="21"/>
          <w:szCs w:val="22"/>
        </w:rPr>
      </w:pPr>
      <w:r>
        <w:rPr>
          <w:bCs/>
          <w:color w:val="auto"/>
        </w:rPr>
        <w:t>11.3 缺陷调查</w:t>
      </w:r>
      <w:r>
        <w:rPr>
          <w:color w:val="auto"/>
        </w:rPr>
        <w:tab/>
      </w:r>
    </w:p>
    <w:p w14:paraId="3D65831A">
      <w:pPr>
        <w:pStyle w:val="20"/>
        <w:tabs>
          <w:tab w:val="right" w:leader="dot" w:pos="8296"/>
        </w:tabs>
        <w:ind w:left="960"/>
        <w:rPr>
          <w:rFonts w:ascii="等线" w:hAnsi="等线" w:eastAsia="等线"/>
          <w:color w:val="auto"/>
          <w:sz w:val="21"/>
          <w:szCs w:val="22"/>
        </w:rPr>
      </w:pPr>
      <w:r>
        <w:rPr>
          <w:bCs/>
          <w:color w:val="auto"/>
        </w:rPr>
        <w:t>11.4 缺陷修复后的进一步试验</w:t>
      </w:r>
      <w:r>
        <w:rPr>
          <w:color w:val="auto"/>
        </w:rPr>
        <w:tab/>
      </w:r>
    </w:p>
    <w:p w14:paraId="4E7BBF23">
      <w:pPr>
        <w:pStyle w:val="20"/>
        <w:tabs>
          <w:tab w:val="right" w:leader="dot" w:pos="8296"/>
        </w:tabs>
        <w:ind w:left="960"/>
        <w:rPr>
          <w:rFonts w:ascii="等线" w:hAnsi="等线" w:eastAsia="等线"/>
          <w:color w:val="auto"/>
          <w:sz w:val="21"/>
          <w:szCs w:val="22"/>
        </w:rPr>
      </w:pPr>
      <w:r>
        <w:rPr>
          <w:bCs/>
          <w:color w:val="auto"/>
        </w:rPr>
        <w:t>11.5 承包人出入权</w:t>
      </w:r>
      <w:r>
        <w:rPr>
          <w:color w:val="auto"/>
        </w:rPr>
        <w:tab/>
      </w:r>
    </w:p>
    <w:p w14:paraId="4F2E11D8">
      <w:pPr>
        <w:pStyle w:val="20"/>
        <w:tabs>
          <w:tab w:val="right" w:leader="dot" w:pos="8296"/>
        </w:tabs>
        <w:ind w:left="960"/>
        <w:rPr>
          <w:rFonts w:ascii="等线" w:hAnsi="等线" w:eastAsia="等线"/>
          <w:color w:val="auto"/>
          <w:sz w:val="21"/>
          <w:szCs w:val="22"/>
        </w:rPr>
      </w:pPr>
      <w:r>
        <w:rPr>
          <w:bCs/>
          <w:color w:val="auto"/>
        </w:rPr>
        <w:t>11.6 缺陷责任期终止证书</w:t>
      </w:r>
      <w:r>
        <w:rPr>
          <w:color w:val="auto"/>
        </w:rPr>
        <w:tab/>
      </w:r>
    </w:p>
    <w:p w14:paraId="7E51037B">
      <w:pPr>
        <w:pStyle w:val="20"/>
        <w:tabs>
          <w:tab w:val="right" w:leader="dot" w:pos="8296"/>
        </w:tabs>
        <w:ind w:left="960"/>
        <w:rPr>
          <w:rFonts w:ascii="等线" w:hAnsi="等线" w:eastAsia="等线"/>
          <w:color w:val="auto"/>
          <w:sz w:val="21"/>
          <w:szCs w:val="22"/>
        </w:rPr>
      </w:pPr>
      <w:r>
        <w:rPr>
          <w:bCs/>
          <w:color w:val="auto"/>
        </w:rPr>
        <w:t>11.7 保修责任</w:t>
      </w:r>
      <w:r>
        <w:rPr>
          <w:color w:val="auto"/>
        </w:rPr>
        <w:tab/>
      </w:r>
    </w:p>
    <w:p w14:paraId="0305F4AC">
      <w:pPr>
        <w:pStyle w:val="17"/>
        <w:tabs>
          <w:tab w:val="right" w:leader="dot" w:pos="8296"/>
        </w:tabs>
        <w:ind w:left="480"/>
        <w:rPr>
          <w:rFonts w:ascii="等线" w:hAnsi="等线" w:eastAsia="等线"/>
          <w:color w:val="auto"/>
          <w:sz w:val="21"/>
          <w:szCs w:val="22"/>
        </w:rPr>
      </w:pPr>
      <w:r>
        <w:rPr>
          <w:bCs/>
          <w:color w:val="auto"/>
        </w:rPr>
        <w:t>第12条 竣工后试验</w:t>
      </w:r>
      <w:r>
        <w:rPr>
          <w:color w:val="auto"/>
        </w:rPr>
        <w:tab/>
      </w:r>
    </w:p>
    <w:p w14:paraId="473BA0F1">
      <w:pPr>
        <w:pStyle w:val="20"/>
        <w:tabs>
          <w:tab w:val="right" w:leader="dot" w:pos="8296"/>
        </w:tabs>
        <w:ind w:left="960"/>
        <w:rPr>
          <w:rFonts w:ascii="等线" w:hAnsi="等线" w:eastAsia="等线"/>
          <w:color w:val="auto"/>
          <w:sz w:val="21"/>
          <w:szCs w:val="22"/>
        </w:rPr>
      </w:pPr>
      <w:r>
        <w:rPr>
          <w:bCs/>
          <w:color w:val="auto"/>
        </w:rPr>
        <w:t>12.1 竣工后试验的程序</w:t>
      </w:r>
      <w:r>
        <w:rPr>
          <w:color w:val="auto"/>
        </w:rPr>
        <w:tab/>
      </w:r>
    </w:p>
    <w:p w14:paraId="6BE5D733">
      <w:pPr>
        <w:pStyle w:val="20"/>
        <w:tabs>
          <w:tab w:val="right" w:leader="dot" w:pos="8296"/>
        </w:tabs>
        <w:ind w:left="960"/>
        <w:rPr>
          <w:rFonts w:ascii="等线" w:hAnsi="等线" w:eastAsia="等线"/>
          <w:color w:val="auto"/>
          <w:sz w:val="21"/>
          <w:szCs w:val="22"/>
        </w:rPr>
      </w:pPr>
      <w:r>
        <w:rPr>
          <w:bCs/>
          <w:color w:val="auto"/>
        </w:rPr>
        <w:t>12.2 延误的试验</w:t>
      </w:r>
      <w:r>
        <w:rPr>
          <w:color w:val="auto"/>
        </w:rPr>
        <w:tab/>
      </w:r>
    </w:p>
    <w:p w14:paraId="089715CE">
      <w:pPr>
        <w:pStyle w:val="20"/>
        <w:tabs>
          <w:tab w:val="right" w:leader="dot" w:pos="8296"/>
        </w:tabs>
        <w:ind w:left="960"/>
        <w:rPr>
          <w:rFonts w:ascii="等线" w:hAnsi="等线" w:eastAsia="等线"/>
          <w:color w:val="auto"/>
          <w:sz w:val="21"/>
          <w:szCs w:val="22"/>
        </w:rPr>
      </w:pPr>
      <w:r>
        <w:rPr>
          <w:bCs/>
          <w:color w:val="auto"/>
        </w:rPr>
        <w:t>12.3 重新试验</w:t>
      </w:r>
      <w:r>
        <w:rPr>
          <w:color w:val="auto"/>
        </w:rPr>
        <w:tab/>
      </w:r>
    </w:p>
    <w:p w14:paraId="2AAE7318">
      <w:pPr>
        <w:pStyle w:val="20"/>
        <w:tabs>
          <w:tab w:val="right" w:leader="dot" w:pos="8296"/>
        </w:tabs>
        <w:ind w:left="960"/>
        <w:rPr>
          <w:rFonts w:ascii="等线" w:hAnsi="等线" w:eastAsia="等线"/>
          <w:color w:val="auto"/>
          <w:sz w:val="21"/>
          <w:szCs w:val="22"/>
        </w:rPr>
      </w:pPr>
      <w:r>
        <w:rPr>
          <w:bCs/>
          <w:color w:val="auto"/>
        </w:rPr>
        <w:t>12.4 未能通过竣工后试验</w:t>
      </w:r>
      <w:r>
        <w:rPr>
          <w:color w:val="auto"/>
        </w:rPr>
        <w:tab/>
      </w:r>
    </w:p>
    <w:p w14:paraId="1D7481EA">
      <w:pPr>
        <w:pStyle w:val="17"/>
        <w:tabs>
          <w:tab w:val="right" w:leader="dot" w:pos="8296"/>
        </w:tabs>
        <w:ind w:left="480"/>
        <w:rPr>
          <w:rFonts w:ascii="等线" w:hAnsi="等线" w:eastAsia="等线"/>
          <w:color w:val="auto"/>
          <w:sz w:val="21"/>
          <w:szCs w:val="22"/>
        </w:rPr>
      </w:pPr>
      <w:r>
        <w:rPr>
          <w:bCs/>
          <w:color w:val="auto"/>
        </w:rPr>
        <w:t>第13条 变更与调整</w:t>
      </w:r>
      <w:r>
        <w:rPr>
          <w:color w:val="auto"/>
        </w:rPr>
        <w:tab/>
      </w:r>
    </w:p>
    <w:p w14:paraId="444FB9C6">
      <w:pPr>
        <w:pStyle w:val="20"/>
        <w:tabs>
          <w:tab w:val="right" w:leader="dot" w:pos="8296"/>
        </w:tabs>
        <w:ind w:left="960"/>
        <w:rPr>
          <w:rFonts w:ascii="等线" w:hAnsi="等线" w:eastAsia="等线"/>
          <w:color w:val="auto"/>
          <w:sz w:val="21"/>
          <w:szCs w:val="22"/>
        </w:rPr>
      </w:pPr>
      <w:r>
        <w:rPr>
          <w:bCs/>
          <w:color w:val="auto"/>
        </w:rPr>
        <w:t>13.1 发包人变更权</w:t>
      </w:r>
      <w:r>
        <w:rPr>
          <w:color w:val="auto"/>
        </w:rPr>
        <w:tab/>
      </w:r>
    </w:p>
    <w:p w14:paraId="3068487E">
      <w:pPr>
        <w:pStyle w:val="20"/>
        <w:tabs>
          <w:tab w:val="right" w:leader="dot" w:pos="8296"/>
        </w:tabs>
        <w:ind w:left="960"/>
        <w:rPr>
          <w:rFonts w:ascii="等线" w:hAnsi="等线" w:eastAsia="等线"/>
          <w:color w:val="auto"/>
          <w:sz w:val="21"/>
          <w:szCs w:val="22"/>
        </w:rPr>
      </w:pPr>
      <w:r>
        <w:rPr>
          <w:bCs/>
          <w:color w:val="auto"/>
        </w:rPr>
        <w:t>13.2 承包人的合理化建议</w:t>
      </w:r>
      <w:r>
        <w:rPr>
          <w:color w:val="auto"/>
        </w:rPr>
        <w:tab/>
      </w:r>
    </w:p>
    <w:p w14:paraId="710997B4">
      <w:pPr>
        <w:pStyle w:val="20"/>
        <w:tabs>
          <w:tab w:val="right" w:leader="dot" w:pos="8296"/>
        </w:tabs>
        <w:ind w:left="960"/>
        <w:rPr>
          <w:rFonts w:ascii="等线" w:hAnsi="等线" w:eastAsia="等线"/>
          <w:color w:val="auto"/>
          <w:sz w:val="21"/>
          <w:szCs w:val="22"/>
        </w:rPr>
      </w:pPr>
      <w:r>
        <w:rPr>
          <w:bCs/>
          <w:color w:val="auto"/>
        </w:rPr>
        <w:t>13.3 变更程序</w:t>
      </w:r>
      <w:r>
        <w:rPr>
          <w:color w:val="auto"/>
        </w:rPr>
        <w:tab/>
      </w:r>
    </w:p>
    <w:p w14:paraId="6B6618D5">
      <w:pPr>
        <w:pStyle w:val="20"/>
        <w:tabs>
          <w:tab w:val="right" w:leader="dot" w:pos="8296"/>
        </w:tabs>
        <w:ind w:left="960"/>
        <w:rPr>
          <w:rFonts w:ascii="等线" w:hAnsi="等线" w:eastAsia="等线"/>
          <w:color w:val="auto"/>
          <w:sz w:val="21"/>
          <w:szCs w:val="22"/>
        </w:rPr>
      </w:pPr>
      <w:r>
        <w:rPr>
          <w:bCs/>
          <w:color w:val="auto"/>
        </w:rPr>
        <w:t>13.4 暂估价</w:t>
      </w:r>
      <w:r>
        <w:rPr>
          <w:color w:val="auto"/>
        </w:rPr>
        <w:tab/>
      </w:r>
    </w:p>
    <w:p w14:paraId="6FCCDBF9">
      <w:pPr>
        <w:pStyle w:val="20"/>
        <w:tabs>
          <w:tab w:val="right" w:leader="dot" w:pos="8296"/>
        </w:tabs>
        <w:ind w:left="960"/>
        <w:rPr>
          <w:rFonts w:ascii="等线" w:hAnsi="等线" w:eastAsia="等线"/>
          <w:color w:val="auto"/>
          <w:sz w:val="21"/>
          <w:szCs w:val="22"/>
        </w:rPr>
      </w:pPr>
      <w:r>
        <w:rPr>
          <w:bCs/>
          <w:color w:val="auto"/>
        </w:rPr>
        <w:t>13.5 暂列金额</w:t>
      </w:r>
      <w:r>
        <w:rPr>
          <w:color w:val="auto"/>
        </w:rPr>
        <w:tab/>
      </w:r>
    </w:p>
    <w:p w14:paraId="07137C62">
      <w:pPr>
        <w:pStyle w:val="20"/>
        <w:tabs>
          <w:tab w:val="right" w:leader="dot" w:pos="8296"/>
        </w:tabs>
        <w:ind w:left="960"/>
        <w:rPr>
          <w:rFonts w:ascii="等线" w:hAnsi="等线" w:eastAsia="等线"/>
          <w:color w:val="auto"/>
          <w:sz w:val="21"/>
          <w:szCs w:val="22"/>
        </w:rPr>
      </w:pPr>
      <w:r>
        <w:rPr>
          <w:bCs/>
          <w:color w:val="auto"/>
        </w:rPr>
        <w:t>13.6 计日工</w:t>
      </w:r>
      <w:r>
        <w:rPr>
          <w:color w:val="auto"/>
        </w:rPr>
        <w:tab/>
      </w:r>
    </w:p>
    <w:p w14:paraId="064B0C80">
      <w:pPr>
        <w:pStyle w:val="20"/>
        <w:tabs>
          <w:tab w:val="right" w:leader="dot" w:pos="8296"/>
        </w:tabs>
        <w:ind w:left="960"/>
        <w:rPr>
          <w:rFonts w:ascii="等线" w:hAnsi="等线" w:eastAsia="等线"/>
          <w:color w:val="auto"/>
          <w:sz w:val="21"/>
          <w:szCs w:val="22"/>
        </w:rPr>
      </w:pPr>
      <w:r>
        <w:rPr>
          <w:bCs/>
          <w:color w:val="auto"/>
        </w:rPr>
        <w:t>13.7 法律变化引起的调整</w:t>
      </w:r>
      <w:r>
        <w:rPr>
          <w:color w:val="auto"/>
        </w:rPr>
        <w:tab/>
      </w:r>
    </w:p>
    <w:p w14:paraId="3326E0E3">
      <w:pPr>
        <w:pStyle w:val="20"/>
        <w:tabs>
          <w:tab w:val="right" w:leader="dot" w:pos="8296"/>
        </w:tabs>
        <w:ind w:left="960"/>
        <w:rPr>
          <w:rFonts w:ascii="等线" w:hAnsi="等线" w:eastAsia="等线"/>
          <w:color w:val="auto"/>
          <w:sz w:val="21"/>
          <w:szCs w:val="22"/>
        </w:rPr>
      </w:pPr>
      <w:r>
        <w:rPr>
          <w:bCs/>
          <w:color w:val="auto"/>
        </w:rPr>
        <w:t>13.8 市场价格波动引起的调整</w:t>
      </w:r>
      <w:r>
        <w:rPr>
          <w:color w:val="auto"/>
        </w:rPr>
        <w:tab/>
      </w:r>
    </w:p>
    <w:p w14:paraId="3B87A18F">
      <w:pPr>
        <w:pStyle w:val="17"/>
        <w:tabs>
          <w:tab w:val="right" w:leader="dot" w:pos="8296"/>
        </w:tabs>
        <w:ind w:left="480"/>
        <w:rPr>
          <w:rFonts w:ascii="等线" w:hAnsi="等线" w:eastAsia="等线"/>
          <w:color w:val="auto"/>
          <w:sz w:val="21"/>
          <w:szCs w:val="22"/>
        </w:rPr>
      </w:pPr>
      <w:r>
        <w:rPr>
          <w:bCs/>
          <w:color w:val="auto"/>
        </w:rPr>
        <w:t>第14条 合同价格与支付</w:t>
      </w:r>
      <w:r>
        <w:rPr>
          <w:color w:val="auto"/>
        </w:rPr>
        <w:tab/>
      </w:r>
    </w:p>
    <w:p w14:paraId="39BF5493">
      <w:pPr>
        <w:pStyle w:val="20"/>
        <w:tabs>
          <w:tab w:val="right" w:leader="dot" w:pos="8296"/>
        </w:tabs>
        <w:ind w:left="960"/>
        <w:rPr>
          <w:rFonts w:ascii="等线" w:hAnsi="等线" w:eastAsia="等线"/>
          <w:color w:val="auto"/>
          <w:sz w:val="21"/>
          <w:szCs w:val="22"/>
        </w:rPr>
      </w:pPr>
      <w:r>
        <w:rPr>
          <w:bCs/>
          <w:color w:val="auto"/>
        </w:rPr>
        <w:t>14.1 合同价格形式</w:t>
      </w:r>
      <w:r>
        <w:rPr>
          <w:color w:val="auto"/>
        </w:rPr>
        <w:tab/>
      </w:r>
    </w:p>
    <w:p w14:paraId="2B3B2A78">
      <w:pPr>
        <w:pStyle w:val="20"/>
        <w:tabs>
          <w:tab w:val="right" w:leader="dot" w:pos="8296"/>
        </w:tabs>
        <w:ind w:left="960"/>
        <w:rPr>
          <w:rFonts w:ascii="等线" w:hAnsi="等线" w:eastAsia="等线"/>
          <w:color w:val="auto"/>
          <w:sz w:val="21"/>
          <w:szCs w:val="22"/>
        </w:rPr>
      </w:pPr>
      <w:r>
        <w:rPr>
          <w:bCs/>
          <w:color w:val="auto"/>
        </w:rPr>
        <w:t>14.2 预付款</w:t>
      </w:r>
      <w:r>
        <w:rPr>
          <w:color w:val="auto"/>
        </w:rPr>
        <w:tab/>
      </w:r>
    </w:p>
    <w:p w14:paraId="0D6CF797">
      <w:pPr>
        <w:pStyle w:val="20"/>
        <w:tabs>
          <w:tab w:val="right" w:leader="dot" w:pos="8296"/>
        </w:tabs>
        <w:ind w:left="960"/>
        <w:rPr>
          <w:rFonts w:ascii="等线" w:hAnsi="等线" w:eastAsia="等线"/>
          <w:color w:val="auto"/>
          <w:sz w:val="21"/>
          <w:szCs w:val="22"/>
        </w:rPr>
      </w:pPr>
      <w:r>
        <w:rPr>
          <w:bCs/>
          <w:color w:val="auto"/>
        </w:rPr>
        <w:t>14.3 工程进度款</w:t>
      </w:r>
      <w:r>
        <w:rPr>
          <w:color w:val="auto"/>
        </w:rPr>
        <w:tab/>
      </w:r>
    </w:p>
    <w:p w14:paraId="388CA43C">
      <w:pPr>
        <w:pStyle w:val="20"/>
        <w:tabs>
          <w:tab w:val="right" w:leader="dot" w:pos="8296"/>
        </w:tabs>
        <w:ind w:left="960"/>
        <w:rPr>
          <w:rFonts w:ascii="等线" w:hAnsi="等线" w:eastAsia="等线"/>
          <w:color w:val="auto"/>
          <w:sz w:val="21"/>
          <w:szCs w:val="22"/>
        </w:rPr>
      </w:pPr>
      <w:r>
        <w:rPr>
          <w:bCs/>
          <w:color w:val="auto"/>
        </w:rPr>
        <w:t>14.4 付款计划表</w:t>
      </w:r>
      <w:r>
        <w:rPr>
          <w:color w:val="auto"/>
        </w:rPr>
        <w:tab/>
      </w:r>
    </w:p>
    <w:p w14:paraId="0BCAADD0">
      <w:pPr>
        <w:pStyle w:val="20"/>
        <w:tabs>
          <w:tab w:val="right" w:leader="dot" w:pos="8296"/>
        </w:tabs>
        <w:ind w:left="960"/>
        <w:rPr>
          <w:rFonts w:ascii="等线" w:hAnsi="等线" w:eastAsia="等线"/>
          <w:color w:val="auto"/>
          <w:sz w:val="21"/>
          <w:szCs w:val="22"/>
        </w:rPr>
      </w:pPr>
      <w:r>
        <w:rPr>
          <w:bCs/>
          <w:color w:val="auto"/>
        </w:rPr>
        <w:t>14.5 竣工结算</w:t>
      </w:r>
      <w:r>
        <w:rPr>
          <w:color w:val="auto"/>
        </w:rPr>
        <w:tab/>
      </w:r>
    </w:p>
    <w:p w14:paraId="16755731">
      <w:pPr>
        <w:pStyle w:val="20"/>
        <w:tabs>
          <w:tab w:val="right" w:leader="dot" w:pos="8296"/>
        </w:tabs>
        <w:ind w:left="960"/>
        <w:rPr>
          <w:rFonts w:ascii="等线" w:hAnsi="等线" w:eastAsia="等线"/>
          <w:color w:val="auto"/>
          <w:sz w:val="21"/>
          <w:szCs w:val="22"/>
        </w:rPr>
      </w:pPr>
      <w:r>
        <w:rPr>
          <w:bCs/>
          <w:color w:val="auto"/>
        </w:rPr>
        <w:t>14.6 质量保证金</w:t>
      </w:r>
      <w:r>
        <w:rPr>
          <w:color w:val="auto"/>
        </w:rPr>
        <w:tab/>
      </w:r>
    </w:p>
    <w:p w14:paraId="716C730E">
      <w:pPr>
        <w:pStyle w:val="20"/>
        <w:tabs>
          <w:tab w:val="right" w:leader="dot" w:pos="8296"/>
        </w:tabs>
        <w:ind w:left="960"/>
        <w:rPr>
          <w:rFonts w:ascii="等线" w:hAnsi="等线" w:eastAsia="等线"/>
          <w:color w:val="auto"/>
          <w:sz w:val="21"/>
          <w:szCs w:val="22"/>
        </w:rPr>
      </w:pPr>
      <w:r>
        <w:rPr>
          <w:bCs/>
          <w:color w:val="auto"/>
        </w:rPr>
        <w:t>14.7 最终结清</w:t>
      </w:r>
      <w:r>
        <w:rPr>
          <w:color w:val="auto"/>
        </w:rPr>
        <w:tab/>
      </w:r>
    </w:p>
    <w:p w14:paraId="474FF091">
      <w:pPr>
        <w:pStyle w:val="17"/>
        <w:tabs>
          <w:tab w:val="right" w:leader="dot" w:pos="8296"/>
        </w:tabs>
        <w:ind w:left="480"/>
        <w:rPr>
          <w:rFonts w:ascii="等线" w:hAnsi="等线" w:eastAsia="等线"/>
          <w:color w:val="auto"/>
          <w:sz w:val="21"/>
          <w:szCs w:val="22"/>
        </w:rPr>
      </w:pPr>
      <w:r>
        <w:rPr>
          <w:bCs/>
          <w:color w:val="auto"/>
        </w:rPr>
        <w:t>第15条 违约</w:t>
      </w:r>
      <w:r>
        <w:rPr>
          <w:color w:val="auto"/>
        </w:rPr>
        <w:tab/>
      </w:r>
    </w:p>
    <w:p w14:paraId="16CAAE47">
      <w:pPr>
        <w:pStyle w:val="20"/>
        <w:tabs>
          <w:tab w:val="right" w:leader="dot" w:pos="8296"/>
        </w:tabs>
        <w:ind w:left="960"/>
        <w:rPr>
          <w:rFonts w:ascii="等线" w:hAnsi="等线" w:eastAsia="等线"/>
          <w:color w:val="auto"/>
          <w:sz w:val="21"/>
          <w:szCs w:val="22"/>
        </w:rPr>
      </w:pPr>
      <w:r>
        <w:rPr>
          <w:bCs/>
          <w:color w:val="auto"/>
        </w:rPr>
        <w:t>15.1 发包人违约</w:t>
      </w:r>
      <w:r>
        <w:rPr>
          <w:color w:val="auto"/>
        </w:rPr>
        <w:tab/>
      </w:r>
    </w:p>
    <w:p w14:paraId="5678B859">
      <w:pPr>
        <w:pStyle w:val="20"/>
        <w:tabs>
          <w:tab w:val="right" w:leader="dot" w:pos="8296"/>
        </w:tabs>
        <w:ind w:left="960"/>
        <w:rPr>
          <w:rFonts w:ascii="等线" w:hAnsi="等线" w:eastAsia="等线"/>
          <w:color w:val="auto"/>
          <w:sz w:val="21"/>
          <w:szCs w:val="22"/>
        </w:rPr>
      </w:pPr>
      <w:r>
        <w:rPr>
          <w:bCs/>
          <w:color w:val="auto"/>
        </w:rPr>
        <w:t>15.2 承包人违约</w:t>
      </w:r>
      <w:r>
        <w:rPr>
          <w:color w:val="auto"/>
        </w:rPr>
        <w:tab/>
      </w:r>
    </w:p>
    <w:p w14:paraId="126E889B">
      <w:pPr>
        <w:pStyle w:val="20"/>
        <w:tabs>
          <w:tab w:val="right" w:leader="dot" w:pos="8296"/>
        </w:tabs>
        <w:ind w:left="960"/>
        <w:rPr>
          <w:rFonts w:ascii="等线" w:hAnsi="等线" w:eastAsia="等线"/>
          <w:color w:val="auto"/>
          <w:sz w:val="21"/>
          <w:szCs w:val="22"/>
        </w:rPr>
      </w:pPr>
      <w:r>
        <w:rPr>
          <w:bCs/>
          <w:color w:val="auto"/>
        </w:rPr>
        <w:t>15.3 第三人造成的违约</w:t>
      </w:r>
      <w:r>
        <w:rPr>
          <w:color w:val="auto"/>
        </w:rPr>
        <w:tab/>
      </w:r>
    </w:p>
    <w:p w14:paraId="304DD5CB">
      <w:pPr>
        <w:pStyle w:val="17"/>
        <w:tabs>
          <w:tab w:val="right" w:leader="dot" w:pos="8296"/>
        </w:tabs>
        <w:ind w:left="480"/>
        <w:rPr>
          <w:rFonts w:ascii="等线" w:hAnsi="等线" w:eastAsia="等线"/>
          <w:color w:val="auto"/>
          <w:sz w:val="21"/>
          <w:szCs w:val="22"/>
        </w:rPr>
      </w:pPr>
      <w:r>
        <w:rPr>
          <w:bCs/>
          <w:color w:val="auto"/>
        </w:rPr>
        <w:t>第16条 合同解除</w:t>
      </w:r>
      <w:r>
        <w:rPr>
          <w:color w:val="auto"/>
        </w:rPr>
        <w:tab/>
      </w:r>
    </w:p>
    <w:p w14:paraId="0EF7D241">
      <w:pPr>
        <w:pStyle w:val="20"/>
        <w:tabs>
          <w:tab w:val="right" w:leader="dot" w:pos="8296"/>
        </w:tabs>
        <w:ind w:left="960"/>
        <w:rPr>
          <w:rFonts w:ascii="等线" w:hAnsi="等线" w:eastAsia="等线"/>
          <w:color w:val="auto"/>
          <w:sz w:val="21"/>
          <w:szCs w:val="22"/>
        </w:rPr>
      </w:pPr>
      <w:r>
        <w:rPr>
          <w:bCs/>
          <w:color w:val="auto"/>
        </w:rPr>
        <w:t>16.1 由发包人解除合同</w:t>
      </w:r>
      <w:r>
        <w:rPr>
          <w:color w:val="auto"/>
        </w:rPr>
        <w:tab/>
      </w:r>
    </w:p>
    <w:p w14:paraId="0CB7F6C4">
      <w:pPr>
        <w:pStyle w:val="20"/>
        <w:tabs>
          <w:tab w:val="right" w:leader="dot" w:pos="8296"/>
        </w:tabs>
        <w:ind w:left="960"/>
        <w:rPr>
          <w:rFonts w:ascii="等线" w:hAnsi="等线" w:eastAsia="等线"/>
          <w:color w:val="auto"/>
          <w:sz w:val="21"/>
          <w:szCs w:val="22"/>
        </w:rPr>
      </w:pPr>
      <w:r>
        <w:rPr>
          <w:bCs/>
          <w:color w:val="auto"/>
        </w:rPr>
        <w:t>16.2 由承包人解除合同</w:t>
      </w:r>
      <w:r>
        <w:rPr>
          <w:color w:val="auto"/>
        </w:rPr>
        <w:tab/>
      </w:r>
    </w:p>
    <w:p w14:paraId="49343A27">
      <w:pPr>
        <w:pStyle w:val="20"/>
        <w:tabs>
          <w:tab w:val="right" w:leader="dot" w:pos="8296"/>
        </w:tabs>
        <w:ind w:left="960"/>
        <w:rPr>
          <w:rFonts w:ascii="等线" w:hAnsi="等线" w:eastAsia="等线"/>
          <w:color w:val="auto"/>
          <w:sz w:val="21"/>
          <w:szCs w:val="22"/>
        </w:rPr>
      </w:pPr>
      <w:r>
        <w:rPr>
          <w:bCs/>
          <w:color w:val="auto"/>
        </w:rPr>
        <w:t>16.3 合同解除后的事项</w:t>
      </w:r>
      <w:r>
        <w:rPr>
          <w:color w:val="auto"/>
        </w:rPr>
        <w:tab/>
      </w:r>
    </w:p>
    <w:p w14:paraId="516646FD">
      <w:pPr>
        <w:pStyle w:val="17"/>
        <w:tabs>
          <w:tab w:val="right" w:leader="dot" w:pos="8296"/>
        </w:tabs>
        <w:ind w:left="480"/>
        <w:rPr>
          <w:rFonts w:ascii="等线" w:hAnsi="等线" w:eastAsia="等线"/>
          <w:color w:val="auto"/>
          <w:sz w:val="21"/>
          <w:szCs w:val="22"/>
        </w:rPr>
      </w:pPr>
      <w:r>
        <w:rPr>
          <w:bCs/>
          <w:color w:val="auto"/>
        </w:rPr>
        <w:t>第17条 不可抗力</w:t>
      </w:r>
      <w:r>
        <w:rPr>
          <w:color w:val="auto"/>
        </w:rPr>
        <w:tab/>
      </w:r>
    </w:p>
    <w:p w14:paraId="1ADE694C">
      <w:pPr>
        <w:pStyle w:val="20"/>
        <w:tabs>
          <w:tab w:val="right" w:leader="dot" w:pos="8296"/>
        </w:tabs>
        <w:ind w:left="960"/>
        <w:rPr>
          <w:rFonts w:ascii="等线" w:hAnsi="等线" w:eastAsia="等线"/>
          <w:color w:val="auto"/>
          <w:sz w:val="21"/>
          <w:szCs w:val="22"/>
        </w:rPr>
      </w:pPr>
      <w:r>
        <w:rPr>
          <w:bCs/>
          <w:color w:val="auto"/>
        </w:rPr>
        <w:t>17.1 不可抗力的定义</w:t>
      </w:r>
      <w:r>
        <w:rPr>
          <w:color w:val="auto"/>
        </w:rPr>
        <w:tab/>
      </w:r>
    </w:p>
    <w:p w14:paraId="32F7750B">
      <w:pPr>
        <w:pStyle w:val="20"/>
        <w:tabs>
          <w:tab w:val="right" w:leader="dot" w:pos="8296"/>
        </w:tabs>
        <w:ind w:left="960"/>
        <w:rPr>
          <w:rFonts w:ascii="等线" w:hAnsi="等线" w:eastAsia="等线"/>
          <w:color w:val="auto"/>
          <w:sz w:val="21"/>
          <w:szCs w:val="22"/>
        </w:rPr>
      </w:pPr>
      <w:r>
        <w:rPr>
          <w:bCs/>
          <w:color w:val="auto"/>
        </w:rPr>
        <w:t>17.2 不可抗力的通知</w:t>
      </w:r>
      <w:r>
        <w:rPr>
          <w:color w:val="auto"/>
        </w:rPr>
        <w:tab/>
      </w:r>
    </w:p>
    <w:p w14:paraId="1F660029">
      <w:pPr>
        <w:pStyle w:val="20"/>
        <w:tabs>
          <w:tab w:val="right" w:leader="dot" w:pos="8296"/>
        </w:tabs>
        <w:ind w:left="960"/>
        <w:rPr>
          <w:rFonts w:ascii="等线" w:hAnsi="等线" w:eastAsia="等线"/>
          <w:color w:val="auto"/>
          <w:sz w:val="21"/>
          <w:szCs w:val="22"/>
        </w:rPr>
      </w:pPr>
      <w:r>
        <w:rPr>
          <w:bCs/>
          <w:color w:val="auto"/>
        </w:rPr>
        <w:t>17.3 将损失减至最小的义务</w:t>
      </w:r>
      <w:r>
        <w:rPr>
          <w:color w:val="auto"/>
        </w:rPr>
        <w:tab/>
      </w:r>
    </w:p>
    <w:p w14:paraId="7FB4AF52">
      <w:pPr>
        <w:pStyle w:val="20"/>
        <w:tabs>
          <w:tab w:val="right" w:leader="dot" w:pos="8296"/>
        </w:tabs>
        <w:ind w:left="960"/>
        <w:rPr>
          <w:rFonts w:ascii="等线" w:hAnsi="等线" w:eastAsia="等线"/>
          <w:color w:val="auto"/>
          <w:sz w:val="21"/>
          <w:szCs w:val="22"/>
        </w:rPr>
      </w:pPr>
      <w:r>
        <w:rPr>
          <w:bCs/>
          <w:color w:val="auto"/>
        </w:rPr>
        <w:t>17.4 不可抗力后果的承担</w:t>
      </w:r>
      <w:r>
        <w:rPr>
          <w:color w:val="auto"/>
        </w:rPr>
        <w:tab/>
      </w:r>
    </w:p>
    <w:p w14:paraId="176F82D6">
      <w:pPr>
        <w:pStyle w:val="20"/>
        <w:tabs>
          <w:tab w:val="right" w:leader="dot" w:pos="8296"/>
        </w:tabs>
        <w:ind w:left="960"/>
        <w:rPr>
          <w:rFonts w:ascii="等线" w:hAnsi="等线" w:eastAsia="等线"/>
          <w:color w:val="auto"/>
          <w:sz w:val="21"/>
          <w:szCs w:val="22"/>
        </w:rPr>
      </w:pPr>
      <w:r>
        <w:rPr>
          <w:bCs/>
          <w:color w:val="auto"/>
        </w:rPr>
        <w:t>17.5 不可抗力影响分包人</w:t>
      </w:r>
      <w:r>
        <w:rPr>
          <w:color w:val="auto"/>
        </w:rPr>
        <w:tab/>
      </w:r>
    </w:p>
    <w:p w14:paraId="671AC1CD">
      <w:pPr>
        <w:pStyle w:val="20"/>
        <w:tabs>
          <w:tab w:val="right" w:leader="dot" w:pos="8296"/>
        </w:tabs>
        <w:ind w:left="960"/>
        <w:rPr>
          <w:rFonts w:ascii="等线" w:hAnsi="等线" w:eastAsia="等线"/>
          <w:color w:val="auto"/>
          <w:sz w:val="21"/>
          <w:szCs w:val="22"/>
        </w:rPr>
      </w:pPr>
      <w:r>
        <w:rPr>
          <w:bCs/>
          <w:color w:val="auto"/>
        </w:rPr>
        <w:t>17.6 因不可抗力解除合同</w:t>
      </w:r>
      <w:r>
        <w:rPr>
          <w:color w:val="auto"/>
        </w:rPr>
        <w:tab/>
      </w:r>
    </w:p>
    <w:p w14:paraId="4409FC37">
      <w:pPr>
        <w:pStyle w:val="17"/>
        <w:tabs>
          <w:tab w:val="right" w:leader="dot" w:pos="8296"/>
        </w:tabs>
        <w:ind w:left="480"/>
        <w:rPr>
          <w:rFonts w:ascii="等线" w:hAnsi="等线" w:eastAsia="等线"/>
          <w:color w:val="auto"/>
          <w:sz w:val="21"/>
          <w:szCs w:val="22"/>
        </w:rPr>
      </w:pPr>
      <w:r>
        <w:rPr>
          <w:bCs/>
          <w:color w:val="auto"/>
        </w:rPr>
        <w:t>第18条 保险</w:t>
      </w:r>
      <w:r>
        <w:rPr>
          <w:color w:val="auto"/>
        </w:rPr>
        <w:tab/>
      </w:r>
    </w:p>
    <w:p w14:paraId="3807260F">
      <w:pPr>
        <w:pStyle w:val="20"/>
        <w:tabs>
          <w:tab w:val="right" w:leader="dot" w:pos="8296"/>
        </w:tabs>
        <w:ind w:left="960"/>
        <w:rPr>
          <w:rFonts w:ascii="等线" w:hAnsi="等线" w:eastAsia="等线"/>
          <w:color w:val="auto"/>
          <w:sz w:val="21"/>
          <w:szCs w:val="22"/>
        </w:rPr>
      </w:pPr>
      <w:r>
        <w:rPr>
          <w:bCs/>
          <w:color w:val="auto"/>
        </w:rPr>
        <w:t>18.1 设计和工程保险</w:t>
      </w:r>
      <w:r>
        <w:rPr>
          <w:color w:val="auto"/>
        </w:rPr>
        <w:tab/>
      </w:r>
    </w:p>
    <w:p w14:paraId="0D7542B2">
      <w:pPr>
        <w:pStyle w:val="20"/>
        <w:tabs>
          <w:tab w:val="right" w:leader="dot" w:pos="8296"/>
        </w:tabs>
        <w:ind w:left="960"/>
        <w:rPr>
          <w:rFonts w:ascii="等线" w:hAnsi="等线" w:eastAsia="等线"/>
          <w:color w:val="auto"/>
          <w:sz w:val="21"/>
          <w:szCs w:val="22"/>
        </w:rPr>
      </w:pPr>
      <w:r>
        <w:rPr>
          <w:bCs/>
          <w:color w:val="auto"/>
        </w:rPr>
        <w:t>18.2 工伤和意外伤害保险</w:t>
      </w:r>
      <w:r>
        <w:rPr>
          <w:color w:val="auto"/>
        </w:rPr>
        <w:tab/>
      </w:r>
    </w:p>
    <w:p w14:paraId="1811FC90">
      <w:pPr>
        <w:pStyle w:val="20"/>
        <w:tabs>
          <w:tab w:val="right" w:leader="dot" w:pos="8296"/>
        </w:tabs>
        <w:ind w:left="960"/>
        <w:rPr>
          <w:rFonts w:ascii="等线" w:hAnsi="等线" w:eastAsia="等线"/>
          <w:color w:val="auto"/>
          <w:sz w:val="21"/>
          <w:szCs w:val="22"/>
        </w:rPr>
      </w:pPr>
      <w:r>
        <w:rPr>
          <w:bCs/>
          <w:color w:val="auto"/>
        </w:rPr>
        <w:t>18.3 货物保险</w:t>
      </w:r>
      <w:r>
        <w:rPr>
          <w:color w:val="auto"/>
        </w:rPr>
        <w:tab/>
      </w:r>
    </w:p>
    <w:p w14:paraId="6736CFBC">
      <w:pPr>
        <w:pStyle w:val="20"/>
        <w:tabs>
          <w:tab w:val="right" w:leader="dot" w:pos="8296"/>
        </w:tabs>
        <w:ind w:left="960"/>
        <w:rPr>
          <w:rFonts w:ascii="等线" w:hAnsi="等线" w:eastAsia="等线"/>
          <w:color w:val="auto"/>
          <w:sz w:val="21"/>
          <w:szCs w:val="22"/>
        </w:rPr>
      </w:pPr>
      <w:r>
        <w:rPr>
          <w:bCs/>
          <w:color w:val="auto"/>
        </w:rPr>
        <w:t>18.4 其他保险</w:t>
      </w:r>
      <w:r>
        <w:rPr>
          <w:color w:val="auto"/>
        </w:rPr>
        <w:tab/>
      </w:r>
    </w:p>
    <w:p w14:paraId="0D0B8C9F">
      <w:pPr>
        <w:pStyle w:val="20"/>
        <w:tabs>
          <w:tab w:val="right" w:leader="dot" w:pos="8296"/>
        </w:tabs>
        <w:ind w:left="960"/>
        <w:rPr>
          <w:rFonts w:ascii="等线" w:hAnsi="等线" w:eastAsia="等线"/>
          <w:color w:val="auto"/>
          <w:sz w:val="21"/>
          <w:szCs w:val="22"/>
        </w:rPr>
      </w:pPr>
      <w:r>
        <w:rPr>
          <w:bCs/>
          <w:color w:val="auto"/>
        </w:rPr>
        <w:t>18.5 对各项保险的一般要求</w:t>
      </w:r>
      <w:r>
        <w:rPr>
          <w:color w:val="auto"/>
        </w:rPr>
        <w:tab/>
      </w:r>
    </w:p>
    <w:p w14:paraId="71F61380">
      <w:pPr>
        <w:pStyle w:val="17"/>
        <w:tabs>
          <w:tab w:val="right" w:leader="dot" w:pos="8296"/>
        </w:tabs>
        <w:ind w:left="480"/>
        <w:rPr>
          <w:rFonts w:ascii="等线" w:hAnsi="等线" w:eastAsia="等线"/>
          <w:color w:val="auto"/>
          <w:sz w:val="21"/>
          <w:szCs w:val="22"/>
        </w:rPr>
      </w:pPr>
      <w:r>
        <w:rPr>
          <w:bCs/>
          <w:color w:val="auto"/>
        </w:rPr>
        <w:t>第19条 索赔</w:t>
      </w:r>
      <w:r>
        <w:rPr>
          <w:color w:val="auto"/>
        </w:rPr>
        <w:tab/>
      </w:r>
    </w:p>
    <w:p w14:paraId="05C1BFFD">
      <w:pPr>
        <w:pStyle w:val="20"/>
        <w:tabs>
          <w:tab w:val="right" w:leader="dot" w:pos="8296"/>
        </w:tabs>
        <w:ind w:left="960"/>
        <w:rPr>
          <w:rFonts w:ascii="等线" w:hAnsi="等线" w:eastAsia="等线"/>
          <w:color w:val="auto"/>
          <w:sz w:val="21"/>
          <w:szCs w:val="22"/>
        </w:rPr>
      </w:pPr>
      <w:r>
        <w:rPr>
          <w:bCs/>
          <w:color w:val="auto"/>
        </w:rPr>
        <w:t>19.1 索赔的提出</w:t>
      </w:r>
      <w:r>
        <w:rPr>
          <w:color w:val="auto"/>
        </w:rPr>
        <w:tab/>
      </w:r>
    </w:p>
    <w:p w14:paraId="1319C8CF">
      <w:pPr>
        <w:pStyle w:val="20"/>
        <w:tabs>
          <w:tab w:val="right" w:leader="dot" w:pos="8296"/>
        </w:tabs>
        <w:ind w:left="960"/>
        <w:rPr>
          <w:rFonts w:ascii="等线" w:hAnsi="等线" w:eastAsia="等线"/>
          <w:color w:val="auto"/>
          <w:sz w:val="21"/>
          <w:szCs w:val="22"/>
        </w:rPr>
      </w:pPr>
      <w:r>
        <w:rPr>
          <w:bCs/>
          <w:color w:val="auto"/>
        </w:rPr>
        <w:t>19.2 承包人索赔的处理程序</w:t>
      </w:r>
      <w:r>
        <w:rPr>
          <w:color w:val="auto"/>
        </w:rPr>
        <w:tab/>
      </w:r>
    </w:p>
    <w:p w14:paraId="6B305418">
      <w:pPr>
        <w:pStyle w:val="20"/>
        <w:tabs>
          <w:tab w:val="right" w:leader="dot" w:pos="8296"/>
        </w:tabs>
        <w:ind w:left="960"/>
        <w:rPr>
          <w:rFonts w:ascii="等线" w:hAnsi="等线" w:eastAsia="等线"/>
          <w:color w:val="auto"/>
          <w:sz w:val="21"/>
          <w:szCs w:val="22"/>
        </w:rPr>
      </w:pPr>
      <w:r>
        <w:rPr>
          <w:bCs/>
          <w:color w:val="auto"/>
        </w:rPr>
        <w:t>19.3 发包人索赔的处理程序</w:t>
      </w:r>
      <w:r>
        <w:rPr>
          <w:color w:val="auto"/>
        </w:rPr>
        <w:tab/>
      </w:r>
    </w:p>
    <w:p w14:paraId="4B7A4EEF">
      <w:pPr>
        <w:pStyle w:val="20"/>
        <w:tabs>
          <w:tab w:val="right" w:leader="dot" w:pos="8296"/>
        </w:tabs>
        <w:ind w:left="960"/>
        <w:rPr>
          <w:rFonts w:ascii="等线" w:hAnsi="等线" w:eastAsia="等线"/>
          <w:color w:val="auto"/>
          <w:sz w:val="21"/>
          <w:szCs w:val="22"/>
        </w:rPr>
      </w:pPr>
      <w:r>
        <w:rPr>
          <w:bCs/>
          <w:color w:val="auto"/>
        </w:rPr>
        <w:t>19.4 提出索赔的期限</w:t>
      </w:r>
      <w:r>
        <w:rPr>
          <w:color w:val="auto"/>
        </w:rPr>
        <w:tab/>
      </w:r>
    </w:p>
    <w:p w14:paraId="23CDFDE3">
      <w:pPr>
        <w:pStyle w:val="17"/>
        <w:tabs>
          <w:tab w:val="right" w:leader="dot" w:pos="8296"/>
        </w:tabs>
        <w:ind w:left="480"/>
        <w:rPr>
          <w:rFonts w:ascii="等线" w:hAnsi="等线" w:eastAsia="等线"/>
          <w:color w:val="auto"/>
          <w:sz w:val="21"/>
          <w:szCs w:val="22"/>
        </w:rPr>
      </w:pPr>
      <w:r>
        <w:rPr>
          <w:bCs/>
          <w:color w:val="auto"/>
        </w:rPr>
        <w:t>第20条 争议解决</w:t>
      </w:r>
      <w:r>
        <w:rPr>
          <w:color w:val="auto"/>
        </w:rPr>
        <w:tab/>
      </w:r>
    </w:p>
    <w:p w14:paraId="43A7CC22">
      <w:pPr>
        <w:pStyle w:val="20"/>
        <w:tabs>
          <w:tab w:val="right" w:leader="dot" w:pos="8296"/>
        </w:tabs>
        <w:ind w:left="960"/>
        <w:rPr>
          <w:rFonts w:ascii="等线" w:hAnsi="等线" w:eastAsia="等线"/>
          <w:color w:val="auto"/>
          <w:sz w:val="21"/>
          <w:szCs w:val="22"/>
        </w:rPr>
      </w:pPr>
      <w:r>
        <w:rPr>
          <w:bCs/>
          <w:color w:val="auto"/>
        </w:rPr>
        <w:t>20.1 和解</w:t>
      </w:r>
      <w:r>
        <w:rPr>
          <w:color w:val="auto"/>
        </w:rPr>
        <w:tab/>
      </w:r>
    </w:p>
    <w:p w14:paraId="36AE4C60">
      <w:pPr>
        <w:pStyle w:val="20"/>
        <w:tabs>
          <w:tab w:val="right" w:leader="dot" w:pos="8296"/>
        </w:tabs>
        <w:ind w:left="960"/>
        <w:rPr>
          <w:rFonts w:ascii="等线" w:hAnsi="等线" w:eastAsia="等线"/>
          <w:color w:val="auto"/>
          <w:sz w:val="21"/>
          <w:szCs w:val="22"/>
        </w:rPr>
      </w:pPr>
      <w:r>
        <w:rPr>
          <w:bCs/>
          <w:color w:val="auto"/>
        </w:rPr>
        <w:t>20.2 调解</w:t>
      </w:r>
      <w:r>
        <w:rPr>
          <w:color w:val="auto"/>
        </w:rPr>
        <w:tab/>
      </w:r>
    </w:p>
    <w:p w14:paraId="7C8CB364">
      <w:pPr>
        <w:pStyle w:val="20"/>
        <w:tabs>
          <w:tab w:val="right" w:leader="dot" w:pos="8296"/>
        </w:tabs>
        <w:ind w:left="960"/>
        <w:rPr>
          <w:rFonts w:ascii="等线" w:hAnsi="等线" w:eastAsia="等线"/>
          <w:color w:val="auto"/>
          <w:sz w:val="21"/>
          <w:szCs w:val="22"/>
        </w:rPr>
      </w:pPr>
      <w:r>
        <w:rPr>
          <w:bCs/>
          <w:color w:val="auto"/>
        </w:rPr>
        <w:t>20.3 争议评审</w:t>
      </w:r>
      <w:r>
        <w:rPr>
          <w:color w:val="auto"/>
        </w:rPr>
        <w:tab/>
      </w:r>
    </w:p>
    <w:p w14:paraId="4D4DBF02">
      <w:pPr>
        <w:pStyle w:val="20"/>
        <w:tabs>
          <w:tab w:val="right" w:leader="dot" w:pos="8296"/>
        </w:tabs>
        <w:ind w:left="960"/>
        <w:rPr>
          <w:rFonts w:ascii="等线" w:hAnsi="等线" w:eastAsia="等线"/>
          <w:color w:val="auto"/>
          <w:sz w:val="21"/>
          <w:szCs w:val="22"/>
        </w:rPr>
      </w:pPr>
      <w:r>
        <w:rPr>
          <w:bCs/>
          <w:color w:val="auto"/>
        </w:rPr>
        <w:t>20.4 仲裁或诉讼</w:t>
      </w:r>
      <w:r>
        <w:rPr>
          <w:color w:val="auto"/>
        </w:rPr>
        <w:tab/>
      </w:r>
    </w:p>
    <w:p w14:paraId="3D46CBAB">
      <w:pPr>
        <w:pStyle w:val="20"/>
        <w:tabs>
          <w:tab w:val="right" w:leader="dot" w:pos="8296"/>
        </w:tabs>
        <w:ind w:left="960"/>
        <w:rPr>
          <w:rFonts w:ascii="等线" w:hAnsi="等线" w:eastAsia="等线"/>
          <w:color w:val="auto"/>
          <w:sz w:val="21"/>
          <w:szCs w:val="22"/>
        </w:rPr>
      </w:pPr>
      <w:r>
        <w:rPr>
          <w:bCs/>
          <w:color w:val="auto"/>
        </w:rPr>
        <w:t>20.5 争议解决条款效力</w:t>
      </w:r>
      <w:r>
        <w:rPr>
          <w:color w:val="auto"/>
        </w:rPr>
        <w:tab/>
      </w:r>
    </w:p>
    <w:p w14:paraId="083D0126">
      <w:pPr>
        <w:pStyle w:val="27"/>
        <w:tabs>
          <w:tab w:val="right" w:leader="dot" w:pos="8296"/>
        </w:tabs>
        <w:spacing w:after="0"/>
        <w:rPr>
          <w:rFonts w:ascii="等线" w:hAnsi="等线" w:eastAsia="等线"/>
          <w:color w:val="auto"/>
          <w:sz w:val="21"/>
          <w:szCs w:val="22"/>
        </w:rPr>
      </w:pPr>
      <w:r>
        <w:rPr>
          <w:rFonts w:ascii="华文中宋" w:hAnsi="华文中宋" w:eastAsia="华文中宋"/>
          <w:color w:val="auto"/>
        </w:rPr>
        <w:t>第三部分 专用合同条件</w:t>
      </w:r>
      <w:r>
        <w:rPr>
          <w:color w:val="auto"/>
        </w:rPr>
        <w:tab/>
      </w:r>
    </w:p>
    <w:p w14:paraId="414EDCAE">
      <w:pPr>
        <w:pStyle w:val="17"/>
        <w:tabs>
          <w:tab w:val="right" w:leader="dot" w:pos="8296"/>
        </w:tabs>
        <w:ind w:left="480"/>
        <w:rPr>
          <w:rFonts w:ascii="等线" w:hAnsi="等线" w:eastAsia="等线"/>
          <w:color w:val="auto"/>
          <w:sz w:val="21"/>
          <w:szCs w:val="22"/>
        </w:rPr>
      </w:pPr>
      <w:r>
        <w:rPr>
          <w:rFonts w:ascii="黑体" w:hAnsi="黑体" w:eastAsia="黑体"/>
          <w:bCs/>
          <w:color w:val="auto"/>
        </w:rPr>
        <w:t>第1条 一般约定</w:t>
      </w:r>
      <w:r>
        <w:rPr>
          <w:color w:val="auto"/>
        </w:rPr>
        <w:tab/>
      </w:r>
    </w:p>
    <w:p w14:paraId="6A3F600D">
      <w:pPr>
        <w:pStyle w:val="17"/>
        <w:tabs>
          <w:tab w:val="right" w:leader="dot" w:pos="8296"/>
        </w:tabs>
        <w:ind w:left="480"/>
        <w:rPr>
          <w:rFonts w:ascii="等线" w:hAnsi="等线" w:eastAsia="等线"/>
          <w:color w:val="auto"/>
          <w:sz w:val="21"/>
          <w:szCs w:val="22"/>
        </w:rPr>
      </w:pPr>
      <w:r>
        <w:rPr>
          <w:rFonts w:ascii="黑体" w:hAnsi="黑体" w:eastAsia="黑体"/>
          <w:bCs/>
          <w:color w:val="auto"/>
        </w:rPr>
        <w:t>第2条 发包人</w:t>
      </w:r>
      <w:r>
        <w:rPr>
          <w:color w:val="auto"/>
        </w:rPr>
        <w:tab/>
      </w:r>
    </w:p>
    <w:p w14:paraId="1FA11FA2">
      <w:pPr>
        <w:pStyle w:val="17"/>
        <w:tabs>
          <w:tab w:val="right" w:leader="dot" w:pos="8296"/>
        </w:tabs>
        <w:ind w:left="480"/>
        <w:rPr>
          <w:rFonts w:ascii="等线" w:hAnsi="等线" w:eastAsia="等线"/>
          <w:color w:val="auto"/>
          <w:sz w:val="21"/>
          <w:szCs w:val="22"/>
        </w:rPr>
      </w:pPr>
      <w:r>
        <w:rPr>
          <w:rFonts w:ascii="黑体" w:hAnsi="黑体" w:eastAsia="黑体"/>
          <w:bCs/>
          <w:color w:val="auto"/>
        </w:rPr>
        <w:t>第3条 发包人的管理</w:t>
      </w:r>
      <w:r>
        <w:rPr>
          <w:color w:val="auto"/>
        </w:rPr>
        <w:tab/>
      </w:r>
    </w:p>
    <w:p w14:paraId="6F5488EA">
      <w:pPr>
        <w:pStyle w:val="17"/>
        <w:tabs>
          <w:tab w:val="right" w:leader="dot" w:pos="8296"/>
        </w:tabs>
        <w:ind w:left="480"/>
        <w:rPr>
          <w:rFonts w:ascii="等线" w:hAnsi="等线" w:eastAsia="等线"/>
          <w:color w:val="auto"/>
          <w:sz w:val="21"/>
          <w:szCs w:val="22"/>
        </w:rPr>
      </w:pPr>
      <w:r>
        <w:rPr>
          <w:rFonts w:ascii="黑体" w:hAnsi="黑体" w:eastAsia="黑体"/>
          <w:bCs/>
          <w:color w:val="auto"/>
        </w:rPr>
        <w:t>第4条 承包人</w:t>
      </w:r>
      <w:r>
        <w:rPr>
          <w:color w:val="auto"/>
        </w:rPr>
        <w:tab/>
      </w:r>
    </w:p>
    <w:p w14:paraId="25A783F8">
      <w:pPr>
        <w:pStyle w:val="17"/>
        <w:tabs>
          <w:tab w:val="right" w:leader="dot" w:pos="8296"/>
        </w:tabs>
        <w:ind w:left="480"/>
        <w:rPr>
          <w:rFonts w:ascii="等线" w:hAnsi="等线" w:eastAsia="等线"/>
          <w:color w:val="auto"/>
          <w:sz w:val="21"/>
          <w:szCs w:val="22"/>
        </w:rPr>
      </w:pPr>
      <w:r>
        <w:rPr>
          <w:rFonts w:ascii="黑体" w:hAnsi="黑体" w:eastAsia="黑体"/>
          <w:bCs/>
          <w:color w:val="auto"/>
        </w:rPr>
        <w:t>第5条 设计</w:t>
      </w:r>
      <w:r>
        <w:rPr>
          <w:color w:val="auto"/>
        </w:rPr>
        <w:tab/>
      </w:r>
    </w:p>
    <w:p w14:paraId="52E88FA6">
      <w:pPr>
        <w:pStyle w:val="17"/>
        <w:tabs>
          <w:tab w:val="right" w:leader="dot" w:pos="8296"/>
        </w:tabs>
        <w:ind w:left="480"/>
        <w:rPr>
          <w:rFonts w:ascii="等线" w:hAnsi="等线" w:eastAsia="等线"/>
          <w:color w:val="auto"/>
          <w:sz w:val="21"/>
          <w:szCs w:val="22"/>
        </w:rPr>
      </w:pPr>
      <w:r>
        <w:rPr>
          <w:rFonts w:ascii="黑体" w:hAnsi="黑体" w:eastAsia="黑体"/>
          <w:bCs/>
          <w:color w:val="auto"/>
        </w:rPr>
        <w:t>第6条 材料、工程设备</w:t>
      </w:r>
      <w:r>
        <w:rPr>
          <w:color w:val="auto"/>
        </w:rPr>
        <w:tab/>
      </w:r>
    </w:p>
    <w:p w14:paraId="21114567">
      <w:pPr>
        <w:pStyle w:val="17"/>
        <w:tabs>
          <w:tab w:val="right" w:leader="dot" w:pos="8296"/>
        </w:tabs>
        <w:ind w:left="480"/>
        <w:rPr>
          <w:rFonts w:ascii="等线" w:hAnsi="等线" w:eastAsia="等线"/>
          <w:color w:val="auto"/>
          <w:sz w:val="21"/>
          <w:szCs w:val="22"/>
        </w:rPr>
      </w:pPr>
      <w:r>
        <w:rPr>
          <w:rFonts w:ascii="黑体" w:hAnsi="黑体" w:eastAsia="黑体"/>
          <w:color w:val="auto"/>
        </w:rPr>
        <w:t>第7条 施工</w:t>
      </w:r>
      <w:r>
        <w:rPr>
          <w:color w:val="auto"/>
        </w:rPr>
        <w:tab/>
      </w:r>
    </w:p>
    <w:p w14:paraId="6905B26C">
      <w:pPr>
        <w:pStyle w:val="17"/>
        <w:tabs>
          <w:tab w:val="right" w:leader="dot" w:pos="8296"/>
        </w:tabs>
        <w:ind w:left="480"/>
        <w:rPr>
          <w:rFonts w:ascii="等线" w:hAnsi="等线" w:eastAsia="等线"/>
          <w:color w:val="auto"/>
          <w:sz w:val="21"/>
          <w:szCs w:val="22"/>
        </w:rPr>
      </w:pPr>
      <w:r>
        <w:rPr>
          <w:rFonts w:ascii="黑体" w:hAnsi="黑体" w:eastAsia="黑体"/>
          <w:bCs/>
          <w:color w:val="auto"/>
        </w:rPr>
        <w:t>第8条 工期和进度</w:t>
      </w:r>
      <w:r>
        <w:rPr>
          <w:color w:val="auto"/>
        </w:rPr>
        <w:tab/>
      </w:r>
    </w:p>
    <w:p w14:paraId="36480AE8">
      <w:pPr>
        <w:pStyle w:val="17"/>
        <w:tabs>
          <w:tab w:val="right" w:leader="dot" w:pos="8296"/>
        </w:tabs>
        <w:ind w:left="480"/>
        <w:rPr>
          <w:rFonts w:ascii="等线" w:hAnsi="等线" w:eastAsia="等线"/>
          <w:color w:val="auto"/>
          <w:sz w:val="21"/>
          <w:szCs w:val="22"/>
        </w:rPr>
      </w:pPr>
      <w:r>
        <w:rPr>
          <w:rFonts w:ascii="黑体" w:hAnsi="黑体" w:eastAsia="黑体"/>
          <w:bCs/>
          <w:color w:val="auto"/>
        </w:rPr>
        <w:t>第9条 竣工试验</w:t>
      </w:r>
      <w:r>
        <w:rPr>
          <w:color w:val="auto"/>
        </w:rPr>
        <w:tab/>
      </w:r>
    </w:p>
    <w:p w14:paraId="7ED16957">
      <w:pPr>
        <w:pStyle w:val="17"/>
        <w:tabs>
          <w:tab w:val="right" w:leader="dot" w:pos="8296"/>
        </w:tabs>
        <w:ind w:left="480"/>
        <w:rPr>
          <w:rFonts w:ascii="等线" w:hAnsi="等线" w:eastAsia="等线"/>
          <w:color w:val="auto"/>
          <w:sz w:val="21"/>
          <w:szCs w:val="22"/>
        </w:rPr>
      </w:pPr>
      <w:r>
        <w:rPr>
          <w:rFonts w:ascii="黑体" w:hAnsi="黑体" w:eastAsia="黑体"/>
          <w:bCs/>
          <w:color w:val="auto"/>
        </w:rPr>
        <w:t>第10条 验收和工程接收</w:t>
      </w:r>
      <w:r>
        <w:rPr>
          <w:color w:val="auto"/>
        </w:rPr>
        <w:tab/>
      </w:r>
    </w:p>
    <w:p w14:paraId="76E7FC3D">
      <w:pPr>
        <w:pStyle w:val="17"/>
        <w:tabs>
          <w:tab w:val="right" w:leader="dot" w:pos="8296"/>
        </w:tabs>
        <w:ind w:left="480"/>
        <w:rPr>
          <w:rFonts w:ascii="等线" w:hAnsi="等线" w:eastAsia="等线"/>
          <w:color w:val="auto"/>
          <w:sz w:val="21"/>
          <w:szCs w:val="22"/>
        </w:rPr>
      </w:pPr>
      <w:r>
        <w:rPr>
          <w:rFonts w:ascii="黑体" w:hAnsi="黑体" w:eastAsia="黑体"/>
          <w:bCs/>
          <w:color w:val="auto"/>
        </w:rPr>
        <w:t>第11条 缺陷责任与保修</w:t>
      </w:r>
      <w:r>
        <w:rPr>
          <w:color w:val="auto"/>
        </w:rPr>
        <w:tab/>
      </w:r>
    </w:p>
    <w:p w14:paraId="13761FA3">
      <w:pPr>
        <w:pStyle w:val="17"/>
        <w:tabs>
          <w:tab w:val="right" w:leader="dot" w:pos="8296"/>
        </w:tabs>
        <w:ind w:left="480"/>
        <w:rPr>
          <w:rFonts w:ascii="等线" w:hAnsi="等线" w:eastAsia="等线"/>
          <w:color w:val="auto"/>
          <w:sz w:val="21"/>
          <w:szCs w:val="22"/>
        </w:rPr>
      </w:pPr>
      <w:r>
        <w:rPr>
          <w:rFonts w:ascii="黑体" w:hAnsi="黑体" w:eastAsia="黑体"/>
          <w:bCs/>
          <w:color w:val="auto"/>
        </w:rPr>
        <w:t>第12条 竣工后试验</w:t>
      </w:r>
      <w:r>
        <w:rPr>
          <w:color w:val="auto"/>
        </w:rPr>
        <w:tab/>
      </w:r>
    </w:p>
    <w:p w14:paraId="0A49D233">
      <w:pPr>
        <w:pStyle w:val="17"/>
        <w:tabs>
          <w:tab w:val="right" w:leader="dot" w:pos="8296"/>
        </w:tabs>
        <w:ind w:left="480"/>
        <w:rPr>
          <w:rFonts w:ascii="等线" w:hAnsi="等线" w:eastAsia="等线"/>
          <w:color w:val="auto"/>
          <w:sz w:val="21"/>
          <w:szCs w:val="22"/>
        </w:rPr>
      </w:pPr>
      <w:r>
        <w:rPr>
          <w:rFonts w:ascii="黑体" w:hAnsi="黑体" w:eastAsia="黑体"/>
          <w:bCs/>
          <w:color w:val="auto"/>
        </w:rPr>
        <w:t>第13条 变更与调整</w:t>
      </w:r>
      <w:r>
        <w:rPr>
          <w:color w:val="auto"/>
        </w:rPr>
        <w:tab/>
      </w:r>
    </w:p>
    <w:p w14:paraId="7D14307E">
      <w:pPr>
        <w:pStyle w:val="17"/>
        <w:tabs>
          <w:tab w:val="right" w:leader="dot" w:pos="8296"/>
        </w:tabs>
        <w:ind w:left="480"/>
        <w:rPr>
          <w:rFonts w:ascii="等线" w:hAnsi="等线" w:eastAsia="等线"/>
          <w:color w:val="auto"/>
          <w:sz w:val="21"/>
          <w:szCs w:val="22"/>
        </w:rPr>
      </w:pPr>
      <w:r>
        <w:rPr>
          <w:rFonts w:ascii="黑体" w:hAnsi="黑体" w:eastAsia="黑体"/>
          <w:bCs/>
          <w:color w:val="auto"/>
        </w:rPr>
        <w:t>第14条 合同价格与支付</w:t>
      </w:r>
      <w:r>
        <w:rPr>
          <w:color w:val="auto"/>
        </w:rPr>
        <w:tab/>
      </w:r>
    </w:p>
    <w:p w14:paraId="6D546BFD">
      <w:pPr>
        <w:pStyle w:val="17"/>
        <w:tabs>
          <w:tab w:val="right" w:leader="dot" w:pos="8296"/>
        </w:tabs>
        <w:ind w:left="480"/>
        <w:rPr>
          <w:rFonts w:ascii="等线" w:hAnsi="等线" w:eastAsia="等线"/>
          <w:color w:val="auto"/>
          <w:sz w:val="21"/>
          <w:szCs w:val="22"/>
        </w:rPr>
      </w:pPr>
      <w:r>
        <w:rPr>
          <w:rFonts w:ascii="黑体" w:hAnsi="黑体" w:eastAsia="黑体"/>
          <w:bCs/>
          <w:color w:val="auto"/>
        </w:rPr>
        <w:t>第15条 违约</w:t>
      </w:r>
      <w:r>
        <w:rPr>
          <w:color w:val="auto"/>
        </w:rPr>
        <w:tab/>
      </w:r>
    </w:p>
    <w:p w14:paraId="4CCE6336">
      <w:pPr>
        <w:pStyle w:val="17"/>
        <w:tabs>
          <w:tab w:val="right" w:leader="dot" w:pos="8296"/>
        </w:tabs>
        <w:ind w:left="480"/>
        <w:rPr>
          <w:rFonts w:ascii="等线" w:hAnsi="等线" w:eastAsia="等线"/>
          <w:color w:val="auto"/>
          <w:sz w:val="21"/>
          <w:szCs w:val="22"/>
        </w:rPr>
      </w:pPr>
      <w:r>
        <w:rPr>
          <w:rFonts w:ascii="黑体" w:hAnsi="黑体" w:eastAsia="黑体"/>
          <w:bCs/>
          <w:color w:val="auto"/>
        </w:rPr>
        <w:t>第16条 合同解除</w:t>
      </w:r>
      <w:r>
        <w:rPr>
          <w:color w:val="auto"/>
        </w:rPr>
        <w:tab/>
      </w:r>
    </w:p>
    <w:p w14:paraId="6B6C3018">
      <w:pPr>
        <w:pStyle w:val="17"/>
        <w:tabs>
          <w:tab w:val="right" w:leader="dot" w:pos="8296"/>
        </w:tabs>
        <w:ind w:left="480"/>
        <w:rPr>
          <w:rFonts w:ascii="等线" w:hAnsi="等线" w:eastAsia="等线"/>
          <w:color w:val="auto"/>
          <w:sz w:val="21"/>
          <w:szCs w:val="22"/>
        </w:rPr>
      </w:pPr>
      <w:r>
        <w:rPr>
          <w:rFonts w:ascii="黑体" w:hAnsi="黑体" w:eastAsia="黑体"/>
          <w:bCs/>
          <w:color w:val="auto"/>
        </w:rPr>
        <w:t>第17条 不可抗力</w:t>
      </w:r>
      <w:r>
        <w:rPr>
          <w:color w:val="auto"/>
        </w:rPr>
        <w:tab/>
      </w:r>
    </w:p>
    <w:p w14:paraId="3A8E7EAF">
      <w:pPr>
        <w:pStyle w:val="17"/>
        <w:tabs>
          <w:tab w:val="right" w:leader="dot" w:pos="8296"/>
        </w:tabs>
        <w:ind w:left="480"/>
        <w:rPr>
          <w:rFonts w:ascii="等线" w:hAnsi="等线" w:eastAsia="等线"/>
          <w:color w:val="auto"/>
          <w:sz w:val="21"/>
          <w:szCs w:val="22"/>
        </w:rPr>
      </w:pPr>
      <w:r>
        <w:rPr>
          <w:rFonts w:ascii="黑体" w:hAnsi="黑体" w:eastAsia="黑体"/>
          <w:bCs/>
          <w:color w:val="auto"/>
        </w:rPr>
        <w:t>第18条 保险</w:t>
      </w:r>
      <w:r>
        <w:rPr>
          <w:color w:val="auto"/>
        </w:rPr>
        <w:tab/>
      </w:r>
    </w:p>
    <w:p w14:paraId="01382F3F">
      <w:pPr>
        <w:pStyle w:val="17"/>
        <w:tabs>
          <w:tab w:val="right" w:leader="dot" w:pos="8296"/>
        </w:tabs>
        <w:ind w:left="480"/>
        <w:rPr>
          <w:rFonts w:ascii="等线" w:hAnsi="等线" w:eastAsia="等线"/>
          <w:color w:val="auto"/>
          <w:sz w:val="21"/>
          <w:szCs w:val="22"/>
        </w:rPr>
      </w:pPr>
      <w:r>
        <w:rPr>
          <w:rFonts w:ascii="黑体" w:hAnsi="黑体" w:eastAsia="黑体"/>
          <w:bCs/>
          <w:color w:val="auto"/>
        </w:rPr>
        <w:t>第20条 争议解决</w:t>
      </w:r>
      <w:r>
        <w:rPr>
          <w:color w:val="auto"/>
        </w:rPr>
        <w:tab/>
      </w:r>
    </w:p>
    <w:p w14:paraId="01941011">
      <w:pPr>
        <w:pStyle w:val="27"/>
        <w:tabs>
          <w:tab w:val="right" w:leader="dot" w:pos="8296"/>
        </w:tabs>
        <w:spacing w:after="0"/>
        <w:rPr>
          <w:rFonts w:ascii="等线" w:hAnsi="等线" w:eastAsia="等线"/>
          <w:color w:val="auto"/>
          <w:sz w:val="21"/>
          <w:szCs w:val="22"/>
        </w:rPr>
      </w:pPr>
      <w:r>
        <w:rPr>
          <w:rFonts w:ascii="黑体" w:hAnsi="黑体" w:eastAsia="黑体"/>
          <w:color w:val="auto"/>
        </w:rPr>
        <w:t>合同附件</w:t>
      </w:r>
      <w:r>
        <w:rPr>
          <w:color w:val="auto"/>
        </w:rPr>
        <w:tab/>
      </w:r>
    </w:p>
    <w:p w14:paraId="73E97DA1">
      <w:pPr>
        <w:pStyle w:val="27"/>
        <w:tabs>
          <w:tab w:val="right" w:leader="dot" w:pos="8306"/>
        </w:tabs>
        <w:rPr>
          <w:color w:val="auto"/>
          <w:highlight w:val="none"/>
        </w:rPr>
      </w:pPr>
      <w:r>
        <w:rPr>
          <w:rFonts w:hint="eastAsia" w:ascii="仿宋_GB2312" w:eastAsia="仿宋_GB2312"/>
          <w:color w:val="auto"/>
          <w:szCs w:val="21"/>
        </w:rPr>
        <w:fldChar w:fldCharType="end"/>
      </w:r>
      <w:r>
        <w:rPr>
          <w:rFonts w:hint="eastAsia" w:ascii="黑体" w:hAnsi="黑体" w:eastAsia="黑体"/>
          <w:color w:val="auto"/>
          <w:szCs w:val="30"/>
          <w:highlight w:val="none"/>
        </w:rPr>
        <w:t>建设工程廉政协议</w:t>
      </w:r>
      <w:r>
        <w:rPr>
          <w:color w:val="auto"/>
          <w:highlight w:val="none"/>
        </w:rPr>
        <w:tab/>
      </w:r>
    </w:p>
    <w:p w14:paraId="6B91A558">
      <w:pPr>
        <w:pStyle w:val="27"/>
        <w:tabs>
          <w:tab w:val="right" w:leader="dot" w:pos="8306"/>
        </w:tabs>
        <w:rPr>
          <w:color w:val="auto"/>
          <w:highlight w:val="none"/>
        </w:rPr>
      </w:pPr>
      <w:r>
        <w:rPr>
          <w:rFonts w:hint="eastAsia" w:ascii="黑体" w:hAnsi="黑体" w:eastAsia="黑体"/>
          <w:color w:val="auto"/>
          <w:szCs w:val="30"/>
          <w:highlight w:val="none"/>
        </w:rPr>
        <w:t>工程质量保修书</w:t>
      </w:r>
      <w:r>
        <w:rPr>
          <w:color w:val="auto"/>
          <w:highlight w:val="none"/>
        </w:rPr>
        <w:tab/>
      </w:r>
    </w:p>
    <w:p w14:paraId="77DCECF9">
      <w:pPr>
        <w:pStyle w:val="83"/>
        <w:keepNext w:val="0"/>
        <w:keepLines w:val="0"/>
        <w:widowControl/>
        <w:adjustRightInd w:val="0"/>
        <w:snapToGrid w:val="0"/>
        <w:spacing w:before="0" w:after="50" w:line="360" w:lineRule="auto"/>
        <w:outlineLvl w:val="9"/>
        <w:rPr>
          <w:rFonts w:hint="eastAsia"/>
          <w:color w:val="auto"/>
          <w:highlight w:val="none"/>
        </w:rPr>
      </w:pPr>
      <w:r>
        <w:rPr>
          <w:rFonts w:hint="eastAsia" w:ascii="仿宋_GB2312" w:eastAsia="仿宋_GB2312"/>
          <w:color w:val="auto"/>
          <w:szCs w:val="28"/>
          <w:highlight w:val="none"/>
        </w:rPr>
        <w:fldChar w:fldCharType="end"/>
      </w:r>
    </w:p>
    <w:p w14:paraId="6164B617">
      <w:pPr>
        <w:pStyle w:val="83"/>
        <w:keepNext w:val="0"/>
        <w:keepLines w:val="0"/>
        <w:widowControl/>
        <w:adjustRightInd w:val="0"/>
        <w:snapToGrid w:val="0"/>
        <w:spacing w:before="0" w:after="50" w:line="360" w:lineRule="auto"/>
        <w:jc w:val="center"/>
        <w:rPr>
          <w:rFonts w:ascii="黑体" w:hAnsi="黑体" w:eastAsia="黑体"/>
          <w:color w:val="auto"/>
          <w:sz w:val="44"/>
          <w:szCs w:val="52"/>
          <w:highlight w:val="none"/>
        </w:rPr>
      </w:pPr>
      <w:bookmarkStart w:id="674" w:name="_Toc5623"/>
      <w:bookmarkStart w:id="675" w:name="_Toc836"/>
      <w:bookmarkStart w:id="676" w:name="_Toc103175641"/>
      <w:r>
        <w:rPr>
          <w:rFonts w:hint="eastAsia" w:ascii="黑体" w:hAnsi="黑体" w:eastAsia="黑体"/>
          <w:color w:val="auto"/>
          <w:sz w:val="44"/>
          <w:szCs w:val="52"/>
          <w:highlight w:val="none"/>
        </w:rPr>
        <w:br w:type="page"/>
      </w:r>
      <w:bookmarkStart w:id="677" w:name="_Toc16846"/>
      <w:bookmarkStart w:id="678" w:name="_Toc19711"/>
      <w:bookmarkStart w:id="679" w:name="_Toc1506"/>
      <w:bookmarkStart w:id="680" w:name="_Toc22186"/>
      <w:bookmarkStart w:id="681" w:name="_Toc31011"/>
      <w:r>
        <w:rPr>
          <w:rFonts w:hint="eastAsia" w:ascii="黑体" w:hAnsi="黑体" w:eastAsia="黑体"/>
          <w:color w:val="auto"/>
          <w:sz w:val="44"/>
          <w:szCs w:val="52"/>
          <w:highlight w:val="none"/>
        </w:rPr>
        <w:t>第一部分</w:t>
      </w:r>
      <w:r>
        <w:rPr>
          <w:rFonts w:ascii="黑体" w:hAnsi="黑体" w:eastAsia="黑体"/>
          <w:color w:val="auto"/>
          <w:sz w:val="44"/>
          <w:szCs w:val="52"/>
          <w:highlight w:val="none"/>
        </w:rPr>
        <w:t xml:space="preserve"> </w:t>
      </w:r>
      <w:r>
        <w:rPr>
          <w:rFonts w:hint="eastAsia" w:ascii="黑体" w:hAnsi="黑体" w:eastAsia="黑体"/>
          <w:color w:val="auto"/>
          <w:sz w:val="44"/>
          <w:szCs w:val="52"/>
          <w:highlight w:val="none"/>
        </w:rPr>
        <w:t>合同协议书</w:t>
      </w:r>
      <w:bookmarkEnd w:id="674"/>
      <w:bookmarkEnd w:id="675"/>
      <w:bookmarkEnd w:id="676"/>
      <w:bookmarkEnd w:id="677"/>
      <w:bookmarkEnd w:id="678"/>
      <w:bookmarkEnd w:id="679"/>
      <w:bookmarkEnd w:id="680"/>
      <w:bookmarkEnd w:id="681"/>
    </w:p>
    <w:p w14:paraId="1662B477">
      <w:pPr>
        <w:spacing w:line="360" w:lineRule="auto"/>
        <w:ind w:firstLine="600"/>
        <w:rPr>
          <w:rFonts w:hint="eastAsia" w:ascii="宋体" w:hAnsi="宋体" w:cs="宋体"/>
          <w:color w:val="auto"/>
          <w:szCs w:val="21"/>
          <w:highlight w:val="none"/>
          <w:u w:val="singl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河北女子职业技术学院</w:t>
      </w:r>
    </w:p>
    <w:p w14:paraId="4DA1A343">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p>
    <w:p w14:paraId="34746AA6">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Cs w:val="21"/>
          <w:highlight w:val="none"/>
          <w:u w:val="single"/>
        </w:rPr>
        <w:t>河北女子职业技术学院辛集校区建设</w:t>
      </w:r>
      <w:r>
        <w:rPr>
          <w:rFonts w:hint="eastAsia" w:ascii="宋体" w:hAnsi="宋体" w:eastAsia="宋体" w:cs="宋体"/>
          <w:color w:val="auto"/>
          <w:szCs w:val="21"/>
          <w:highlight w:val="none"/>
          <w:u w:val="single"/>
          <w:lang w:val="en-US" w:eastAsia="zh-CN"/>
        </w:rPr>
        <w:t>工程</w:t>
      </w:r>
      <w:r>
        <w:rPr>
          <w:rFonts w:hint="eastAsia" w:ascii="宋体" w:hAnsi="宋体" w:cs="宋体"/>
          <w:color w:val="auto"/>
          <w:szCs w:val="21"/>
          <w:highlight w:val="none"/>
        </w:rPr>
        <w:t>项目的工程总承包及有关事项协商一致，共同达成如下协议：</w:t>
      </w:r>
    </w:p>
    <w:p w14:paraId="1E4EF66A">
      <w:pPr>
        <w:pStyle w:val="84"/>
        <w:numPr>
          <w:ilvl w:val="0"/>
          <w:numId w:val="0"/>
        </w:numPr>
        <w:rPr>
          <w:rFonts w:hint="eastAsia" w:cs="宋体"/>
          <w:b w:val="0"/>
          <w:color w:val="auto"/>
          <w:sz w:val="21"/>
          <w:szCs w:val="21"/>
          <w:highlight w:val="none"/>
        </w:rPr>
      </w:pPr>
      <w:bookmarkStart w:id="682" w:name="_Toc22890"/>
      <w:bookmarkStart w:id="683" w:name="_Toc26356"/>
      <w:bookmarkStart w:id="684" w:name="_Toc31163"/>
      <w:bookmarkStart w:id="685" w:name="_Toc103175642"/>
      <w:bookmarkStart w:id="686" w:name="_Toc23718"/>
      <w:bookmarkStart w:id="687" w:name="_Toc22355"/>
      <w:bookmarkStart w:id="688" w:name="_Toc8365"/>
      <w:bookmarkStart w:id="689" w:name="_Toc19378"/>
      <w:bookmarkStart w:id="690" w:name="_Toc5418"/>
      <w:bookmarkStart w:id="691" w:name="_Toc10005"/>
      <w:bookmarkStart w:id="692" w:name="_Toc4849"/>
      <w:r>
        <w:rPr>
          <w:rFonts w:hint="eastAsia" w:cs="宋体"/>
          <w:b w:val="0"/>
          <w:color w:val="auto"/>
          <w:sz w:val="21"/>
          <w:szCs w:val="21"/>
          <w:highlight w:val="none"/>
        </w:rPr>
        <w:t>一、工程概况</w:t>
      </w:r>
      <w:bookmarkEnd w:id="682"/>
      <w:bookmarkEnd w:id="683"/>
      <w:bookmarkEnd w:id="684"/>
      <w:bookmarkEnd w:id="685"/>
      <w:bookmarkEnd w:id="686"/>
      <w:bookmarkEnd w:id="687"/>
      <w:bookmarkEnd w:id="688"/>
      <w:bookmarkEnd w:id="689"/>
      <w:bookmarkEnd w:id="690"/>
      <w:bookmarkEnd w:id="691"/>
      <w:bookmarkEnd w:id="692"/>
    </w:p>
    <w:p w14:paraId="4B8B05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工程名称：</w:t>
      </w:r>
      <w:r>
        <w:rPr>
          <w:rFonts w:hint="eastAsia" w:ascii="宋体" w:hAnsi="宋体" w:eastAsia="宋体" w:cs="宋体"/>
          <w:color w:val="auto"/>
          <w:szCs w:val="21"/>
          <w:highlight w:val="none"/>
          <w:u w:val="single"/>
        </w:rPr>
        <w:t>河北女子职业技术学院辛集校区建设</w:t>
      </w:r>
      <w:r>
        <w:rPr>
          <w:rFonts w:hint="eastAsia" w:ascii="宋体" w:hAnsi="宋体" w:eastAsia="宋体" w:cs="宋体"/>
          <w:color w:val="auto"/>
          <w:szCs w:val="21"/>
          <w:highlight w:val="none"/>
          <w:u w:val="single"/>
          <w:lang w:val="en-US" w:eastAsia="zh-CN"/>
        </w:rPr>
        <w:t>工程工程总承包</w:t>
      </w:r>
      <w:r>
        <w:rPr>
          <w:rFonts w:hint="eastAsia" w:ascii="宋体" w:hAnsi="宋体" w:cs="宋体"/>
          <w:color w:val="auto"/>
          <w:szCs w:val="21"/>
          <w:highlight w:val="none"/>
        </w:rPr>
        <w:t>。</w:t>
      </w:r>
    </w:p>
    <w:p w14:paraId="43977F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工程地点：</w:t>
      </w:r>
      <w:r>
        <w:rPr>
          <w:rFonts w:hint="eastAsia" w:ascii="宋体" w:hAnsi="宋体" w:cs="宋体"/>
          <w:color w:val="auto"/>
          <w:szCs w:val="21"/>
          <w:highlight w:val="none"/>
          <w:u w:val="single"/>
        </w:rPr>
        <w:t>河北省辛集市河北女子职业技术学院辛集校区院内规划位置，富强大街以北，教育路南延段西侧，南环路以南，安新线以东</w:t>
      </w:r>
      <w:r>
        <w:rPr>
          <w:rFonts w:hint="eastAsia" w:ascii="宋体" w:hAnsi="宋体" w:cs="宋体"/>
          <w:color w:val="auto"/>
          <w:szCs w:val="21"/>
          <w:highlight w:val="none"/>
        </w:rPr>
        <w:t>。</w:t>
      </w:r>
    </w:p>
    <w:p w14:paraId="0FE731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工程审批、核准或备案文号：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0212147F">
      <w:pPr>
        <w:spacing w:line="360" w:lineRule="auto"/>
        <w:ind w:firstLine="420" w:firstLineChars="200"/>
        <w:rPr>
          <w:rFonts w:hint="eastAsia" w:ascii="宋体" w:hAnsi="宋体" w:cs="宋体"/>
          <w:color w:val="auto"/>
          <w:szCs w:val="21"/>
          <w:highlight w:val="yellow"/>
        </w:rPr>
      </w:pPr>
      <w:r>
        <w:rPr>
          <w:rFonts w:hint="eastAsia" w:ascii="宋体" w:hAnsi="宋体" w:cs="宋体"/>
          <w:color w:val="auto"/>
          <w:szCs w:val="21"/>
          <w:highlight w:val="none"/>
        </w:rPr>
        <w:t>4. 资金来源：</w:t>
      </w:r>
      <w:r>
        <w:rPr>
          <w:rFonts w:hint="eastAsia" w:ascii="宋体" w:hAnsi="宋体" w:cs="宋体"/>
          <w:color w:val="auto"/>
          <w:szCs w:val="21"/>
          <w:highlight w:val="none"/>
          <w:u w:val="single"/>
          <w:lang w:val="en-US" w:eastAsia="zh-CN"/>
        </w:rPr>
        <w:t>通过</w:t>
      </w:r>
      <w:r>
        <w:rPr>
          <w:rFonts w:hint="eastAsia" w:ascii="宋体" w:hAnsi="宋体" w:cs="宋体"/>
          <w:color w:val="auto"/>
          <w:szCs w:val="21"/>
          <w:highlight w:val="none"/>
          <w:u w:val="single"/>
        </w:rPr>
        <w:t>地方政府专项债券</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统筹生均拨款、学宿费收入等筹措解决</w:t>
      </w:r>
      <w:r>
        <w:rPr>
          <w:rFonts w:hint="eastAsia" w:ascii="宋体" w:hAnsi="宋体" w:cs="宋体"/>
          <w:color w:val="auto"/>
          <w:szCs w:val="21"/>
          <w:highlight w:val="none"/>
        </w:rPr>
        <w:t>。</w:t>
      </w:r>
    </w:p>
    <w:p w14:paraId="5753E0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工程内容及规模：</w:t>
      </w:r>
      <w:r>
        <w:rPr>
          <w:rFonts w:hint="eastAsia" w:ascii="宋体" w:hAnsi="宋体" w:cs="宋体"/>
          <w:color w:val="auto"/>
          <w:szCs w:val="21"/>
          <w:highlight w:val="none"/>
          <w:u w:val="single"/>
        </w:rPr>
        <w:t>总建筑面积273884.4平方米，其中地上260036.25平方米，地下13848.15平方米。主要建设公共教学楼2栋，建筑面积19919.72平方米；教学实训楼5栋，建筑面积65024.41平方米(含人防3936.53平方米)；1#连廊，建筑面积688.24平方米；实训车间，建筑面积3480.72平方米；图书综合楼1栋，建筑面积24905.23平方米；学生活动中心1栋，建筑面积1922.24平方米；风雨操场，建筑面积13163.85平方米(含人防4047.12平方米)；体育看台1栋，建筑面积2841.01平方米；校级教研楼1栋，建筑面积7180.81平方米；学术报告厅1栋，建筑面积4969.91平方米。学生公寓14栋，建筑面积98995.92平方米；单身教师公寓1栋，建筑面积5499.44平方米；学生食堂4栋，建筑面积21182.23平方米(含人防5215.52平方米)；后勤服务楼1栋，建筑面积1945.54平方米；附属用房1栋，建筑面积1940.29平方米；东校门，建筑面积49.56平方米；南校门，建筑面积175.28平方米。配套实施道路、室外铺装、运动场地、绿化、围墙以及给排水、电气、供暖、燃气、消防地下管网等室外工程。</w:t>
      </w:r>
    </w:p>
    <w:p w14:paraId="024146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工程承包范围：</w:t>
      </w:r>
      <w:r>
        <w:rPr>
          <w:rFonts w:hint="eastAsia" w:ascii="宋体" w:hAnsi="宋体" w:eastAsia="宋体" w:cs="宋体"/>
          <w:color w:val="auto"/>
          <w:szCs w:val="21"/>
          <w:highlight w:val="none"/>
          <w:u w:val="single"/>
        </w:rPr>
        <w:t>完成本标段设计阶段工作（包括但不限于项目设计优化、施工图设计、BIM建模等全部设计工作，施工图应满足相关规范要求并完成施工图审查等相关工作）；完成本标段施工阶段工作（包括但不限于初步设计及施工图范围内的全部施工内容，负责建筑材料及设备的采购、安装、调试，办理开工前及施工过程中所有相关建设手续），完成各项专业验收和竣工验收（包括但不限于规划验收、人防验收、消防验收、档案验收、竣工验收等）；验收合格后整体移交；工程保修期内的缺陷修复等各项保修工作。（涵盖初步设计批复的全部内容及实现功能需要的全部设计内容、以及根据招标人的需要在初步设计范围内增加的建设内容）</w:t>
      </w:r>
      <w:r>
        <w:rPr>
          <w:rFonts w:hint="eastAsia" w:ascii="宋体" w:hAnsi="宋体" w:eastAsia="宋体" w:cs="宋体"/>
          <w:color w:val="auto"/>
          <w:szCs w:val="21"/>
          <w:highlight w:val="none"/>
        </w:rPr>
        <w:t>。</w:t>
      </w:r>
    </w:p>
    <w:p w14:paraId="0CEAE631">
      <w:pPr>
        <w:pStyle w:val="84"/>
        <w:numPr>
          <w:ilvl w:val="0"/>
          <w:numId w:val="0"/>
        </w:numPr>
        <w:rPr>
          <w:rFonts w:hint="eastAsia" w:cs="宋体"/>
          <w:b w:val="0"/>
          <w:color w:val="auto"/>
          <w:sz w:val="21"/>
          <w:szCs w:val="21"/>
          <w:highlight w:val="none"/>
        </w:rPr>
      </w:pPr>
      <w:bookmarkStart w:id="693" w:name="_Toc26095"/>
      <w:bookmarkStart w:id="694" w:name="_Toc22470"/>
      <w:bookmarkStart w:id="695" w:name="_Toc754"/>
      <w:bookmarkStart w:id="696" w:name="_Toc15733"/>
      <w:bookmarkStart w:id="697" w:name="_Toc4942"/>
      <w:bookmarkStart w:id="698" w:name="_Toc103175643"/>
      <w:bookmarkStart w:id="699" w:name="_Toc5086"/>
      <w:bookmarkStart w:id="700" w:name="_Toc2987"/>
      <w:bookmarkStart w:id="701" w:name="_Toc682"/>
      <w:bookmarkStart w:id="702" w:name="_Toc8370"/>
      <w:bookmarkStart w:id="703" w:name="_Toc12925"/>
      <w:r>
        <w:rPr>
          <w:rFonts w:hint="eastAsia" w:cs="宋体"/>
          <w:b w:val="0"/>
          <w:color w:val="auto"/>
          <w:sz w:val="21"/>
          <w:szCs w:val="21"/>
          <w:highlight w:val="none"/>
        </w:rPr>
        <w:t>二、合同工期</w:t>
      </w:r>
      <w:bookmarkEnd w:id="693"/>
      <w:bookmarkEnd w:id="694"/>
      <w:bookmarkEnd w:id="695"/>
      <w:bookmarkEnd w:id="696"/>
      <w:bookmarkEnd w:id="697"/>
      <w:bookmarkEnd w:id="698"/>
      <w:bookmarkEnd w:id="699"/>
      <w:bookmarkEnd w:id="700"/>
      <w:bookmarkEnd w:id="701"/>
      <w:bookmarkEnd w:id="702"/>
      <w:bookmarkEnd w:id="703"/>
    </w:p>
    <w:p w14:paraId="40BD23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none"/>
          <w:lang w:val="en-US" w:eastAsia="zh-CN"/>
        </w:rPr>
        <w:t>2026</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日</w:t>
      </w:r>
      <w:r>
        <w:rPr>
          <w:rFonts w:hint="eastAsia" w:ascii="宋体" w:hAnsi="宋体" w:cs="宋体"/>
          <w:color w:val="auto"/>
          <w:szCs w:val="21"/>
          <w:highlight w:val="none"/>
        </w:rPr>
        <w:t>。</w:t>
      </w:r>
    </w:p>
    <w:p w14:paraId="001AED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一、二、三标段：2027年7月31日，四标段：2028年7月31日</w:t>
      </w:r>
      <w:r>
        <w:rPr>
          <w:rFonts w:hint="eastAsia" w:ascii="宋体" w:hAnsi="宋体" w:cs="宋体"/>
          <w:color w:val="auto"/>
          <w:szCs w:val="21"/>
          <w:highlight w:val="none"/>
        </w:rPr>
        <w:t>。</w:t>
      </w:r>
    </w:p>
    <w:p w14:paraId="36316A9A">
      <w:pPr>
        <w:spacing w:line="360" w:lineRule="auto"/>
        <w:ind w:firstLine="420" w:firstLineChars="200"/>
        <w:rPr>
          <w:rFonts w:hint="eastAsia"/>
          <w:color w:val="auto"/>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一、二、三标段：577日历天，四标段：943日历天</w:t>
      </w:r>
      <w:r>
        <w:rPr>
          <w:rFonts w:hint="eastAsia" w:ascii="宋体" w:hAnsi="宋体" w:cs="宋体"/>
          <w:color w:val="auto"/>
          <w:szCs w:val="21"/>
          <w:highlight w:val="none"/>
          <w:lang w:eastAsia="zh-CN"/>
        </w:rPr>
        <w:t>（其中施工</w:t>
      </w:r>
      <w:r>
        <w:rPr>
          <w:rFonts w:hint="eastAsia" w:ascii="宋体" w:hAnsi="宋体" w:cs="宋体"/>
          <w:color w:val="auto"/>
          <w:szCs w:val="21"/>
          <w:highlight w:val="none"/>
          <w:u w:val="single"/>
        </w:rPr>
        <w:t>一、二、三标段：577日历天，四标段：943日历天</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u w:val="single"/>
          <w:lang w:val="en-US" w:eastAsia="zh-CN"/>
        </w:rPr>
        <w:t>60日历天</w:t>
      </w:r>
      <w:r>
        <w:rPr>
          <w:rFonts w:hint="eastAsia" w:ascii="宋体" w:hAnsi="宋体" w:cs="宋体"/>
          <w:color w:val="auto"/>
          <w:szCs w:val="21"/>
          <w:highlight w:val="none"/>
          <w:lang w:eastAsia="zh-CN"/>
        </w:rPr>
        <w:t>）</w:t>
      </w:r>
      <w:r>
        <w:rPr>
          <w:rFonts w:hint="eastAsia" w:ascii="宋体" w:hAnsi="宋体" w:cs="宋体"/>
          <w:color w:val="auto"/>
          <w:szCs w:val="21"/>
          <w:highlight w:val="none"/>
        </w:rPr>
        <w:t>。工期总日历天数与根据前述计划开竣工日期计算的工期天数不一致的，以工期总日历天数为准。实际开工日期以监理开工令为准。</w:t>
      </w:r>
    </w:p>
    <w:p w14:paraId="7E4D2781">
      <w:pPr>
        <w:pStyle w:val="84"/>
        <w:numPr>
          <w:ilvl w:val="0"/>
          <w:numId w:val="0"/>
        </w:numPr>
        <w:rPr>
          <w:rFonts w:hint="eastAsia" w:cs="宋体"/>
          <w:b w:val="0"/>
          <w:color w:val="auto"/>
          <w:sz w:val="21"/>
          <w:szCs w:val="21"/>
          <w:highlight w:val="none"/>
        </w:rPr>
      </w:pPr>
      <w:bookmarkStart w:id="704" w:name="_Toc17754"/>
      <w:bookmarkStart w:id="705" w:name="_Toc16020"/>
      <w:bookmarkStart w:id="706" w:name="_Toc31187"/>
      <w:bookmarkStart w:id="707" w:name="_Toc6758"/>
      <w:bookmarkStart w:id="708" w:name="_Toc7577"/>
      <w:bookmarkStart w:id="709" w:name="_Toc103175644"/>
      <w:bookmarkStart w:id="710" w:name="_Toc9996"/>
      <w:bookmarkStart w:id="711" w:name="_Toc19085"/>
      <w:bookmarkStart w:id="712" w:name="_Toc9192"/>
      <w:bookmarkStart w:id="713" w:name="_Toc9412"/>
      <w:bookmarkStart w:id="714" w:name="_Toc15284"/>
      <w:r>
        <w:rPr>
          <w:rFonts w:hint="eastAsia" w:cs="宋体"/>
          <w:b w:val="0"/>
          <w:color w:val="auto"/>
          <w:sz w:val="21"/>
          <w:szCs w:val="21"/>
          <w:highlight w:val="none"/>
        </w:rPr>
        <w:t>三、质量标准</w:t>
      </w:r>
      <w:bookmarkEnd w:id="704"/>
      <w:bookmarkEnd w:id="705"/>
      <w:bookmarkEnd w:id="706"/>
      <w:bookmarkEnd w:id="707"/>
      <w:bookmarkEnd w:id="708"/>
      <w:bookmarkEnd w:id="709"/>
      <w:bookmarkEnd w:id="710"/>
      <w:bookmarkEnd w:id="711"/>
      <w:bookmarkEnd w:id="712"/>
      <w:bookmarkEnd w:id="713"/>
      <w:bookmarkEnd w:id="714"/>
    </w:p>
    <w:p w14:paraId="0DF238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（1）设计质量标准</w:t>
      </w:r>
      <w:r>
        <w:rPr>
          <w:rFonts w:hint="eastAsia" w:ascii="宋体" w:hAnsi="宋体" w:cs="宋体"/>
          <w:color w:val="auto"/>
          <w:szCs w:val="21"/>
          <w:highlight w:val="none"/>
          <w:u w:val="none"/>
        </w:rPr>
        <w:t>：</w:t>
      </w:r>
      <w:r>
        <w:rPr>
          <w:rFonts w:hint="eastAsia" w:ascii="宋体" w:hAnsi="宋体" w:cs="宋体"/>
          <w:color w:val="auto"/>
          <w:szCs w:val="21"/>
          <w:highlight w:val="none"/>
          <w:u w:val="single"/>
        </w:rPr>
        <w:t>满足现行设计规范的要求，并通过相关部门的综合审查、验收</w:t>
      </w:r>
      <w:r>
        <w:rPr>
          <w:rFonts w:hint="eastAsia" w:ascii="宋体" w:hAnsi="宋体" w:cs="宋体"/>
          <w:color w:val="auto"/>
          <w:szCs w:val="21"/>
          <w:highlight w:val="none"/>
          <w:u w:val="none"/>
        </w:rPr>
        <w:t>。</w:t>
      </w:r>
    </w:p>
    <w:p w14:paraId="413F0707">
      <w:pPr>
        <w:pStyle w:val="16"/>
        <w:rPr>
          <w:rFonts w:hint="eastAsia"/>
          <w:color w:val="auto"/>
          <w:highlight w:val="none"/>
        </w:rPr>
      </w:pPr>
      <w:r>
        <w:rPr>
          <w:rFonts w:hint="eastAsia"/>
          <w:color w:val="auto"/>
          <w:highlight w:val="none"/>
        </w:rPr>
        <w:t>（2）施工质量标准</w:t>
      </w:r>
      <w:r>
        <w:rPr>
          <w:rFonts w:hint="eastAsia"/>
          <w:color w:val="auto"/>
          <w:highlight w:val="none"/>
          <w:lang w:eastAsia="zh-CN"/>
        </w:rPr>
        <w:t>：</w:t>
      </w:r>
      <w:r>
        <w:rPr>
          <w:rFonts w:hint="eastAsia"/>
          <w:color w:val="auto"/>
          <w:highlight w:val="none"/>
          <w:u w:val="single"/>
          <w:lang w:eastAsia="zh-CN"/>
        </w:rPr>
        <w:t>合格</w:t>
      </w:r>
      <w:r>
        <w:rPr>
          <w:rFonts w:hint="eastAsia"/>
          <w:color w:val="auto"/>
          <w:highlight w:val="none"/>
        </w:rPr>
        <w:t>。</w:t>
      </w:r>
    </w:p>
    <w:p w14:paraId="6B11A26A">
      <w:pPr>
        <w:pStyle w:val="84"/>
        <w:numPr>
          <w:ilvl w:val="0"/>
          <w:numId w:val="0"/>
        </w:numPr>
        <w:rPr>
          <w:rFonts w:hint="eastAsia" w:cs="宋体"/>
          <w:b w:val="0"/>
          <w:color w:val="auto"/>
          <w:sz w:val="21"/>
          <w:szCs w:val="21"/>
          <w:highlight w:val="none"/>
        </w:rPr>
      </w:pPr>
      <w:bookmarkStart w:id="715" w:name="_Toc10041"/>
      <w:bookmarkStart w:id="716" w:name="_Toc22923"/>
      <w:bookmarkStart w:id="717" w:name="_Toc103175645"/>
      <w:bookmarkStart w:id="718" w:name="_Toc11375"/>
      <w:bookmarkStart w:id="719" w:name="_Toc11467"/>
      <w:bookmarkStart w:id="720" w:name="_Toc25638"/>
      <w:bookmarkStart w:id="721" w:name="_Toc21104"/>
      <w:bookmarkStart w:id="722" w:name="_Toc5385"/>
      <w:bookmarkStart w:id="723" w:name="_Toc24516"/>
      <w:bookmarkStart w:id="724" w:name="_Toc5778"/>
      <w:bookmarkStart w:id="725" w:name="_Toc15888"/>
      <w:r>
        <w:rPr>
          <w:rFonts w:hint="eastAsia" w:cs="宋体"/>
          <w:b w:val="0"/>
          <w:color w:val="auto"/>
          <w:sz w:val="21"/>
          <w:szCs w:val="21"/>
          <w:highlight w:val="none"/>
        </w:rPr>
        <w:t>四、签约合同价与合同价格形式</w:t>
      </w:r>
      <w:bookmarkEnd w:id="715"/>
      <w:bookmarkEnd w:id="716"/>
      <w:bookmarkEnd w:id="717"/>
      <w:bookmarkEnd w:id="718"/>
      <w:bookmarkEnd w:id="719"/>
      <w:bookmarkEnd w:id="720"/>
      <w:bookmarkEnd w:id="721"/>
      <w:bookmarkEnd w:id="722"/>
      <w:bookmarkEnd w:id="723"/>
      <w:bookmarkEnd w:id="724"/>
      <w:bookmarkEnd w:id="725"/>
    </w:p>
    <w:p w14:paraId="726C91B7">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1. 签约合同价（含税）为：</w:t>
      </w:r>
    </w:p>
    <w:p w14:paraId="614153DC">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人民币（大写)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10D18908">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具体构成详见价格清单。其中： </w:t>
      </w:r>
    </w:p>
    <w:p w14:paraId="326BFC42">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（1） 设计费（含税）：</w:t>
      </w:r>
    </w:p>
    <w:p w14:paraId="434A1F22">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人民币（大写)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元）；适用税率：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%，税金为人民币（大写)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元）； </w:t>
      </w:r>
    </w:p>
    <w:p w14:paraId="3BED7F8A">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（2） 设备购置费（含税）：</w:t>
      </w:r>
    </w:p>
    <w:p w14:paraId="594399F2">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人民币（大写)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元）；适用税率：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%，税金为人民币（大写)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元）； </w:t>
      </w:r>
    </w:p>
    <w:p w14:paraId="30C19DA3">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（3） 建筑安装工程费（含税）：</w:t>
      </w:r>
    </w:p>
    <w:p w14:paraId="6CE5098C">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元）；适用税率：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%，税金为人民币（大写)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元）； </w:t>
      </w:r>
    </w:p>
    <w:p w14:paraId="3B3DE4F0">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（4） 暂估价（含税）：</w:t>
      </w:r>
    </w:p>
    <w:p w14:paraId="492B2F12">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3BC702C">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（5） 暂列金额（含税）：</w:t>
      </w:r>
    </w:p>
    <w:p w14:paraId="54240AA9">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7DA7EA7C">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（6） 双方约定的其他费用（含税）：</w:t>
      </w:r>
    </w:p>
    <w:p w14:paraId="72103541">
      <w:pPr>
        <w:spacing w:line="360" w:lineRule="auto"/>
        <w:ind w:firstLine="600"/>
        <w:jc w:val="left"/>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元）；适用税率：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%，税金为人民币（大写)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467DA2AF">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2. 合同价格形式：</w:t>
      </w:r>
    </w:p>
    <w:p w14:paraId="79A97537">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合同价格形式为</w:t>
      </w:r>
      <w:r>
        <w:rPr>
          <w:rFonts w:hint="eastAsia" w:ascii="宋体" w:hAnsi="宋体" w:cs="宋体"/>
          <w:color w:val="auto"/>
          <w:szCs w:val="21"/>
          <w:highlight w:val="none"/>
          <w:u w:val="single"/>
          <w:lang w:val="en-US" w:eastAsia="zh-CN"/>
        </w:rPr>
        <w:t>工程</w:t>
      </w:r>
      <w:r>
        <w:rPr>
          <w:rFonts w:hint="eastAsia" w:ascii="宋体" w:hAnsi="宋体" w:cs="宋体"/>
          <w:color w:val="auto"/>
          <w:szCs w:val="21"/>
          <w:highlight w:val="none"/>
          <w:u w:val="single"/>
        </w:rPr>
        <w:t>总价合同</w:t>
      </w:r>
      <w:r>
        <w:rPr>
          <w:rFonts w:hint="eastAsia" w:ascii="宋体" w:hAnsi="宋体" w:cs="宋体"/>
          <w:color w:val="auto"/>
          <w:szCs w:val="21"/>
          <w:highlight w:val="none"/>
        </w:rPr>
        <w:t>，除根据合同约定的在工程实施过程中需进行增减的款项外，合同价格不予调整，但合同当事人另有约定的除外。</w:t>
      </w:r>
    </w:p>
    <w:p w14:paraId="16BFD7A7">
      <w:pPr>
        <w:kinsoku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合同当事人对合同价格形式的其他约定：</w:t>
      </w:r>
      <w:r>
        <w:rPr>
          <w:rFonts w:hint="eastAsia" w:ascii="宋体" w:hAnsi="宋体" w:cs="宋体"/>
          <w:color w:val="auto"/>
          <w:szCs w:val="21"/>
          <w:highlight w:val="none"/>
          <w:u w:val="single"/>
        </w:rPr>
        <w:t>本项目采用可调总价合同，在计价结算和竣工决算审核时，对符合工程总承包合同约定的变更调整部分进行审核，按审定价格结算。合同价格应当在充分竞争的基础上合理确定，除招标文件或者工程总承包合同中约定的调价原则外，合同价款一般不予调整。采用施工过程结算，由合同双方按合同约定的结算周期内完成的工程内容实施工程价款计算、调整、确认及支付</w:t>
      </w:r>
      <w:r>
        <w:rPr>
          <w:rFonts w:hint="eastAsia" w:ascii="宋体" w:hAnsi="宋体" w:cs="宋体"/>
          <w:color w:val="auto"/>
          <w:szCs w:val="21"/>
          <w:highlight w:val="none"/>
        </w:rPr>
        <w:t>。</w:t>
      </w:r>
    </w:p>
    <w:p w14:paraId="03060BF7">
      <w:pPr>
        <w:pStyle w:val="84"/>
        <w:numPr>
          <w:ilvl w:val="0"/>
          <w:numId w:val="0"/>
        </w:numPr>
        <w:rPr>
          <w:rFonts w:hint="eastAsia" w:cs="宋体"/>
          <w:b w:val="0"/>
          <w:color w:val="auto"/>
          <w:sz w:val="21"/>
          <w:szCs w:val="21"/>
          <w:highlight w:val="none"/>
        </w:rPr>
      </w:pPr>
      <w:bookmarkStart w:id="726" w:name="_Toc10014"/>
      <w:bookmarkStart w:id="727" w:name="_Toc26491"/>
      <w:bookmarkStart w:id="728" w:name="_Toc25690"/>
      <w:bookmarkStart w:id="729" w:name="_Toc9011"/>
      <w:bookmarkStart w:id="730" w:name="_Toc6221"/>
      <w:bookmarkStart w:id="731" w:name="_Toc7241"/>
      <w:bookmarkStart w:id="732" w:name="_Toc28275"/>
      <w:bookmarkStart w:id="733" w:name="_Toc103175646"/>
      <w:bookmarkStart w:id="734" w:name="_Toc16399"/>
      <w:bookmarkStart w:id="735" w:name="_Toc8619"/>
      <w:r>
        <w:rPr>
          <w:rFonts w:hint="eastAsia" w:cs="宋体"/>
          <w:b w:val="0"/>
          <w:color w:val="auto"/>
          <w:sz w:val="21"/>
          <w:szCs w:val="21"/>
          <w:highlight w:val="none"/>
        </w:rPr>
        <w:t>五、工程总承包项目经理</w:t>
      </w:r>
      <w:bookmarkEnd w:id="726"/>
      <w:bookmarkEnd w:id="727"/>
      <w:bookmarkEnd w:id="728"/>
      <w:bookmarkEnd w:id="729"/>
      <w:bookmarkEnd w:id="730"/>
      <w:bookmarkEnd w:id="731"/>
      <w:bookmarkEnd w:id="732"/>
      <w:bookmarkEnd w:id="733"/>
      <w:bookmarkEnd w:id="734"/>
      <w:bookmarkEnd w:id="735"/>
    </w:p>
    <w:p w14:paraId="081ADC43">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工程总承包项目经理：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11C39A">
      <w:pPr>
        <w:pStyle w:val="84"/>
        <w:numPr>
          <w:ilvl w:val="0"/>
          <w:numId w:val="0"/>
        </w:numPr>
        <w:rPr>
          <w:rFonts w:hint="eastAsia" w:cs="宋体"/>
          <w:b w:val="0"/>
          <w:color w:val="auto"/>
          <w:sz w:val="21"/>
          <w:szCs w:val="21"/>
          <w:highlight w:val="none"/>
        </w:rPr>
      </w:pPr>
      <w:bookmarkStart w:id="736" w:name="_Toc20518"/>
      <w:bookmarkStart w:id="737" w:name="_Toc15760"/>
      <w:bookmarkStart w:id="738" w:name="_Toc5590"/>
      <w:bookmarkStart w:id="739" w:name="_Toc20567"/>
      <w:bookmarkStart w:id="740" w:name="_Toc19180"/>
      <w:bookmarkStart w:id="741" w:name="_Toc2212"/>
      <w:bookmarkStart w:id="742" w:name="_Toc27418"/>
      <w:bookmarkStart w:id="743" w:name="_Toc103175647"/>
      <w:bookmarkStart w:id="744" w:name="_Toc17363"/>
      <w:bookmarkStart w:id="745" w:name="_Toc30309"/>
      <w:bookmarkStart w:id="746" w:name="_Toc29509"/>
      <w:r>
        <w:rPr>
          <w:rFonts w:hint="eastAsia" w:cs="宋体"/>
          <w:b w:val="0"/>
          <w:color w:val="auto"/>
          <w:sz w:val="21"/>
          <w:szCs w:val="21"/>
          <w:highlight w:val="none"/>
        </w:rPr>
        <w:t>六、合同文件构成</w:t>
      </w:r>
      <w:bookmarkEnd w:id="736"/>
      <w:bookmarkEnd w:id="737"/>
      <w:bookmarkEnd w:id="738"/>
      <w:bookmarkEnd w:id="739"/>
      <w:bookmarkEnd w:id="740"/>
      <w:bookmarkEnd w:id="741"/>
      <w:bookmarkEnd w:id="742"/>
      <w:bookmarkEnd w:id="743"/>
      <w:bookmarkEnd w:id="744"/>
      <w:bookmarkEnd w:id="745"/>
      <w:bookmarkEnd w:id="746"/>
    </w:p>
    <w:p w14:paraId="34510A3C">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本协议书与下列文件一起构成合同文件：</w:t>
      </w:r>
    </w:p>
    <w:p w14:paraId="60DCEC7C">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（1）中标通知书；</w:t>
      </w:r>
    </w:p>
    <w:p w14:paraId="33CE1724">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（2）专用合同条</w:t>
      </w:r>
      <w:r>
        <w:rPr>
          <w:rFonts w:hint="eastAsia" w:ascii="宋体" w:hAnsi="宋体" w:cs="宋体"/>
          <w:color w:val="auto"/>
          <w:szCs w:val="21"/>
          <w:highlight w:val="none"/>
          <w:lang w:eastAsia="zh-CN"/>
        </w:rPr>
        <w:t>件</w:t>
      </w:r>
      <w:r>
        <w:rPr>
          <w:rFonts w:hint="eastAsia" w:ascii="宋体" w:hAnsi="宋体" w:cs="宋体"/>
          <w:color w:val="auto"/>
          <w:szCs w:val="21"/>
          <w:highlight w:val="none"/>
        </w:rPr>
        <w:t>及《发包人要求》等附件；</w:t>
      </w:r>
    </w:p>
    <w:p w14:paraId="069B2250">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（3）招标文件；</w:t>
      </w:r>
    </w:p>
    <w:p w14:paraId="0F39563A">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（4）投标文件及其附件、履行本合同的相关补充协议（含工程变更、签证、洽商等文件）；</w:t>
      </w:r>
    </w:p>
    <w:p w14:paraId="63912CF6">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（5）通用合同条</w:t>
      </w:r>
      <w:r>
        <w:rPr>
          <w:rFonts w:hint="eastAsia" w:ascii="宋体" w:hAnsi="宋体" w:cs="宋体"/>
          <w:color w:val="auto"/>
          <w:szCs w:val="21"/>
          <w:highlight w:val="none"/>
          <w:lang w:eastAsia="zh-CN"/>
        </w:rPr>
        <w:t>件</w:t>
      </w:r>
      <w:r>
        <w:rPr>
          <w:rFonts w:hint="eastAsia" w:ascii="宋体" w:hAnsi="宋体" w:cs="宋体"/>
          <w:color w:val="auto"/>
          <w:szCs w:val="21"/>
          <w:highlight w:val="none"/>
        </w:rPr>
        <w:t>；</w:t>
      </w:r>
    </w:p>
    <w:p w14:paraId="1ADC2D86">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（6）双方约定的其他合同文件，标准规范及有关技术文件。</w:t>
      </w:r>
    </w:p>
    <w:p w14:paraId="52632D14">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上述各项合同文件包括双方就该项合同文件所作出的补充和修改，属于同一类内容的合同文件应以最新签署的为准。专用合同条件及其附件须经合同当事人签字或盖章。</w:t>
      </w:r>
    </w:p>
    <w:p w14:paraId="31E1E04A">
      <w:pPr>
        <w:pStyle w:val="84"/>
        <w:numPr>
          <w:ilvl w:val="0"/>
          <w:numId w:val="0"/>
        </w:numPr>
        <w:rPr>
          <w:rFonts w:hint="eastAsia" w:cs="宋体"/>
          <w:b w:val="0"/>
          <w:color w:val="auto"/>
          <w:sz w:val="21"/>
          <w:szCs w:val="21"/>
          <w:highlight w:val="none"/>
        </w:rPr>
      </w:pPr>
      <w:bookmarkStart w:id="747" w:name="_Toc242"/>
      <w:bookmarkStart w:id="748" w:name="_Toc5073"/>
      <w:bookmarkStart w:id="749" w:name="_Toc2926"/>
      <w:bookmarkStart w:id="750" w:name="_Toc103175648"/>
      <w:bookmarkStart w:id="751" w:name="_Toc7322"/>
      <w:bookmarkStart w:id="752" w:name="_Toc947"/>
      <w:bookmarkStart w:id="753" w:name="_Toc3490"/>
      <w:bookmarkStart w:id="754" w:name="_Toc5357"/>
      <w:bookmarkStart w:id="755" w:name="_Toc31745"/>
      <w:bookmarkStart w:id="756" w:name="_Toc27392"/>
      <w:bookmarkStart w:id="757" w:name="_Toc16227"/>
      <w:r>
        <w:rPr>
          <w:rFonts w:hint="eastAsia" w:cs="宋体"/>
          <w:b w:val="0"/>
          <w:color w:val="auto"/>
          <w:sz w:val="21"/>
          <w:szCs w:val="21"/>
          <w:highlight w:val="none"/>
        </w:rPr>
        <w:t>七、承诺</w:t>
      </w:r>
      <w:bookmarkEnd w:id="747"/>
      <w:bookmarkEnd w:id="748"/>
      <w:bookmarkEnd w:id="749"/>
      <w:bookmarkEnd w:id="750"/>
      <w:bookmarkEnd w:id="751"/>
      <w:bookmarkEnd w:id="752"/>
      <w:bookmarkEnd w:id="753"/>
      <w:bookmarkEnd w:id="754"/>
      <w:bookmarkEnd w:id="755"/>
      <w:bookmarkEnd w:id="756"/>
      <w:bookmarkEnd w:id="757"/>
    </w:p>
    <w:p w14:paraId="67668250">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1.发包人承诺按照法律规定履行项目审批手续、筹集工程建设资金并按照合同约定的期限和方式支付合同价款。</w:t>
      </w:r>
    </w:p>
    <w:p w14:paraId="6E8B37A0">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2.承包人承诺按照法律规定及合同约定组织完成工程的设计、采购和施工等工作，确保工程质量和安全，不进行转包及违法分包，并在缺陷责任期及保修期内承担相应的工程维修责任。</w:t>
      </w:r>
    </w:p>
    <w:p w14:paraId="4239CBBA">
      <w:pPr>
        <w:pStyle w:val="84"/>
        <w:numPr>
          <w:ilvl w:val="0"/>
          <w:numId w:val="0"/>
        </w:numPr>
        <w:rPr>
          <w:rFonts w:hint="eastAsia" w:cs="宋体"/>
          <w:b w:val="0"/>
          <w:color w:val="auto"/>
          <w:sz w:val="21"/>
          <w:szCs w:val="21"/>
          <w:highlight w:val="none"/>
        </w:rPr>
      </w:pPr>
      <w:bookmarkStart w:id="758" w:name="_Toc15332"/>
      <w:bookmarkStart w:id="759" w:name="_Toc7804"/>
      <w:bookmarkStart w:id="760" w:name="_Toc18905"/>
      <w:bookmarkStart w:id="761" w:name="_Toc21337"/>
      <w:bookmarkStart w:id="762" w:name="_Toc1678"/>
      <w:bookmarkStart w:id="763" w:name="_Toc468"/>
      <w:bookmarkStart w:id="764" w:name="_Toc5493"/>
      <w:bookmarkStart w:id="765" w:name="_Toc32678"/>
      <w:bookmarkStart w:id="766" w:name="_Toc20340"/>
      <w:bookmarkStart w:id="767" w:name="_Toc5812"/>
      <w:bookmarkStart w:id="768" w:name="_Toc103175649"/>
      <w:r>
        <w:rPr>
          <w:rFonts w:hint="eastAsia" w:cs="宋体"/>
          <w:b w:val="0"/>
          <w:color w:val="auto"/>
          <w:sz w:val="21"/>
          <w:szCs w:val="21"/>
          <w:highlight w:val="none"/>
        </w:rPr>
        <w:t>八、订立时间</w:t>
      </w:r>
      <w:bookmarkEnd w:id="758"/>
      <w:bookmarkEnd w:id="759"/>
      <w:bookmarkEnd w:id="760"/>
      <w:bookmarkEnd w:id="761"/>
      <w:bookmarkEnd w:id="762"/>
      <w:bookmarkEnd w:id="763"/>
      <w:bookmarkEnd w:id="764"/>
      <w:bookmarkEnd w:id="765"/>
      <w:bookmarkEnd w:id="766"/>
      <w:bookmarkEnd w:id="767"/>
      <w:bookmarkEnd w:id="768"/>
    </w:p>
    <w:p w14:paraId="3ACA0BA3">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本合同于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日订立。</w:t>
      </w:r>
    </w:p>
    <w:p w14:paraId="0AA6856C">
      <w:pPr>
        <w:pStyle w:val="84"/>
        <w:numPr>
          <w:ilvl w:val="0"/>
          <w:numId w:val="0"/>
        </w:numPr>
        <w:rPr>
          <w:rFonts w:hint="eastAsia" w:cs="宋体"/>
          <w:b w:val="0"/>
          <w:color w:val="auto"/>
          <w:sz w:val="21"/>
          <w:szCs w:val="21"/>
          <w:highlight w:val="none"/>
        </w:rPr>
      </w:pPr>
      <w:bookmarkStart w:id="769" w:name="_Toc26416"/>
      <w:bookmarkStart w:id="770" w:name="_Toc23283"/>
      <w:bookmarkStart w:id="771" w:name="_Toc31657"/>
      <w:bookmarkStart w:id="772" w:name="_Toc27436"/>
      <w:bookmarkStart w:id="773" w:name="_Toc32058"/>
      <w:bookmarkStart w:id="774" w:name="_Toc17415"/>
      <w:bookmarkStart w:id="775" w:name="_Toc22912"/>
      <w:bookmarkStart w:id="776" w:name="_Toc6339"/>
      <w:bookmarkStart w:id="777" w:name="_Toc2082"/>
      <w:bookmarkStart w:id="778" w:name="_Toc9656"/>
      <w:bookmarkStart w:id="779" w:name="_Toc103175650"/>
      <w:r>
        <w:rPr>
          <w:rFonts w:hint="eastAsia" w:cs="宋体"/>
          <w:b w:val="0"/>
          <w:color w:val="auto"/>
          <w:sz w:val="21"/>
          <w:szCs w:val="21"/>
          <w:highlight w:val="none"/>
        </w:rPr>
        <w:t>九、订立地点</w:t>
      </w:r>
      <w:bookmarkEnd w:id="769"/>
      <w:bookmarkEnd w:id="770"/>
      <w:bookmarkEnd w:id="771"/>
      <w:bookmarkEnd w:id="772"/>
      <w:bookmarkEnd w:id="773"/>
      <w:bookmarkEnd w:id="774"/>
      <w:bookmarkEnd w:id="775"/>
      <w:bookmarkEnd w:id="776"/>
      <w:bookmarkEnd w:id="777"/>
      <w:bookmarkEnd w:id="778"/>
      <w:bookmarkEnd w:id="779"/>
    </w:p>
    <w:p w14:paraId="1FEF6183">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本合同在</w:t>
      </w:r>
      <w:r>
        <w:rPr>
          <w:rFonts w:hint="eastAsia" w:ascii="宋体" w:hAnsi="宋体" w:cs="宋体"/>
          <w:color w:val="auto"/>
          <w:szCs w:val="21"/>
          <w:highlight w:val="none"/>
          <w:u w:val="single"/>
        </w:rPr>
        <w:t>石家庄市桥西区红旗街道汇文街16号河北女子职业技术学院</w:t>
      </w:r>
      <w:r>
        <w:rPr>
          <w:rFonts w:hint="eastAsia" w:ascii="宋体" w:hAnsi="宋体" w:cs="宋体"/>
          <w:color w:val="auto"/>
          <w:szCs w:val="21"/>
          <w:highlight w:val="none"/>
        </w:rPr>
        <w:t>订立。</w:t>
      </w:r>
    </w:p>
    <w:p w14:paraId="0BE11D59">
      <w:pPr>
        <w:pStyle w:val="84"/>
        <w:numPr>
          <w:ilvl w:val="0"/>
          <w:numId w:val="0"/>
        </w:numPr>
        <w:rPr>
          <w:rFonts w:hint="eastAsia" w:cs="宋体"/>
          <w:b w:val="0"/>
          <w:color w:val="auto"/>
          <w:sz w:val="21"/>
          <w:szCs w:val="21"/>
          <w:highlight w:val="none"/>
        </w:rPr>
      </w:pPr>
      <w:bookmarkStart w:id="780" w:name="_Toc13148"/>
      <w:bookmarkStart w:id="781" w:name="_Toc6382"/>
      <w:bookmarkStart w:id="782" w:name="_Toc8420"/>
      <w:bookmarkStart w:id="783" w:name="_Toc30192"/>
      <w:bookmarkStart w:id="784" w:name="_Toc5174"/>
      <w:bookmarkStart w:id="785" w:name="_Toc103175651"/>
      <w:bookmarkStart w:id="786" w:name="_Toc19579"/>
      <w:bookmarkStart w:id="787" w:name="_Toc17542"/>
      <w:bookmarkStart w:id="788" w:name="_Toc24784"/>
      <w:bookmarkStart w:id="789" w:name="_Toc13631"/>
      <w:bookmarkStart w:id="790" w:name="_Toc1552"/>
      <w:r>
        <w:rPr>
          <w:rFonts w:hint="eastAsia" w:cs="宋体"/>
          <w:b w:val="0"/>
          <w:color w:val="auto"/>
          <w:sz w:val="21"/>
          <w:szCs w:val="21"/>
          <w:highlight w:val="none"/>
        </w:rPr>
        <w:t>十、合同生效</w:t>
      </w:r>
      <w:bookmarkEnd w:id="780"/>
      <w:bookmarkEnd w:id="781"/>
      <w:bookmarkEnd w:id="782"/>
      <w:bookmarkEnd w:id="783"/>
      <w:bookmarkEnd w:id="784"/>
      <w:bookmarkEnd w:id="785"/>
      <w:bookmarkEnd w:id="786"/>
      <w:bookmarkEnd w:id="787"/>
      <w:bookmarkEnd w:id="788"/>
      <w:bookmarkEnd w:id="789"/>
      <w:bookmarkEnd w:id="790"/>
    </w:p>
    <w:p w14:paraId="589C8472">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双方盖章签字后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生效。</w:t>
      </w:r>
    </w:p>
    <w:p w14:paraId="678DC588">
      <w:pPr>
        <w:pStyle w:val="84"/>
        <w:numPr>
          <w:ilvl w:val="0"/>
          <w:numId w:val="0"/>
        </w:numPr>
        <w:rPr>
          <w:rFonts w:hint="eastAsia" w:cs="宋体"/>
          <w:b w:val="0"/>
          <w:color w:val="auto"/>
          <w:sz w:val="21"/>
          <w:szCs w:val="21"/>
          <w:highlight w:val="none"/>
        </w:rPr>
      </w:pPr>
      <w:bookmarkStart w:id="791" w:name="_Toc6813"/>
      <w:bookmarkStart w:id="792" w:name="_Toc25080"/>
      <w:bookmarkStart w:id="793" w:name="_Toc24053"/>
      <w:bookmarkStart w:id="794" w:name="_Toc6123"/>
      <w:bookmarkStart w:id="795" w:name="_Toc10900"/>
      <w:bookmarkStart w:id="796" w:name="_Toc11315"/>
      <w:bookmarkStart w:id="797" w:name="_Toc19074"/>
      <w:bookmarkStart w:id="798" w:name="_Toc10305"/>
      <w:bookmarkStart w:id="799" w:name="_Toc103175652"/>
      <w:bookmarkStart w:id="800" w:name="_Toc25983"/>
      <w:bookmarkStart w:id="801" w:name="_Toc32656"/>
      <w:r>
        <w:rPr>
          <w:rFonts w:hint="eastAsia" w:cs="宋体"/>
          <w:b w:val="0"/>
          <w:color w:val="auto"/>
          <w:sz w:val="21"/>
          <w:szCs w:val="21"/>
          <w:highlight w:val="none"/>
        </w:rPr>
        <w:t>十一、合同份数</w:t>
      </w:r>
      <w:bookmarkEnd w:id="791"/>
      <w:bookmarkEnd w:id="792"/>
      <w:bookmarkEnd w:id="793"/>
      <w:bookmarkEnd w:id="794"/>
      <w:bookmarkEnd w:id="795"/>
      <w:bookmarkEnd w:id="796"/>
      <w:bookmarkEnd w:id="797"/>
      <w:bookmarkEnd w:id="798"/>
      <w:bookmarkEnd w:id="799"/>
      <w:bookmarkEnd w:id="800"/>
      <w:bookmarkEnd w:id="801"/>
    </w:p>
    <w:p w14:paraId="300ED717">
      <w:pPr>
        <w:spacing w:line="360" w:lineRule="auto"/>
        <w:ind w:left="210" w:leftChars="100" w:firstLine="388" w:firstLineChars="185"/>
        <w:rPr>
          <w:rFonts w:hint="eastAsia"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份，均具有同等法律效力，发包人执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份，承包人执</w:t>
      </w:r>
      <w:r>
        <w:rPr>
          <w:rFonts w:hint="eastAsia" w:ascii="宋体" w:hAnsi="宋体" w:cs="宋体"/>
          <w:color w:val="auto"/>
          <w:szCs w:val="21"/>
          <w:highlight w:val="none"/>
          <w:u w:val="single"/>
          <w:lang w:val="en-US" w:eastAsia="zh-CN"/>
        </w:rPr>
        <w:t xml:space="preserve"> 4 </w:t>
      </w:r>
      <w:r>
        <w:rPr>
          <w:rFonts w:hint="eastAsia" w:ascii="宋体" w:hAnsi="宋体" w:cs="宋体"/>
          <w:color w:val="auto"/>
          <w:szCs w:val="21"/>
          <w:highlight w:val="none"/>
        </w:rPr>
        <w:t>份。</w:t>
      </w:r>
    </w:p>
    <w:p w14:paraId="47BE6E97">
      <w:pPr>
        <w:pStyle w:val="94"/>
        <w:rPr>
          <w:rFonts w:hint="eastAsia"/>
          <w:color w:val="auto"/>
          <w:highlight w:val="none"/>
        </w:rPr>
      </w:pPr>
    </w:p>
    <w:tbl>
      <w:tblPr>
        <w:tblStyle w:val="38"/>
        <w:tblpPr w:leftFromText="180" w:rightFromText="180" w:vertAnchor="text" w:horzAnchor="page" w:tblpX="1702" w:tblpY="119"/>
        <w:tblW w:w="8879" w:type="dxa"/>
        <w:tblInd w:w="0" w:type="dxa"/>
        <w:tblLayout w:type="fixed"/>
        <w:tblCellMar>
          <w:top w:w="0" w:type="dxa"/>
          <w:left w:w="108" w:type="dxa"/>
          <w:bottom w:w="0" w:type="dxa"/>
          <w:right w:w="108" w:type="dxa"/>
        </w:tblCellMar>
      </w:tblPr>
      <w:tblGrid>
        <w:gridCol w:w="4388"/>
        <w:gridCol w:w="4491"/>
      </w:tblGrid>
      <w:tr w14:paraId="1E31AD63">
        <w:tblPrEx>
          <w:tblCellMar>
            <w:top w:w="0" w:type="dxa"/>
            <w:left w:w="108" w:type="dxa"/>
            <w:bottom w:w="0" w:type="dxa"/>
            <w:right w:w="108" w:type="dxa"/>
          </w:tblCellMar>
        </w:tblPrEx>
        <w:trPr>
          <w:trHeight w:val="1305" w:hRule="atLeast"/>
        </w:trPr>
        <w:tc>
          <w:tcPr>
            <w:tcW w:w="4388" w:type="dxa"/>
            <w:noWrap w:val="0"/>
            <w:vAlign w:val="top"/>
          </w:tcPr>
          <w:p w14:paraId="232C186F">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发包人：河北女子职业技术学院（公章）</w:t>
            </w:r>
          </w:p>
          <w:p w14:paraId="1AC9BD47">
            <w:pPr>
              <w:pStyle w:val="85"/>
              <w:framePr w:hSpace="0" w:wrap="auto" w:vAnchor="margin" w:hAnchor="text" w:yAlign="inline"/>
              <w:spacing w:after="50" w:line="360" w:lineRule="auto"/>
              <w:rPr>
                <w:rFonts w:hint="eastAsia" w:hAnsi="宋体" w:cs="宋体"/>
                <w:color w:val="auto"/>
                <w:sz w:val="21"/>
                <w:szCs w:val="21"/>
              </w:rPr>
            </w:pPr>
          </w:p>
        </w:tc>
        <w:tc>
          <w:tcPr>
            <w:tcW w:w="4491" w:type="dxa"/>
            <w:noWrap w:val="0"/>
            <w:vAlign w:val="top"/>
          </w:tcPr>
          <w:p w14:paraId="250C0B62">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承包人：（公章）</w:t>
            </w:r>
          </w:p>
          <w:p w14:paraId="25A35419">
            <w:pPr>
              <w:pStyle w:val="85"/>
              <w:framePr w:hSpace="0" w:wrap="auto" w:vAnchor="margin" w:hAnchor="text" w:yAlign="inline"/>
              <w:spacing w:after="50" w:line="360" w:lineRule="auto"/>
              <w:rPr>
                <w:color w:val="auto"/>
              </w:rPr>
            </w:pPr>
          </w:p>
        </w:tc>
      </w:tr>
      <w:tr w14:paraId="081B6197">
        <w:tblPrEx>
          <w:tblCellMar>
            <w:top w:w="0" w:type="dxa"/>
            <w:left w:w="108" w:type="dxa"/>
            <w:bottom w:w="0" w:type="dxa"/>
            <w:right w:w="108" w:type="dxa"/>
          </w:tblCellMar>
        </w:tblPrEx>
        <w:trPr>
          <w:trHeight w:val="1305" w:hRule="atLeast"/>
        </w:trPr>
        <w:tc>
          <w:tcPr>
            <w:tcW w:w="4388" w:type="dxa"/>
            <w:noWrap w:val="0"/>
            <w:vAlign w:val="top"/>
          </w:tcPr>
          <w:p w14:paraId="6058B41C">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法定代表人或其委托代理人：</w:t>
            </w:r>
          </w:p>
          <w:p w14:paraId="4355C047">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（签章）</w:t>
            </w:r>
          </w:p>
          <w:p w14:paraId="167C42ED">
            <w:pPr>
              <w:pStyle w:val="85"/>
              <w:framePr w:hSpace="0" w:wrap="auto" w:vAnchor="margin" w:hAnchor="text" w:yAlign="inline"/>
              <w:spacing w:after="50" w:line="360" w:lineRule="auto"/>
              <w:rPr>
                <w:rFonts w:hint="eastAsia" w:hAnsi="宋体" w:cs="宋体"/>
                <w:color w:val="auto"/>
                <w:sz w:val="21"/>
                <w:szCs w:val="21"/>
              </w:rPr>
            </w:pPr>
          </w:p>
        </w:tc>
        <w:tc>
          <w:tcPr>
            <w:tcW w:w="4491" w:type="dxa"/>
            <w:noWrap w:val="0"/>
            <w:vAlign w:val="top"/>
          </w:tcPr>
          <w:p w14:paraId="75E51DD3">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法定代表人或其委托代理人：</w:t>
            </w:r>
          </w:p>
          <w:p w14:paraId="74C19C3E">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（签章）</w:t>
            </w:r>
          </w:p>
          <w:p w14:paraId="5A4E1B0C">
            <w:pPr>
              <w:pStyle w:val="85"/>
              <w:framePr w:hSpace="0" w:wrap="auto" w:vAnchor="margin" w:hAnchor="text" w:yAlign="inline"/>
              <w:spacing w:after="50" w:line="360" w:lineRule="auto"/>
              <w:rPr>
                <w:color w:val="auto"/>
              </w:rPr>
            </w:pPr>
          </w:p>
        </w:tc>
      </w:tr>
      <w:tr w14:paraId="514E599C">
        <w:tblPrEx>
          <w:tblCellMar>
            <w:top w:w="0" w:type="dxa"/>
            <w:left w:w="108" w:type="dxa"/>
            <w:bottom w:w="0" w:type="dxa"/>
            <w:right w:w="108" w:type="dxa"/>
          </w:tblCellMar>
        </w:tblPrEx>
        <w:trPr>
          <w:trHeight w:val="3338" w:hRule="atLeast"/>
        </w:trPr>
        <w:tc>
          <w:tcPr>
            <w:tcW w:w="4388" w:type="dxa"/>
            <w:noWrap w:val="0"/>
            <w:vAlign w:val="top"/>
          </w:tcPr>
          <w:p w14:paraId="093D07B0">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统一社会信用代码：</w:t>
            </w:r>
            <w:r>
              <w:rPr>
                <w:rFonts w:hint="eastAsia" w:hAnsi="宋体" w:cs="宋体"/>
                <w:color w:val="auto"/>
                <w:sz w:val="21"/>
                <w:szCs w:val="21"/>
                <w:u w:val="single"/>
              </w:rPr>
              <w:t>12130000401701561E</w:t>
            </w:r>
          </w:p>
          <w:p w14:paraId="5CB8B3B5">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地址：</w:t>
            </w:r>
            <w:r>
              <w:rPr>
                <w:rFonts w:hint="eastAsia" w:hAnsi="宋体" w:cs="宋体"/>
                <w:color w:val="auto"/>
                <w:sz w:val="21"/>
                <w:szCs w:val="21"/>
                <w:u w:val="single"/>
              </w:rPr>
              <w:t>石家庄市桥西区汇新路45号</w:t>
            </w:r>
          </w:p>
          <w:p w14:paraId="103ED4FF">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邮政编码：</w:t>
            </w:r>
            <w:r>
              <w:rPr>
                <w:rFonts w:hint="eastAsia" w:hAnsi="宋体" w:cs="宋体"/>
                <w:color w:val="auto"/>
                <w:sz w:val="21"/>
                <w:szCs w:val="21"/>
                <w:u w:val="single"/>
              </w:rPr>
              <w:t>050093</w:t>
            </w:r>
          </w:p>
          <w:p w14:paraId="1A4E6DC5">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电话：</w:t>
            </w:r>
            <w:r>
              <w:rPr>
                <w:rFonts w:hint="eastAsia" w:hAnsi="宋体" w:cs="宋体"/>
                <w:color w:val="auto"/>
                <w:kern w:val="0"/>
                <w:sz w:val="21"/>
                <w:szCs w:val="21"/>
                <w:u w:val="single"/>
              </w:rPr>
              <w:t xml:space="preserve">                       </w:t>
            </w:r>
          </w:p>
          <w:p w14:paraId="681AFAB6">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传真：</w:t>
            </w:r>
            <w:r>
              <w:rPr>
                <w:rFonts w:hint="eastAsia" w:hAnsi="宋体" w:cs="宋体"/>
                <w:color w:val="auto"/>
                <w:kern w:val="0"/>
                <w:sz w:val="21"/>
                <w:szCs w:val="21"/>
                <w:u w:val="single"/>
              </w:rPr>
              <w:t xml:space="preserve">                       </w:t>
            </w:r>
          </w:p>
          <w:p w14:paraId="65022870">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电子信箱：</w:t>
            </w:r>
            <w:r>
              <w:rPr>
                <w:rFonts w:hint="eastAsia" w:hAnsi="宋体" w:cs="宋体"/>
                <w:color w:val="auto"/>
                <w:kern w:val="0"/>
                <w:sz w:val="21"/>
                <w:szCs w:val="21"/>
                <w:u w:val="single"/>
              </w:rPr>
              <w:t xml:space="preserve">                   </w:t>
            </w:r>
          </w:p>
          <w:p w14:paraId="75FE3513">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开户银行：</w:t>
            </w:r>
            <w:r>
              <w:rPr>
                <w:rFonts w:hint="eastAsia" w:hAnsi="宋体" w:cs="宋体"/>
                <w:color w:val="auto"/>
                <w:kern w:val="0"/>
                <w:sz w:val="21"/>
                <w:szCs w:val="21"/>
                <w:u w:val="single"/>
              </w:rPr>
              <w:t xml:space="preserve">                   </w:t>
            </w:r>
          </w:p>
          <w:p w14:paraId="2690AE00">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账号：</w:t>
            </w:r>
            <w:r>
              <w:rPr>
                <w:rFonts w:hint="eastAsia" w:hAnsi="宋体" w:cs="宋体"/>
                <w:color w:val="auto"/>
                <w:sz w:val="21"/>
                <w:szCs w:val="21"/>
                <w:u w:val="single"/>
              </w:rPr>
              <w:t xml:space="preserve">                       </w:t>
            </w:r>
          </w:p>
        </w:tc>
        <w:tc>
          <w:tcPr>
            <w:tcW w:w="4491" w:type="dxa"/>
            <w:noWrap w:val="0"/>
            <w:vAlign w:val="top"/>
          </w:tcPr>
          <w:p w14:paraId="702484AB">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统一社会信用代码：</w:t>
            </w:r>
            <w:r>
              <w:rPr>
                <w:rFonts w:hint="eastAsia" w:hAnsi="宋体" w:cs="宋体"/>
                <w:color w:val="auto"/>
                <w:kern w:val="0"/>
                <w:sz w:val="21"/>
                <w:szCs w:val="21"/>
                <w:u w:val="single"/>
              </w:rPr>
              <w:t xml:space="preserve">            </w:t>
            </w:r>
          </w:p>
          <w:p w14:paraId="3777236E">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地址：</w:t>
            </w:r>
            <w:r>
              <w:rPr>
                <w:rFonts w:hint="eastAsia" w:hAnsi="宋体" w:cs="宋体"/>
                <w:color w:val="auto"/>
                <w:kern w:val="0"/>
                <w:sz w:val="21"/>
                <w:szCs w:val="21"/>
                <w:u w:val="single"/>
              </w:rPr>
              <w:t xml:space="preserve">                        </w:t>
            </w:r>
          </w:p>
          <w:p w14:paraId="162AD370">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邮政编码：</w:t>
            </w:r>
            <w:r>
              <w:rPr>
                <w:rFonts w:hint="eastAsia" w:hAnsi="宋体" w:cs="宋体"/>
                <w:color w:val="auto"/>
                <w:kern w:val="0"/>
                <w:sz w:val="21"/>
                <w:szCs w:val="21"/>
                <w:u w:val="single"/>
              </w:rPr>
              <w:t xml:space="preserve">                      </w:t>
            </w:r>
          </w:p>
          <w:p w14:paraId="4B7DBE2C">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电话：</w:t>
            </w:r>
            <w:r>
              <w:rPr>
                <w:rFonts w:hint="eastAsia" w:hAnsi="宋体" w:cs="宋体"/>
                <w:color w:val="auto"/>
                <w:kern w:val="0"/>
                <w:sz w:val="21"/>
                <w:szCs w:val="21"/>
                <w:u w:val="single"/>
              </w:rPr>
              <w:t xml:space="preserve">                       </w:t>
            </w:r>
          </w:p>
          <w:p w14:paraId="34AD2283">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传真：</w:t>
            </w:r>
            <w:r>
              <w:rPr>
                <w:rFonts w:hint="eastAsia" w:hAnsi="宋体" w:cs="宋体"/>
                <w:color w:val="auto"/>
                <w:kern w:val="0"/>
                <w:sz w:val="21"/>
                <w:szCs w:val="21"/>
                <w:u w:val="single"/>
              </w:rPr>
              <w:t xml:space="preserve">                       </w:t>
            </w:r>
          </w:p>
          <w:p w14:paraId="1D6B6100">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电子信箱：</w:t>
            </w:r>
            <w:r>
              <w:rPr>
                <w:rFonts w:hint="eastAsia" w:hAnsi="宋体" w:cs="宋体"/>
                <w:color w:val="auto"/>
                <w:kern w:val="0"/>
                <w:sz w:val="21"/>
                <w:szCs w:val="21"/>
                <w:u w:val="single"/>
              </w:rPr>
              <w:t xml:space="preserve">                   </w:t>
            </w:r>
          </w:p>
          <w:p w14:paraId="0C9A2B62">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开户银行：</w:t>
            </w:r>
            <w:r>
              <w:rPr>
                <w:rFonts w:hint="eastAsia" w:hAnsi="宋体" w:cs="宋体"/>
                <w:color w:val="auto"/>
                <w:kern w:val="0"/>
                <w:sz w:val="21"/>
                <w:szCs w:val="21"/>
                <w:u w:val="single"/>
              </w:rPr>
              <w:t xml:space="preserve">                   </w:t>
            </w:r>
          </w:p>
          <w:p w14:paraId="6E5AC910">
            <w:pPr>
              <w:pStyle w:val="85"/>
              <w:framePr w:hSpace="0" w:wrap="auto" w:vAnchor="margin" w:hAnchor="text" w:yAlign="inline"/>
              <w:spacing w:after="50" w:line="360" w:lineRule="auto"/>
              <w:rPr>
                <w:color w:val="auto"/>
              </w:rPr>
            </w:pPr>
            <w:r>
              <w:rPr>
                <w:rFonts w:hint="eastAsia" w:hAnsi="宋体" w:cs="宋体"/>
                <w:color w:val="auto"/>
                <w:sz w:val="21"/>
                <w:szCs w:val="21"/>
              </w:rPr>
              <w:t>账号：</w:t>
            </w:r>
            <w:r>
              <w:rPr>
                <w:rFonts w:hint="eastAsia" w:hAnsi="宋体" w:cs="宋体"/>
                <w:color w:val="auto"/>
                <w:sz w:val="21"/>
                <w:szCs w:val="21"/>
                <w:u w:val="single"/>
              </w:rPr>
              <w:t xml:space="preserve">                       </w:t>
            </w:r>
          </w:p>
        </w:tc>
      </w:tr>
    </w:tbl>
    <w:p w14:paraId="3AEEA3D3">
      <w:pPr>
        <w:rPr>
          <w:rFonts w:hint="eastAsia" w:ascii="宋体" w:hAnsi="宋体" w:cs="宋体"/>
          <w:color w:val="auto"/>
          <w:szCs w:val="21"/>
          <w:highlight w:val="none"/>
        </w:rPr>
        <w:sectPr>
          <w:footerReference r:id="rId17" w:type="default"/>
          <w:pgSz w:w="11906" w:h="16838"/>
          <w:pgMar w:top="1417" w:right="1800" w:bottom="1417" w:left="1800" w:header="720" w:footer="850" w:gutter="0"/>
          <w:pgNumType w:fmt="decimal"/>
          <w:cols w:space="720" w:num="1"/>
          <w:docGrid w:linePitch="326" w:charSpace="0"/>
        </w:sectPr>
      </w:pPr>
    </w:p>
    <w:p w14:paraId="17934AEA">
      <w:pPr>
        <w:pStyle w:val="83"/>
        <w:keepNext w:val="0"/>
        <w:keepLines w:val="0"/>
        <w:widowControl/>
        <w:adjustRightInd w:val="0"/>
        <w:snapToGrid w:val="0"/>
        <w:spacing w:before="0" w:after="50" w:line="360" w:lineRule="auto"/>
        <w:jc w:val="center"/>
        <w:rPr>
          <w:rFonts w:hint="eastAsia" w:ascii="黑体" w:hAnsi="黑体" w:eastAsia="黑体"/>
          <w:color w:val="auto"/>
          <w:sz w:val="44"/>
          <w:szCs w:val="52"/>
          <w:highlight w:val="none"/>
        </w:rPr>
      </w:pPr>
      <w:bookmarkStart w:id="802" w:name="_Toc23370"/>
      <w:bookmarkStart w:id="803" w:name="_Toc10429"/>
      <w:bookmarkStart w:id="804" w:name="_Toc20837"/>
      <w:bookmarkStart w:id="805" w:name="_Toc26910"/>
      <w:bookmarkStart w:id="806" w:name="_Toc103175653"/>
      <w:bookmarkStart w:id="807" w:name="_Toc16182"/>
      <w:bookmarkStart w:id="808" w:name="_Toc27522"/>
      <w:bookmarkStart w:id="809" w:name="_Toc21120"/>
      <w:r>
        <w:rPr>
          <w:rFonts w:hint="eastAsia" w:ascii="黑体" w:hAnsi="黑体" w:eastAsia="黑体"/>
          <w:color w:val="auto"/>
          <w:sz w:val="44"/>
          <w:szCs w:val="52"/>
          <w:highlight w:val="none"/>
        </w:rPr>
        <w:t>第二部分  通用条件条款</w:t>
      </w:r>
      <w:bookmarkEnd w:id="802"/>
      <w:bookmarkEnd w:id="803"/>
      <w:bookmarkEnd w:id="804"/>
      <w:bookmarkEnd w:id="805"/>
      <w:bookmarkEnd w:id="806"/>
      <w:bookmarkEnd w:id="807"/>
      <w:bookmarkEnd w:id="808"/>
      <w:bookmarkEnd w:id="809"/>
    </w:p>
    <w:p w14:paraId="3504D772">
      <w:pPr>
        <w:pStyle w:val="86"/>
        <w:numPr>
          <w:ilvl w:val="0"/>
          <w:numId w:val="0"/>
        </w:numPr>
        <w:rPr>
          <w:rFonts w:hint="eastAsia" w:ascii="宋体" w:hAnsi="宋体" w:eastAsia="宋体" w:cs="宋体"/>
          <w:b w:val="0"/>
          <w:color w:val="auto"/>
          <w:sz w:val="21"/>
          <w:szCs w:val="21"/>
          <w:highlight w:val="none"/>
        </w:rPr>
      </w:pPr>
      <w:bookmarkStart w:id="810" w:name="_Toc103175654"/>
      <w:bookmarkStart w:id="811" w:name="_Toc29069"/>
      <w:bookmarkStart w:id="812" w:name="_Toc13414"/>
      <w:bookmarkStart w:id="813" w:name="_Toc14497"/>
      <w:bookmarkStart w:id="814" w:name="_Toc16917"/>
      <w:bookmarkStart w:id="815" w:name="_Toc262"/>
      <w:bookmarkStart w:id="816" w:name="_Toc18995"/>
      <w:bookmarkStart w:id="817" w:name="_Toc2261"/>
      <w:bookmarkStart w:id="818" w:name="_Toc13065"/>
      <w:bookmarkStart w:id="819" w:name="_Ref508893699"/>
      <w:bookmarkStart w:id="820" w:name="_Toc29255"/>
      <w:bookmarkStart w:id="821" w:name="_Toc835"/>
      <w:bookmarkStart w:id="822" w:name="_Ref509040831"/>
      <w:bookmarkStart w:id="823" w:name="_Ref509040826"/>
      <w:bookmarkStart w:id="824" w:name="_Toc184635122"/>
      <w:bookmarkStart w:id="825" w:name="_Toc456892181"/>
      <w:bookmarkStart w:id="826" w:name="_Toc247527798"/>
      <w:bookmarkStart w:id="827" w:name="_Toc509478051"/>
      <w:bookmarkStart w:id="828" w:name="_Toc247514197"/>
      <w:r>
        <w:rPr>
          <w:rFonts w:hint="eastAsia" w:ascii="宋体" w:hAnsi="宋体" w:eastAsia="宋体" w:cs="宋体"/>
          <w:b w:val="0"/>
          <w:color w:val="auto"/>
          <w:sz w:val="21"/>
          <w:szCs w:val="21"/>
          <w:highlight w:val="none"/>
        </w:rPr>
        <w:t>第1条 一般约定</w:t>
      </w:r>
      <w:bookmarkEnd w:id="810"/>
      <w:bookmarkEnd w:id="811"/>
      <w:bookmarkEnd w:id="812"/>
      <w:bookmarkEnd w:id="813"/>
      <w:bookmarkEnd w:id="814"/>
      <w:bookmarkEnd w:id="815"/>
      <w:bookmarkEnd w:id="816"/>
      <w:bookmarkEnd w:id="817"/>
      <w:bookmarkEnd w:id="818"/>
      <w:bookmarkEnd w:id="819"/>
      <w:bookmarkEnd w:id="820"/>
      <w:bookmarkEnd w:id="821"/>
    </w:p>
    <w:p w14:paraId="2415E177">
      <w:pPr>
        <w:pStyle w:val="87"/>
        <w:widowControl/>
        <w:numPr>
          <w:ilvl w:val="0"/>
          <w:numId w:val="0"/>
        </w:numPr>
        <w:spacing w:after="156"/>
        <w:rPr>
          <w:rFonts w:hint="eastAsia" w:ascii="宋体" w:hAnsi="宋体" w:eastAsia="宋体" w:cs="宋体"/>
          <w:b w:val="0"/>
          <w:color w:val="auto"/>
          <w:sz w:val="21"/>
          <w:szCs w:val="21"/>
          <w:highlight w:val="none"/>
        </w:rPr>
      </w:pPr>
      <w:bookmarkStart w:id="829" w:name="_Ref523741471"/>
      <w:bookmarkStart w:id="830" w:name="_Toc28087"/>
      <w:bookmarkStart w:id="831" w:name="_Toc1766"/>
      <w:bookmarkStart w:id="832" w:name="_Toc27939"/>
      <w:bookmarkStart w:id="833" w:name="_Toc103175655"/>
      <w:bookmarkStart w:id="834" w:name="_Toc1476"/>
      <w:bookmarkStart w:id="835" w:name="_Toc24974"/>
      <w:bookmarkStart w:id="836" w:name="_Toc27154"/>
      <w:bookmarkStart w:id="837" w:name="_Toc6494"/>
      <w:bookmarkStart w:id="838" w:name="_Toc9301"/>
      <w:bookmarkStart w:id="839" w:name="_Ref523741474"/>
      <w:r>
        <w:rPr>
          <w:rFonts w:hint="eastAsia" w:ascii="宋体" w:hAnsi="宋体" w:eastAsia="宋体" w:cs="宋体"/>
          <w:b w:val="0"/>
          <w:color w:val="auto"/>
          <w:sz w:val="21"/>
          <w:szCs w:val="21"/>
          <w:highlight w:val="none"/>
        </w:rPr>
        <w:t>1.1 词语定义和解释</w:t>
      </w:r>
      <w:bookmarkEnd w:id="822"/>
      <w:bookmarkEnd w:id="823"/>
      <w:bookmarkEnd w:id="829"/>
      <w:bookmarkEnd w:id="830"/>
      <w:bookmarkEnd w:id="831"/>
      <w:bookmarkEnd w:id="832"/>
      <w:bookmarkEnd w:id="833"/>
      <w:bookmarkEnd w:id="834"/>
      <w:bookmarkEnd w:id="835"/>
      <w:bookmarkEnd w:id="836"/>
      <w:bookmarkEnd w:id="837"/>
      <w:bookmarkEnd w:id="838"/>
      <w:bookmarkEnd w:id="839"/>
    </w:p>
    <w:p w14:paraId="79DC303F">
      <w:pPr>
        <w:rPr>
          <w:rFonts w:hint="eastAsia" w:ascii="宋体" w:hAnsi="宋体" w:cs="宋体"/>
          <w:color w:val="auto"/>
          <w:szCs w:val="21"/>
          <w:highlight w:val="none"/>
        </w:rPr>
      </w:pPr>
      <w:r>
        <w:rPr>
          <w:rFonts w:hint="eastAsia" w:ascii="宋体" w:hAnsi="宋体" w:cs="宋体"/>
          <w:color w:val="auto"/>
          <w:szCs w:val="21"/>
          <w:highlight w:val="none"/>
        </w:rPr>
        <w:t>合同协议书、通用合同条件、专用合同条件中的下列词语应具有本款所赋予的含义：</w:t>
      </w:r>
    </w:p>
    <w:p w14:paraId="001AF530">
      <w:pPr>
        <w:pStyle w:val="88"/>
        <w:numPr>
          <w:ilvl w:val="0"/>
          <w:numId w:val="0"/>
        </w:numPr>
        <w:spacing w:after="156"/>
        <w:rPr>
          <w:rFonts w:hint="eastAsia" w:cs="宋体"/>
          <w:color w:val="auto"/>
          <w:sz w:val="21"/>
          <w:highlight w:val="none"/>
        </w:rPr>
      </w:pPr>
      <w:bookmarkStart w:id="840" w:name="_Ref4757289"/>
      <w:bookmarkStart w:id="841" w:name="_Ref521288340"/>
      <w:r>
        <w:rPr>
          <w:rFonts w:hint="eastAsia" w:cs="宋体"/>
          <w:color w:val="auto"/>
          <w:sz w:val="21"/>
          <w:highlight w:val="none"/>
        </w:rPr>
        <w:t>1.1.1 合同</w:t>
      </w:r>
      <w:bookmarkEnd w:id="840"/>
    </w:p>
    <w:p w14:paraId="1AF16A3B">
      <w:pPr>
        <w:pStyle w:val="89"/>
        <w:numPr>
          <w:ilvl w:val="0"/>
          <w:numId w:val="0"/>
        </w:numPr>
        <w:spacing w:after="156"/>
        <w:rPr>
          <w:rFonts w:hint="eastAsia" w:cs="宋体"/>
          <w:color w:val="auto"/>
          <w:sz w:val="21"/>
          <w:highlight w:val="none"/>
        </w:rPr>
      </w:pPr>
      <w:r>
        <w:rPr>
          <w:rFonts w:hint="eastAsia" w:cs="宋体"/>
          <w:color w:val="auto"/>
          <w:sz w:val="21"/>
          <w:highlight w:val="none"/>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73915F8C">
      <w:pPr>
        <w:pStyle w:val="89"/>
        <w:numPr>
          <w:ilvl w:val="0"/>
          <w:numId w:val="0"/>
        </w:numPr>
        <w:spacing w:after="156"/>
        <w:rPr>
          <w:rFonts w:hint="eastAsia" w:cs="宋体"/>
          <w:color w:val="auto"/>
          <w:sz w:val="21"/>
          <w:highlight w:val="none"/>
        </w:rPr>
      </w:pPr>
      <w:r>
        <w:rPr>
          <w:rFonts w:hint="eastAsia" w:cs="宋体"/>
          <w:color w:val="auto"/>
          <w:sz w:val="21"/>
          <w:highlight w:val="none"/>
        </w:rPr>
        <w:t>1.1.1.2 合同协议书：是指构成合同的由发包人和承包人共同签署的称为“合同协议书”的书面文件。</w:t>
      </w:r>
    </w:p>
    <w:p w14:paraId="14A96094">
      <w:pPr>
        <w:pStyle w:val="89"/>
        <w:numPr>
          <w:ilvl w:val="0"/>
          <w:numId w:val="0"/>
        </w:numPr>
        <w:spacing w:after="156"/>
        <w:rPr>
          <w:rFonts w:hint="eastAsia" w:cs="宋体"/>
          <w:color w:val="auto"/>
          <w:sz w:val="21"/>
          <w:highlight w:val="none"/>
        </w:rPr>
      </w:pPr>
      <w:r>
        <w:rPr>
          <w:rFonts w:hint="eastAsia" w:cs="宋体"/>
          <w:color w:val="auto"/>
          <w:sz w:val="21"/>
          <w:highlight w:val="none"/>
        </w:rPr>
        <w:t>1.1.1.3 中标通知书：是指构成合同的由发包人通知承包人中标的书面文件。中标通知书随附的澄清、说明、补正事项纪要等，是中标通知书的组成部分。</w:t>
      </w:r>
    </w:p>
    <w:p w14:paraId="71EF1F79">
      <w:pPr>
        <w:pStyle w:val="89"/>
        <w:numPr>
          <w:ilvl w:val="0"/>
          <w:numId w:val="0"/>
        </w:numPr>
        <w:spacing w:after="156"/>
        <w:rPr>
          <w:rFonts w:hint="eastAsia" w:cs="宋体"/>
          <w:color w:val="auto"/>
          <w:sz w:val="21"/>
          <w:highlight w:val="none"/>
        </w:rPr>
      </w:pPr>
      <w:r>
        <w:rPr>
          <w:rFonts w:hint="eastAsia" w:cs="宋体"/>
          <w:color w:val="auto"/>
          <w:sz w:val="21"/>
          <w:highlight w:val="none"/>
        </w:rPr>
        <w:t>1.1.1.4 投标函：是指构成合同的由承包人填写并签署的用于投标的称为“投标函”的文件。</w:t>
      </w:r>
    </w:p>
    <w:p w14:paraId="6D7A3AFF">
      <w:pPr>
        <w:pStyle w:val="89"/>
        <w:numPr>
          <w:ilvl w:val="0"/>
          <w:numId w:val="0"/>
        </w:numPr>
        <w:spacing w:after="156"/>
        <w:rPr>
          <w:rFonts w:hint="eastAsia" w:cs="宋体"/>
          <w:color w:val="auto"/>
          <w:sz w:val="21"/>
          <w:highlight w:val="none"/>
        </w:rPr>
      </w:pPr>
      <w:r>
        <w:rPr>
          <w:rFonts w:hint="eastAsia" w:cs="宋体"/>
          <w:color w:val="auto"/>
          <w:sz w:val="21"/>
          <w:highlight w:val="none"/>
        </w:rPr>
        <w:t>1.1.1.5 投标函附录：是指构成合同的附在投标函后的称为“投标函附录”的文件。</w:t>
      </w:r>
    </w:p>
    <w:p w14:paraId="6B89B959">
      <w:pPr>
        <w:pStyle w:val="89"/>
        <w:numPr>
          <w:ilvl w:val="0"/>
          <w:numId w:val="0"/>
        </w:numPr>
        <w:spacing w:after="156"/>
        <w:rPr>
          <w:rFonts w:hint="eastAsia" w:cs="宋体"/>
          <w:color w:val="auto"/>
          <w:sz w:val="21"/>
          <w:highlight w:val="none"/>
        </w:rPr>
      </w:pPr>
      <w:r>
        <w:rPr>
          <w:rFonts w:hint="eastAsia" w:cs="宋体"/>
          <w:color w:val="auto"/>
          <w:sz w:val="21"/>
          <w:highlight w:val="none"/>
        </w:rPr>
        <w:t>1.1.1.6 《发包人要求》：指构成合同文件组成部分的名为《发包人要求》的文件，其中列明工程的目的、范围、设计与其他技术标准和要求，以及合同双方当事人约定对其所作的修改或补充。</w:t>
      </w:r>
    </w:p>
    <w:p w14:paraId="0C623599">
      <w:pPr>
        <w:pStyle w:val="89"/>
        <w:numPr>
          <w:ilvl w:val="0"/>
          <w:numId w:val="0"/>
        </w:numPr>
        <w:spacing w:after="156"/>
        <w:rPr>
          <w:rFonts w:hint="eastAsia" w:cs="宋体"/>
          <w:color w:val="auto"/>
          <w:sz w:val="21"/>
          <w:highlight w:val="none"/>
        </w:rPr>
      </w:pPr>
      <w:r>
        <w:rPr>
          <w:rFonts w:hint="eastAsia" w:cs="宋体"/>
          <w:color w:val="auto"/>
          <w:sz w:val="21"/>
          <w:highlight w:val="none"/>
        </w:rPr>
        <w:t>1.1.1.7 项目清单：是指发包人提供的载明工程总承包项目勘察费（如果有）、设计费、建筑安装工程费、设备购置费、暂估价、暂列金额和双方约定的其他费用的名称和相应数量等内容的项目明细。</w:t>
      </w:r>
    </w:p>
    <w:p w14:paraId="3C5AD74A">
      <w:pPr>
        <w:pStyle w:val="89"/>
        <w:numPr>
          <w:ilvl w:val="0"/>
          <w:numId w:val="0"/>
        </w:numPr>
        <w:spacing w:after="156"/>
        <w:rPr>
          <w:rFonts w:hint="eastAsia" w:cs="宋体"/>
          <w:color w:val="auto"/>
          <w:sz w:val="21"/>
          <w:highlight w:val="none"/>
        </w:rPr>
      </w:pPr>
      <w:r>
        <w:rPr>
          <w:rFonts w:hint="eastAsia" w:cs="宋体"/>
          <w:color w:val="auto"/>
          <w:sz w:val="21"/>
          <w:highlight w:val="none"/>
        </w:rPr>
        <w:t>1.1.1.8 价格清单：指构成合同文件组成部分的由承包人按发包人提供的项目清单规定的格式和要求填写并标明价格的清单。</w:t>
      </w:r>
    </w:p>
    <w:p w14:paraId="40272C6F">
      <w:pPr>
        <w:pStyle w:val="89"/>
        <w:numPr>
          <w:ilvl w:val="0"/>
          <w:numId w:val="0"/>
        </w:numPr>
        <w:spacing w:after="156"/>
        <w:rPr>
          <w:rFonts w:hint="eastAsia" w:cs="宋体"/>
          <w:color w:val="auto"/>
          <w:sz w:val="21"/>
          <w:highlight w:val="none"/>
        </w:rPr>
      </w:pPr>
      <w:r>
        <w:rPr>
          <w:rFonts w:hint="eastAsia" w:cs="宋体"/>
          <w:color w:val="auto"/>
          <w:sz w:val="21"/>
          <w:highlight w:val="none"/>
        </w:rPr>
        <w:t>1.1.1.9 承包人建议书：指构成合同文件组成部分的名为承包人建议书的文件。承包人建议书由承包人随投标函一起提交。</w:t>
      </w:r>
    </w:p>
    <w:p w14:paraId="4DE5F833">
      <w:pPr>
        <w:pStyle w:val="89"/>
        <w:numPr>
          <w:ilvl w:val="0"/>
          <w:numId w:val="0"/>
        </w:numPr>
        <w:spacing w:after="156"/>
        <w:rPr>
          <w:rFonts w:hint="eastAsia" w:cs="宋体"/>
          <w:color w:val="auto"/>
          <w:sz w:val="21"/>
          <w:highlight w:val="none"/>
        </w:rPr>
      </w:pPr>
      <w:bookmarkStart w:id="842" w:name="_Ref4415300"/>
      <w:r>
        <w:rPr>
          <w:rFonts w:hint="eastAsia" w:cs="宋体"/>
          <w:color w:val="auto"/>
          <w:sz w:val="21"/>
          <w:highlight w:val="none"/>
        </w:rPr>
        <w:t>1.1.1.10 其他合同文件：是指经合同当事人约定的与工程实施有关的具有合同约束力的文件或书面协议。合同当事人可以在专用合同条件中进行约定。</w:t>
      </w:r>
      <w:bookmarkEnd w:id="842"/>
    </w:p>
    <w:p w14:paraId="512E33C5">
      <w:pPr>
        <w:pStyle w:val="88"/>
        <w:numPr>
          <w:ilvl w:val="0"/>
          <w:numId w:val="0"/>
        </w:numPr>
        <w:spacing w:after="156"/>
        <w:rPr>
          <w:rFonts w:hint="eastAsia" w:cs="宋体"/>
          <w:color w:val="auto"/>
          <w:sz w:val="21"/>
          <w:highlight w:val="none"/>
        </w:rPr>
      </w:pPr>
      <w:bookmarkStart w:id="843" w:name="_Ref4757418"/>
      <w:r>
        <w:rPr>
          <w:rFonts w:hint="eastAsia" w:cs="宋体"/>
          <w:color w:val="auto"/>
          <w:sz w:val="21"/>
          <w:highlight w:val="none"/>
        </w:rPr>
        <w:t>1.1.2 合同当事人及其他相关方</w:t>
      </w:r>
      <w:bookmarkEnd w:id="843"/>
    </w:p>
    <w:p w14:paraId="06E434F6">
      <w:pPr>
        <w:pStyle w:val="89"/>
        <w:numPr>
          <w:ilvl w:val="0"/>
          <w:numId w:val="0"/>
        </w:numPr>
        <w:spacing w:after="156"/>
        <w:rPr>
          <w:rFonts w:hint="eastAsia" w:cs="宋体"/>
          <w:color w:val="auto"/>
          <w:sz w:val="21"/>
          <w:highlight w:val="none"/>
        </w:rPr>
      </w:pPr>
      <w:r>
        <w:rPr>
          <w:rFonts w:hint="eastAsia" w:cs="宋体"/>
          <w:color w:val="auto"/>
          <w:sz w:val="21"/>
          <w:highlight w:val="none"/>
        </w:rPr>
        <w:t>1.1.2.1 合同当事人：是指发包人和（或）承包人。</w:t>
      </w:r>
    </w:p>
    <w:p w14:paraId="7EA95A8C">
      <w:pPr>
        <w:pStyle w:val="89"/>
        <w:numPr>
          <w:ilvl w:val="0"/>
          <w:numId w:val="0"/>
        </w:numPr>
        <w:spacing w:after="156"/>
        <w:rPr>
          <w:rFonts w:hint="eastAsia" w:cs="宋体"/>
          <w:color w:val="auto"/>
          <w:sz w:val="21"/>
          <w:highlight w:val="none"/>
        </w:rPr>
      </w:pPr>
      <w:r>
        <w:rPr>
          <w:rFonts w:hint="eastAsia" w:cs="宋体"/>
          <w:color w:val="auto"/>
          <w:sz w:val="21"/>
          <w:highlight w:val="none"/>
        </w:rPr>
        <w:t>1.1.2.2 发包人：是指与承包人订立合同协议书的当事人及取得该当事人资格的合法继受人。本合同中“因发包人原因”里的“发包人”包括发包人及所有发包人人员。</w:t>
      </w:r>
    </w:p>
    <w:p w14:paraId="0DB18CC6">
      <w:pPr>
        <w:pStyle w:val="89"/>
        <w:numPr>
          <w:ilvl w:val="0"/>
          <w:numId w:val="0"/>
        </w:numPr>
        <w:spacing w:after="156"/>
        <w:rPr>
          <w:rFonts w:hint="eastAsia" w:cs="宋体"/>
          <w:color w:val="auto"/>
          <w:sz w:val="21"/>
          <w:highlight w:val="none"/>
        </w:rPr>
      </w:pPr>
      <w:r>
        <w:rPr>
          <w:rFonts w:hint="eastAsia" w:cs="宋体"/>
          <w:color w:val="auto"/>
          <w:sz w:val="21"/>
          <w:highlight w:val="none"/>
        </w:rPr>
        <w:t>1.1.2.3 承包人：是指与发包人订立合同协议书的当事人及取得该当事人资格的合法继受人。</w:t>
      </w:r>
    </w:p>
    <w:p w14:paraId="04FE9503">
      <w:pPr>
        <w:pStyle w:val="89"/>
        <w:numPr>
          <w:ilvl w:val="0"/>
          <w:numId w:val="0"/>
        </w:numPr>
        <w:spacing w:after="156"/>
        <w:rPr>
          <w:rFonts w:hint="eastAsia" w:cs="宋体"/>
          <w:color w:val="auto"/>
          <w:sz w:val="21"/>
          <w:highlight w:val="none"/>
        </w:rPr>
      </w:pPr>
      <w:r>
        <w:rPr>
          <w:rFonts w:hint="eastAsia" w:cs="宋体"/>
          <w:color w:val="auto"/>
          <w:sz w:val="21"/>
          <w:highlight w:val="none"/>
        </w:rPr>
        <w:t>1.1.2.4 联合体：是指经发包人同意由两个或两个以上法人或者其他组织组成的，作为承包人的临时机构。</w:t>
      </w:r>
    </w:p>
    <w:p w14:paraId="06286384">
      <w:pPr>
        <w:pStyle w:val="89"/>
        <w:numPr>
          <w:ilvl w:val="0"/>
          <w:numId w:val="0"/>
        </w:numPr>
        <w:spacing w:after="156"/>
        <w:rPr>
          <w:rFonts w:hint="eastAsia" w:cs="宋体"/>
          <w:color w:val="auto"/>
          <w:sz w:val="21"/>
          <w:highlight w:val="none"/>
        </w:rPr>
      </w:pPr>
      <w:bookmarkStart w:id="844" w:name="_Ref4420046"/>
      <w:r>
        <w:rPr>
          <w:rFonts w:hint="eastAsia" w:cs="宋体"/>
          <w:color w:val="auto"/>
          <w:sz w:val="21"/>
          <w:highlight w:val="none"/>
        </w:rPr>
        <w:t>1.1.2.5 发包人代表：是指由发包人任命并派驻工作现场，在发包人授权范围内行使发包人权利和履行发包人义务的人。</w:t>
      </w:r>
    </w:p>
    <w:p w14:paraId="6D0B6444">
      <w:pPr>
        <w:pStyle w:val="89"/>
        <w:numPr>
          <w:ilvl w:val="0"/>
          <w:numId w:val="0"/>
        </w:numPr>
        <w:spacing w:after="156"/>
        <w:rPr>
          <w:rFonts w:hint="eastAsia" w:cs="宋体"/>
          <w:color w:val="auto"/>
          <w:sz w:val="21"/>
          <w:highlight w:val="none"/>
        </w:rPr>
      </w:pPr>
      <w:bookmarkStart w:id="845" w:name="_Ref4756982"/>
      <w:r>
        <w:rPr>
          <w:rFonts w:hint="eastAsia" w:cs="宋体"/>
          <w:color w:val="auto"/>
          <w:sz w:val="21"/>
          <w:highlight w:val="none"/>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844"/>
      <w:bookmarkEnd w:id="845"/>
    </w:p>
    <w:p w14:paraId="31A1786C">
      <w:pPr>
        <w:pStyle w:val="89"/>
        <w:numPr>
          <w:ilvl w:val="0"/>
          <w:numId w:val="0"/>
        </w:numPr>
        <w:spacing w:after="156"/>
        <w:rPr>
          <w:rFonts w:hint="eastAsia" w:cs="宋体"/>
          <w:color w:val="auto"/>
          <w:sz w:val="21"/>
          <w:highlight w:val="none"/>
        </w:rPr>
      </w:pPr>
      <w:r>
        <w:rPr>
          <w:rFonts w:hint="eastAsia" w:cs="宋体"/>
          <w:color w:val="auto"/>
          <w:sz w:val="21"/>
          <w:highlight w:val="none"/>
        </w:rPr>
        <w:t>1.1.2.7 工程总承包项目经理：是指由承包人任命的，在承包人授权范围内负责合同履行的管理，且按照法律规定具有相应资格的项目负责人。</w:t>
      </w:r>
    </w:p>
    <w:p w14:paraId="5DDC94C2">
      <w:pPr>
        <w:pStyle w:val="89"/>
        <w:numPr>
          <w:ilvl w:val="0"/>
          <w:numId w:val="0"/>
        </w:numPr>
        <w:spacing w:after="156"/>
        <w:rPr>
          <w:rFonts w:hint="eastAsia" w:cs="宋体"/>
          <w:color w:val="auto"/>
          <w:sz w:val="21"/>
          <w:highlight w:val="none"/>
        </w:rPr>
      </w:pPr>
      <w:r>
        <w:rPr>
          <w:rFonts w:hint="eastAsia" w:cs="宋体"/>
          <w:color w:val="auto"/>
          <w:sz w:val="21"/>
          <w:highlight w:val="none"/>
        </w:rPr>
        <w:t>1.1.2.8 设计负责人：是指承包人指定负责组织、指导、协调设计工作并具有相应资格的人员。</w:t>
      </w:r>
    </w:p>
    <w:p w14:paraId="354F9F58">
      <w:pPr>
        <w:pStyle w:val="89"/>
        <w:numPr>
          <w:ilvl w:val="0"/>
          <w:numId w:val="0"/>
        </w:numPr>
        <w:spacing w:after="156"/>
        <w:rPr>
          <w:rFonts w:hint="eastAsia" w:cs="宋体"/>
          <w:color w:val="auto"/>
          <w:sz w:val="21"/>
          <w:highlight w:val="none"/>
        </w:rPr>
      </w:pPr>
      <w:r>
        <w:rPr>
          <w:rFonts w:hint="eastAsia" w:cs="宋体"/>
          <w:color w:val="auto"/>
          <w:sz w:val="21"/>
          <w:highlight w:val="none"/>
        </w:rPr>
        <w:t>1.1.2.9 采购负责人：是指承包人指定负责组织、指导、协调采购工作的人员。</w:t>
      </w:r>
    </w:p>
    <w:p w14:paraId="0ECFEE70">
      <w:pPr>
        <w:pStyle w:val="89"/>
        <w:numPr>
          <w:ilvl w:val="0"/>
          <w:numId w:val="0"/>
        </w:numPr>
        <w:spacing w:after="156"/>
        <w:rPr>
          <w:rFonts w:hint="eastAsia" w:cs="宋体"/>
          <w:color w:val="auto"/>
          <w:sz w:val="21"/>
          <w:highlight w:val="none"/>
        </w:rPr>
      </w:pPr>
      <w:r>
        <w:rPr>
          <w:rFonts w:hint="eastAsia" w:cs="宋体"/>
          <w:color w:val="auto"/>
          <w:sz w:val="21"/>
          <w:highlight w:val="none"/>
        </w:rPr>
        <w:t>1.1.2.10 施工负责人：是指承包人指定负责组织、指导、协调施工工作并具有相应资格的人员。</w:t>
      </w:r>
    </w:p>
    <w:p w14:paraId="2756229E">
      <w:pPr>
        <w:pStyle w:val="89"/>
        <w:numPr>
          <w:ilvl w:val="0"/>
          <w:numId w:val="0"/>
        </w:numPr>
        <w:spacing w:after="156"/>
        <w:rPr>
          <w:rFonts w:hint="eastAsia" w:cs="宋体"/>
          <w:color w:val="auto"/>
          <w:sz w:val="21"/>
          <w:highlight w:val="none"/>
        </w:rPr>
      </w:pPr>
      <w:r>
        <w:rPr>
          <w:rFonts w:hint="eastAsia" w:cs="宋体"/>
          <w:color w:val="auto"/>
          <w:sz w:val="21"/>
          <w:highlight w:val="none"/>
        </w:rPr>
        <w:t>1.1.2.11 分包人：是指按照法律规定和合同约定，分包部分工程或工作，并与承包人订立分包合同的具有相应资质或资格的法人或其他组织。</w:t>
      </w:r>
    </w:p>
    <w:p w14:paraId="3DD9DDBD">
      <w:pPr>
        <w:pStyle w:val="88"/>
        <w:numPr>
          <w:ilvl w:val="0"/>
          <w:numId w:val="0"/>
        </w:numPr>
        <w:spacing w:after="156"/>
        <w:rPr>
          <w:rFonts w:hint="eastAsia" w:cs="宋体"/>
          <w:color w:val="auto"/>
          <w:sz w:val="21"/>
          <w:highlight w:val="none"/>
        </w:rPr>
      </w:pPr>
      <w:bookmarkStart w:id="846" w:name="_Ref4758319"/>
      <w:r>
        <w:rPr>
          <w:rFonts w:hint="eastAsia" w:cs="宋体"/>
          <w:color w:val="auto"/>
          <w:sz w:val="21"/>
          <w:highlight w:val="none"/>
        </w:rPr>
        <w:t>1.1.3 工程和设备</w:t>
      </w:r>
      <w:bookmarkEnd w:id="846"/>
    </w:p>
    <w:p w14:paraId="2DD85212">
      <w:pPr>
        <w:pStyle w:val="89"/>
        <w:numPr>
          <w:ilvl w:val="0"/>
          <w:numId w:val="0"/>
        </w:numPr>
        <w:spacing w:after="156"/>
        <w:rPr>
          <w:rFonts w:hint="eastAsia" w:cs="宋体"/>
          <w:color w:val="auto"/>
          <w:sz w:val="21"/>
          <w:highlight w:val="none"/>
        </w:rPr>
      </w:pPr>
      <w:r>
        <w:rPr>
          <w:rFonts w:hint="eastAsia" w:cs="宋体"/>
          <w:color w:val="auto"/>
          <w:sz w:val="21"/>
          <w:highlight w:val="none"/>
        </w:rPr>
        <w:t>1.1.3.1 工程：是指与合同协议书中工程承包范围对应的永久工程和（或）临时工程。</w:t>
      </w:r>
    </w:p>
    <w:p w14:paraId="0BE060C7">
      <w:pPr>
        <w:pStyle w:val="89"/>
        <w:numPr>
          <w:ilvl w:val="0"/>
          <w:numId w:val="0"/>
        </w:numPr>
        <w:spacing w:after="156"/>
        <w:rPr>
          <w:rFonts w:hint="eastAsia" w:cs="宋体"/>
          <w:color w:val="auto"/>
          <w:sz w:val="21"/>
          <w:highlight w:val="none"/>
        </w:rPr>
      </w:pPr>
      <w:r>
        <w:rPr>
          <w:rFonts w:hint="eastAsia" w:cs="宋体"/>
          <w:color w:val="auto"/>
          <w:sz w:val="21"/>
          <w:highlight w:val="none"/>
        </w:rPr>
        <w:t>1.1.3.2 工程实施：是指进行工程的设计、采购、施工和竣工以及对工程任何缺陷的修复。</w:t>
      </w:r>
    </w:p>
    <w:p w14:paraId="42C1FD89">
      <w:pPr>
        <w:pStyle w:val="89"/>
        <w:numPr>
          <w:ilvl w:val="0"/>
          <w:numId w:val="0"/>
        </w:numPr>
        <w:spacing w:after="156"/>
        <w:rPr>
          <w:rFonts w:hint="eastAsia" w:cs="宋体"/>
          <w:color w:val="auto"/>
          <w:sz w:val="21"/>
          <w:highlight w:val="none"/>
        </w:rPr>
      </w:pPr>
      <w:r>
        <w:rPr>
          <w:rFonts w:hint="eastAsia" w:cs="宋体"/>
          <w:color w:val="auto"/>
          <w:sz w:val="21"/>
          <w:highlight w:val="none"/>
        </w:rPr>
        <w:t>1.1.3.3 永久工程：是指按合同约定建造并移交给发包人的工程，包括工程设备。</w:t>
      </w:r>
    </w:p>
    <w:p w14:paraId="31E71CE5">
      <w:pPr>
        <w:pStyle w:val="89"/>
        <w:numPr>
          <w:ilvl w:val="0"/>
          <w:numId w:val="0"/>
        </w:numPr>
        <w:spacing w:after="156"/>
        <w:rPr>
          <w:rFonts w:hint="eastAsia" w:cs="宋体"/>
          <w:color w:val="auto"/>
          <w:sz w:val="21"/>
          <w:highlight w:val="none"/>
        </w:rPr>
      </w:pPr>
      <w:r>
        <w:rPr>
          <w:rFonts w:hint="eastAsia" w:cs="宋体"/>
          <w:color w:val="auto"/>
          <w:sz w:val="21"/>
          <w:highlight w:val="none"/>
        </w:rPr>
        <w:t>1.1.3.4 临时工程：是指为完成合同约定的永久工程所修建的各类临时性工程，不包括施工设备。</w:t>
      </w:r>
    </w:p>
    <w:p w14:paraId="45E155C0">
      <w:pPr>
        <w:pStyle w:val="89"/>
        <w:numPr>
          <w:ilvl w:val="0"/>
          <w:numId w:val="0"/>
        </w:numPr>
        <w:spacing w:after="156"/>
        <w:rPr>
          <w:rFonts w:hint="eastAsia" w:cs="宋体"/>
          <w:color w:val="auto"/>
          <w:sz w:val="21"/>
          <w:highlight w:val="none"/>
        </w:rPr>
      </w:pPr>
      <w:bookmarkStart w:id="847" w:name="_Ref4419825"/>
      <w:r>
        <w:rPr>
          <w:rFonts w:hint="eastAsia" w:cs="宋体"/>
          <w:color w:val="auto"/>
          <w:sz w:val="21"/>
          <w:highlight w:val="none"/>
        </w:rPr>
        <w:t>1.1.3.5 单位/区段工程：是指在专用合同条件中指明特定范围的，能单独接收并使用的永久工程。</w:t>
      </w:r>
      <w:bookmarkEnd w:id="847"/>
    </w:p>
    <w:p w14:paraId="73CA39F6">
      <w:pPr>
        <w:pStyle w:val="89"/>
        <w:numPr>
          <w:ilvl w:val="0"/>
          <w:numId w:val="0"/>
        </w:numPr>
        <w:spacing w:after="156"/>
        <w:rPr>
          <w:rFonts w:hint="eastAsia" w:cs="宋体"/>
          <w:color w:val="auto"/>
          <w:sz w:val="21"/>
          <w:highlight w:val="none"/>
        </w:rPr>
      </w:pPr>
      <w:r>
        <w:rPr>
          <w:rFonts w:hint="eastAsia" w:cs="宋体"/>
          <w:color w:val="auto"/>
          <w:sz w:val="21"/>
          <w:highlight w:val="none"/>
        </w:rPr>
        <w:t>1.1.3.6 工程设备：指构成永久工程的机电设备、仪器装置、运载工具及其他类似的设备和装置，包括其配件及备品、备件、易损易耗件等。</w:t>
      </w:r>
    </w:p>
    <w:p w14:paraId="776555D2">
      <w:pPr>
        <w:pStyle w:val="89"/>
        <w:numPr>
          <w:ilvl w:val="0"/>
          <w:numId w:val="0"/>
        </w:numPr>
        <w:spacing w:after="156"/>
        <w:rPr>
          <w:rFonts w:hint="eastAsia" w:cs="宋体"/>
          <w:color w:val="auto"/>
          <w:sz w:val="21"/>
          <w:highlight w:val="none"/>
        </w:rPr>
      </w:pPr>
      <w:r>
        <w:rPr>
          <w:rFonts w:hint="eastAsia" w:cs="宋体"/>
          <w:color w:val="auto"/>
          <w:sz w:val="21"/>
          <w:highlight w:val="none"/>
        </w:rPr>
        <w:t>1.1.3.7 施工设备：指为完成合同约定的各项工作所需的设备、器具和其他物品，不包括工程设备、临时工程和材料。</w:t>
      </w:r>
    </w:p>
    <w:p w14:paraId="6D0C227B">
      <w:pPr>
        <w:pStyle w:val="89"/>
        <w:numPr>
          <w:ilvl w:val="0"/>
          <w:numId w:val="0"/>
        </w:numPr>
        <w:spacing w:after="156"/>
        <w:rPr>
          <w:rFonts w:hint="eastAsia" w:cs="宋体"/>
          <w:color w:val="auto"/>
          <w:sz w:val="21"/>
          <w:highlight w:val="none"/>
        </w:rPr>
      </w:pPr>
      <w:r>
        <w:rPr>
          <w:rFonts w:hint="eastAsia" w:cs="宋体"/>
          <w:color w:val="auto"/>
          <w:sz w:val="21"/>
          <w:highlight w:val="none"/>
        </w:rPr>
        <w:t>1.1.3.8 临时设施：指为完成合同约定的各项工作所服务的临时性生产和生活设施。</w:t>
      </w:r>
    </w:p>
    <w:p w14:paraId="213F9DFD">
      <w:pPr>
        <w:pStyle w:val="89"/>
        <w:numPr>
          <w:ilvl w:val="0"/>
          <w:numId w:val="0"/>
        </w:numPr>
        <w:spacing w:after="156"/>
        <w:rPr>
          <w:rFonts w:hint="eastAsia" w:cs="宋体"/>
          <w:color w:val="auto"/>
          <w:sz w:val="21"/>
          <w:highlight w:val="none"/>
        </w:rPr>
      </w:pPr>
      <w:bookmarkStart w:id="848" w:name="_Ref4420577"/>
      <w:r>
        <w:rPr>
          <w:rFonts w:hint="eastAsia" w:cs="宋体"/>
          <w:color w:val="auto"/>
          <w:sz w:val="21"/>
          <w:highlight w:val="none"/>
        </w:rPr>
        <w:t>1.1.3.9 施工现场：是指用于工程施工的场所，以及在专用合同条件中指明作为施工场所组成部分的其他场所，包括永久占地和临时占地。</w:t>
      </w:r>
      <w:bookmarkEnd w:id="848"/>
    </w:p>
    <w:p w14:paraId="1C2581A8">
      <w:pPr>
        <w:pStyle w:val="89"/>
        <w:numPr>
          <w:ilvl w:val="0"/>
          <w:numId w:val="0"/>
        </w:numPr>
        <w:spacing w:after="156"/>
        <w:rPr>
          <w:rFonts w:hint="eastAsia" w:cs="宋体"/>
          <w:color w:val="auto"/>
          <w:sz w:val="21"/>
          <w:highlight w:val="none"/>
        </w:rPr>
      </w:pPr>
      <w:bookmarkStart w:id="849" w:name="_Ref4420746"/>
      <w:r>
        <w:rPr>
          <w:rFonts w:hint="eastAsia" w:cs="宋体"/>
          <w:color w:val="auto"/>
          <w:sz w:val="21"/>
          <w:highlight w:val="none"/>
        </w:rPr>
        <w:t>1.1.3.10 永久占地：是指专用合同条件中指明为实施工程需永久占用的土地。</w:t>
      </w:r>
      <w:bookmarkEnd w:id="849"/>
    </w:p>
    <w:p w14:paraId="30686239">
      <w:pPr>
        <w:pStyle w:val="89"/>
        <w:numPr>
          <w:ilvl w:val="0"/>
          <w:numId w:val="0"/>
        </w:numPr>
        <w:spacing w:after="156"/>
        <w:rPr>
          <w:rFonts w:hint="eastAsia" w:cs="宋体"/>
          <w:color w:val="auto"/>
          <w:sz w:val="21"/>
          <w:highlight w:val="none"/>
        </w:rPr>
      </w:pPr>
      <w:bookmarkStart w:id="850" w:name="_Ref4420821"/>
      <w:r>
        <w:rPr>
          <w:rFonts w:hint="eastAsia" w:cs="宋体"/>
          <w:color w:val="auto"/>
          <w:sz w:val="21"/>
          <w:highlight w:val="none"/>
        </w:rPr>
        <w:t>1.1.3.11 临时占地：是指专用合同条件中指明为实施工程需临时占用的土地。</w:t>
      </w:r>
      <w:bookmarkEnd w:id="850"/>
    </w:p>
    <w:p w14:paraId="4C34DDBD">
      <w:pPr>
        <w:pStyle w:val="88"/>
        <w:numPr>
          <w:ilvl w:val="0"/>
          <w:numId w:val="0"/>
        </w:numPr>
        <w:spacing w:after="156"/>
        <w:rPr>
          <w:rFonts w:hint="eastAsia" w:cs="宋体"/>
          <w:color w:val="auto"/>
          <w:sz w:val="21"/>
          <w:highlight w:val="none"/>
        </w:rPr>
      </w:pPr>
      <w:r>
        <w:rPr>
          <w:rFonts w:hint="eastAsia" w:cs="宋体"/>
          <w:color w:val="auto"/>
          <w:sz w:val="21"/>
          <w:highlight w:val="none"/>
        </w:rPr>
        <w:t>1.1.4 日期和期限</w:t>
      </w:r>
    </w:p>
    <w:p w14:paraId="35F5FB7F">
      <w:pPr>
        <w:pStyle w:val="89"/>
        <w:numPr>
          <w:ilvl w:val="0"/>
          <w:numId w:val="0"/>
        </w:numPr>
        <w:spacing w:after="156"/>
        <w:rPr>
          <w:rFonts w:hint="eastAsia" w:cs="宋体"/>
          <w:color w:val="auto"/>
          <w:sz w:val="21"/>
          <w:highlight w:val="none"/>
        </w:rPr>
      </w:pPr>
      <w:r>
        <w:rPr>
          <w:rFonts w:hint="eastAsia" w:cs="宋体"/>
          <w:color w:val="auto"/>
          <w:sz w:val="21"/>
          <w:highlight w:val="none"/>
        </w:rPr>
        <w:t>1.1.4.1 开始工作通知：指工程师按第8.1.2项[开始工作通知]的约定通知承包人开始工作的函件。</w:t>
      </w:r>
    </w:p>
    <w:p w14:paraId="045493DB">
      <w:pPr>
        <w:pStyle w:val="89"/>
        <w:numPr>
          <w:ilvl w:val="0"/>
          <w:numId w:val="0"/>
        </w:numPr>
        <w:spacing w:after="156"/>
        <w:rPr>
          <w:rFonts w:hint="eastAsia" w:cs="宋体"/>
          <w:color w:val="auto"/>
          <w:sz w:val="21"/>
          <w:highlight w:val="none"/>
        </w:rPr>
      </w:pPr>
      <w:r>
        <w:rPr>
          <w:rFonts w:hint="eastAsia" w:cs="宋体"/>
          <w:color w:val="auto"/>
          <w:sz w:val="21"/>
          <w:highlight w:val="none"/>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14:paraId="5598CA4D">
      <w:pPr>
        <w:pStyle w:val="89"/>
        <w:numPr>
          <w:ilvl w:val="0"/>
          <w:numId w:val="0"/>
        </w:numPr>
        <w:spacing w:after="156"/>
        <w:rPr>
          <w:rFonts w:hint="eastAsia" w:cs="宋体"/>
          <w:color w:val="auto"/>
          <w:sz w:val="21"/>
          <w:highlight w:val="none"/>
        </w:rPr>
      </w:pPr>
      <w:r>
        <w:rPr>
          <w:rFonts w:hint="eastAsia" w:cs="宋体"/>
          <w:color w:val="auto"/>
          <w:sz w:val="21"/>
          <w:highlight w:val="none"/>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51EA15AD">
      <w:pPr>
        <w:pStyle w:val="89"/>
        <w:numPr>
          <w:ilvl w:val="0"/>
          <w:numId w:val="0"/>
        </w:numPr>
        <w:spacing w:after="156"/>
        <w:rPr>
          <w:rFonts w:hint="eastAsia" w:cs="宋体"/>
          <w:color w:val="auto"/>
          <w:sz w:val="21"/>
          <w:highlight w:val="none"/>
        </w:rPr>
      </w:pPr>
      <w:r>
        <w:rPr>
          <w:rFonts w:hint="eastAsia" w:cs="宋体"/>
          <w:color w:val="auto"/>
          <w:sz w:val="21"/>
          <w:highlight w:val="none"/>
        </w:rPr>
        <w:t>1.1.4.4 竣工日期：包括计划竣工日期和实际竣工日期。计划竣工日期是指合同协议书约定的竣工日期；实际竣工日期按照第8.2款[竣工日期]的约定确定。</w:t>
      </w:r>
    </w:p>
    <w:p w14:paraId="13719174">
      <w:pPr>
        <w:pStyle w:val="89"/>
        <w:numPr>
          <w:ilvl w:val="0"/>
          <w:numId w:val="0"/>
        </w:numPr>
        <w:spacing w:after="156"/>
        <w:rPr>
          <w:rFonts w:hint="eastAsia" w:cs="宋体"/>
          <w:color w:val="auto"/>
          <w:sz w:val="21"/>
          <w:highlight w:val="none"/>
        </w:rPr>
      </w:pPr>
      <w:r>
        <w:rPr>
          <w:rFonts w:hint="eastAsia" w:cs="宋体"/>
          <w:color w:val="auto"/>
          <w:sz w:val="21"/>
          <w:highlight w:val="none"/>
        </w:rPr>
        <w:t>1.1.4.5 工期：是指在合同协议书约定的承包人完成合同工作所需的期限，包括按照合同约定所作的期限变更及按合同约定承包人有权取得的工期延长。</w:t>
      </w:r>
    </w:p>
    <w:p w14:paraId="420B8878">
      <w:pPr>
        <w:pStyle w:val="89"/>
        <w:numPr>
          <w:ilvl w:val="0"/>
          <w:numId w:val="0"/>
        </w:numPr>
        <w:spacing w:after="156"/>
        <w:rPr>
          <w:rFonts w:hint="eastAsia" w:cs="宋体"/>
          <w:color w:val="auto"/>
          <w:sz w:val="21"/>
          <w:highlight w:val="none"/>
        </w:rPr>
      </w:pPr>
      <w:r>
        <w:rPr>
          <w:rFonts w:hint="eastAsia" w:cs="宋体"/>
          <w:color w:val="auto"/>
          <w:sz w:val="21"/>
          <w:highlight w:val="none"/>
        </w:rPr>
        <w:t>1.1.4.6 缺陷责任期：是指发包人预留工程质量保证金以保证承包人履行第11.3款[缺陷调查]下质量缺陷责任的期限。</w:t>
      </w:r>
    </w:p>
    <w:p w14:paraId="7CC9603C">
      <w:pPr>
        <w:pStyle w:val="89"/>
        <w:numPr>
          <w:ilvl w:val="0"/>
          <w:numId w:val="0"/>
        </w:numPr>
        <w:spacing w:after="156"/>
        <w:rPr>
          <w:rFonts w:hint="eastAsia" w:cs="宋体"/>
          <w:color w:val="auto"/>
          <w:sz w:val="21"/>
          <w:highlight w:val="none"/>
        </w:rPr>
      </w:pPr>
      <w:r>
        <w:rPr>
          <w:rFonts w:hint="eastAsia" w:cs="宋体"/>
          <w:color w:val="auto"/>
          <w:sz w:val="21"/>
          <w:highlight w:val="none"/>
        </w:rPr>
        <w:t>1.1.4.7 保修期：是指承包人按照合同约定和法律规定对工程质量承担保修责任的期限，该期限自缺陷责任期起算之日起计算。</w:t>
      </w:r>
    </w:p>
    <w:p w14:paraId="2857230F">
      <w:pPr>
        <w:pStyle w:val="89"/>
        <w:numPr>
          <w:ilvl w:val="0"/>
          <w:numId w:val="0"/>
        </w:numPr>
        <w:spacing w:after="156"/>
        <w:rPr>
          <w:rFonts w:hint="eastAsia" w:cs="宋体"/>
          <w:color w:val="auto"/>
          <w:sz w:val="21"/>
          <w:highlight w:val="none"/>
        </w:rPr>
      </w:pPr>
      <w:r>
        <w:rPr>
          <w:rFonts w:hint="eastAsia" w:cs="宋体"/>
          <w:color w:val="auto"/>
          <w:sz w:val="21"/>
          <w:highlight w:val="none"/>
        </w:rPr>
        <w:t>1.1.4.8 基准日期：招标发包的工程以投标截止日前28天的日期为基准日期，直接发包的工程以合同订立日前28天的日期为基准日期。</w:t>
      </w:r>
    </w:p>
    <w:p w14:paraId="608FC637">
      <w:pPr>
        <w:pStyle w:val="89"/>
        <w:numPr>
          <w:ilvl w:val="0"/>
          <w:numId w:val="0"/>
        </w:numPr>
        <w:spacing w:after="156"/>
        <w:rPr>
          <w:rFonts w:hint="eastAsia" w:cs="宋体"/>
          <w:color w:val="auto"/>
          <w:sz w:val="21"/>
          <w:highlight w:val="none"/>
        </w:rPr>
      </w:pPr>
      <w:r>
        <w:rPr>
          <w:rFonts w:hint="eastAsia" w:cs="宋体"/>
          <w:color w:val="auto"/>
          <w:sz w:val="21"/>
          <w:highlight w:val="none"/>
        </w:rPr>
        <w:t>1.1.4.9 天：除特别指明外，均指日历天。合同中按天计算时间的，开始当天不计入，从次日开始计算。期限最后一天的截止时间为当天24:00。</w:t>
      </w:r>
    </w:p>
    <w:p w14:paraId="596E37BB">
      <w:pPr>
        <w:pStyle w:val="89"/>
        <w:numPr>
          <w:ilvl w:val="0"/>
          <w:numId w:val="0"/>
        </w:numPr>
        <w:spacing w:after="156"/>
        <w:rPr>
          <w:rFonts w:hint="eastAsia" w:cs="宋体"/>
          <w:color w:val="auto"/>
          <w:sz w:val="21"/>
          <w:highlight w:val="none"/>
        </w:rPr>
      </w:pPr>
      <w:r>
        <w:rPr>
          <w:rFonts w:hint="eastAsia" w:cs="宋体"/>
          <w:color w:val="auto"/>
          <w:sz w:val="21"/>
          <w:highlight w:val="none"/>
        </w:rPr>
        <w:t>1.1.4.10 竣工试验：是指在工程竣工验收前，根据第9条[竣工试验]要求进行的试验。</w:t>
      </w:r>
    </w:p>
    <w:p w14:paraId="42A4393F">
      <w:pPr>
        <w:pStyle w:val="89"/>
        <w:numPr>
          <w:ilvl w:val="0"/>
          <w:numId w:val="0"/>
        </w:numPr>
        <w:spacing w:after="156"/>
        <w:rPr>
          <w:rFonts w:hint="eastAsia" w:cs="宋体"/>
          <w:color w:val="auto"/>
          <w:sz w:val="21"/>
          <w:highlight w:val="none"/>
        </w:rPr>
      </w:pPr>
      <w:r>
        <w:rPr>
          <w:rFonts w:hint="eastAsia" w:cs="宋体"/>
          <w:color w:val="auto"/>
          <w:sz w:val="21"/>
          <w:highlight w:val="none"/>
        </w:rPr>
        <w:t>1.1.4.11 竣工验收：是指承包人完成了合同约定的各项内容后，发包人按合同要求进行的验收。</w:t>
      </w:r>
    </w:p>
    <w:p w14:paraId="06677EFE">
      <w:pPr>
        <w:pStyle w:val="89"/>
        <w:numPr>
          <w:ilvl w:val="0"/>
          <w:numId w:val="0"/>
        </w:numPr>
        <w:spacing w:after="156"/>
        <w:rPr>
          <w:rFonts w:hint="eastAsia" w:cs="宋体"/>
          <w:color w:val="auto"/>
          <w:sz w:val="21"/>
          <w:highlight w:val="none"/>
        </w:rPr>
      </w:pPr>
      <w:r>
        <w:rPr>
          <w:rFonts w:hint="eastAsia" w:cs="宋体"/>
          <w:color w:val="auto"/>
          <w:sz w:val="21"/>
          <w:highlight w:val="none"/>
        </w:rPr>
        <w:t>1.1.4.12 竣工后试验：是指在工程竣工验收后，根据第12条[竣工后试验]约定进行的试验。</w:t>
      </w:r>
    </w:p>
    <w:p w14:paraId="0AA61BF3">
      <w:pPr>
        <w:pStyle w:val="88"/>
        <w:numPr>
          <w:ilvl w:val="0"/>
          <w:numId w:val="0"/>
        </w:numPr>
        <w:spacing w:after="156"/>
        <w:rPr>
          <w:rFonts w:hint="eastAsia" w:cs="宋体"/>
          <w:color w:val="auto"/>
          <w:sz w:val="21"/>
          <w:highlight w:val="none"/>
        </w:rPr>
      </w:pPr>
      <w:r>
        <w:rPr>
          <w:rFonts w:hint="eastAsia" w:cs="宋体"/>
          <w:color w:val="auto"/>
          <w:sz w:val="21"/>
          <w:highlight w:val="none"/>
        </w:rPr>
        <w:t>1.1.5 合同价格和费用</w:t>
      </w:r>
    </w:p>
    <w:p w14:paraId="518C8CEF">
      <w:pPr>
        <w:pStyle w:val="89"/>
        <w:numPr>
          <w:ilvl w:val="0"/>
          <w:numId w:val="0"/>
        </w:numPr>
        <w:spacing w:after="156"/>
        <w:rPr>
          <w:rFonts w:hint="eastAsia" w:cs="宋体"/>
          <w:color w:val="auto"/>
          <w:sz w:val="21"/>
          <w:highlight w:val="none"/>
        </w:rPr>
      </w:pPr>
      <w:r>
        <w:rPr>
          <w:rFonts w:hint="eastAsia" w:cs="宋体"/>
          <w:color w:val="auto"/>
          <w:sz w:val="21"/>
          <w:highlight w:val="none"/>
        </w:rPr>
        <w:t>1.1.5.1 签约合同价：是指发包人和承包人在合同协议书中确定的总金额，包括暂估价及暂列金额等。</w:t>
      </w:r>
    </w:p>
    <w:p w14:paraId="29B9D310">
      <w:pPr>
        <w:pStyle w:val="89"/>
        <w:numPr>
          <w:ilvl w:val="0"/>
          <w:numId w:val="0"/>
        </w:numPr>
        <w:spacing w:after="156"/>
        <w:rPr>
          <w:rFonts w:hint="eastAsia" w:cs="宋体"/>
          <w:color w:val="auto"/>
          <w:sz w:val="21"/>
          <w:highlight w:val="none"/>
        </w:rPr>
      </w:pPr>
      <w:r>
        <w:rPr>
          <w:rFonts w:hint="eastAsia" w:cs="宋体"/>
          <w:color w:val="auto"/>
          <w:sz w:val="21"/>
          <w:highlight w:val="none"/>
        </w:rPr>
        <w:t>1.1.5.2 合同价格：是指发包人用于支付承包人按照合同约定完成承包范围内全部工作的金额，包括合同履行过程中按合同约定发生的价格变化。</w:t>
      </w:r>
    </w:p>
    <w:p w14:paraId="674A66BB">
      <w:pPr>
        <w:pStyle w:val="89"/>
        <w:numPr>
          <w:ilvl w:val="0"/>
          <w:numId w:val="0"/>
        </w:numPr>
        <w:spacing w:after="156"/>
        <w:rPr>
          <w:rFonts w:hint="eastAsia" w:cs="宋体"/>
          <w:color w:val="auto"/>
          <w:sz w:val="21"/>
          <w:highlight w:val="none"/>
        </w:rPr>
      </w:pPr>
      <w:r>
        <w:rPr>
          <w:rFonts w:hint="eastAsia" w:cs="宋体"/>
          <w:color w:val="auto"/>
          <w:sz w:val="21"/>
          <w:highlight w:val="none"/>
        </w:rPr>
        <w:t>1.1.5.3 费用：是指为履行合同所发生的或将要发生的所有合理开支，包括管理费和应分摊的其他费用，但不包括利润。</w:t>
      </w:r>
    </w:p>
    <w:p w14:paraId="01E96AA7">
      <w:pPr>
        <w:pStyle w:val="89"/>
        <w:numPr>
          <w:ilvl w:val="0"/>
          <w:numId w:val="0"/>
        </w:numPr>
        <w:spacing w:after="156"/>
        <w:rPr>
          <w:rFonts w:hint="eastAsia" w:cs="宋体"/>
          <w:color w:val="auto"/>
          <w:sz w:val="21"/>
          <w:highlight w:val="none"/>
        </w:rPr>
      </w:pPr>
      <w:r>
        <w:rPr>
          <w:rFonts w:hint="eastAsia" w:cs="宋体"/>
          <w:color w:val="auto"/>
          <w:sz w:val="21"/>
          <w:highlight w:val="none"/>
        </w:rPr>
        <w:t>1.1.5.4 人工费：是指支付给直接从事建筑安装工程施工作业的建筑工人的各项费用。</w:t>
      </w:r>
    </w:p>
    <w:p w14:paraId="56FA1E80">
      <w:pPr>
        <w:pStyle w:val="89"/>
        <w:numPr>
          <w:ilvl w:val="0"/>
          <w:numId w:val="0"/>
        </w:numPr>
        <w:spacing w:after="156"/>
        <w:rPr>
          <w:rFonts w:hint="eastAsia" w:cs="宋体"/>
          <w:color w:val="auto"/>
          <w:sz w:val="21"/>
          <w:highlight w:val="none"/>
        </w:rPr>
      </w:pPr>
      <w:r>
        <w:rPr>
          <w:rFonts w:hint="eastAsia" w:cs="宋体"/>
          <w:color w:val="auto"/>
          <w:sz w:val="21"/>
          <w:highlight w:val="none"/>
        </w:rPr>
        <w:t>1.1.5.5 暂估价：</w:t>
      </w:r>
      <w:bookmarkStart w:id="851" w:name="_Hlk18973781"/>
      <w:r>
        <w:rPr>
          <w:rFonts w:hint="eastAsia" w:cs="宋体"/>
          <w:color w:val="auto"/>
          <w:sz w:val="21"/>
          <w:highlight w:val="none"/>
        </w:rPr>
        <w:t>是指发包人在项目清单中给定的，用于支付必然发生但暂时不能确定价格的专业服务、材料、设备、专业工程的金额。</w:t>
      </w:r>
      <w:bookmarkEnd w:id="851"/>
    </w:p>
    <w:p w14:paraId="2A37125D">
      <w:pPr>
        <w:pStyle w:val="89"/>
        <w:numPr>
          <w:ilvl w:val="0"/>
          <w:numId w:val="0"/>
        </w:numPr>
        <w:spacing w:after="156"/>
        <w:rPr>
          <w:rFonts w:hint="eastAsia" w:cs="宋体"/>
          <w:color w:val="auto"/>
          <w:sz w:val="21"/>
          <w:highlight w:val="none"/>
        </w:rPr>
      </w:pPr>
      <w:r>
        <w:rPr>
          <w:rFonts w:hint="eastAsia" w:cs="宋体"/>
          <w:color w:val="auto"/>
          <w:sz w:val="21"/>
          <w:highlight w:val="none"/>
        </w:rPr>
        <w:t>1.1.5.6 暂列金额：是指发包人在项目清单中给定的，用于在订立协议书时尚未确定或不可预见变更的设计、施工及其所需材料、工程设备、服务等的金额，包括以计日工方式支付的金额。</w:t>
      </w:r>
    </w:p>
    <w:p w14:paraId="24D0B1E9">
      <w:pPr>
        <w:pStyle w:val="89"/>
        <w:numPr>
          <w:ilvl w:val="0"/>
          <w:numId w:val="0"/>
        </w:numPr>
        <w:spacing w:after="156"/>
        <w:rPr>
          <w:rFonts w:hint="eastAsia" w:cs="宋体"/>
          <w:color w:val="auto"/>
          <w:sz w:val="21"/>
          <w:highlight w:val="none"/>
        </w:rPr>
      </w:pPr>
      <w:r>
        <w:rPr>
          <w:rFonts w:hint="eastAsia" w:cs="宋体"/>
          <w:color w:val="auto"/>
          <w:sz w:val="21"/>
          <w:highlight w:val="none"/>
        </w:rPr>
        <w:t>1.1.5.7 计日工：是指合同履行过程中，承包人完成发包人提出的零星工作或需要采用计日工计价的变更工作时，按合同中约定的单价计价的一种方式。</w:t>
      </w:r>
    </w:p>
    <w:p w14:paraId="2DE01CA6">
      <w:pPr>
        <w:pStyle w:val="89"/>
        <w:numPr>
          <w:ilvl w:val="0"/>
          <w:numId w:val="0"/>
        </w:numPr>
        <w:spacing w:after="156"/>
        <w:rPr>
          <w:rFonts w:hint="eastAsia" w:cs="宋体"/>
          <w:color w:val="auto"/>
          <w:sz w:val="21"/>
          <w:highlight w:val="none"/>
        </w:rPr>
      </w:pPr>
      <w:r>
        <w:rPr>
          <w:rFonts w:hint="eastAsia" w:cs="宋体"/>
          <w:color w:val="auto"/>
          <w:sz w:val="21"/>
          <w:highlight w:val="none"/>
        </w:rPr>
        <w:t>1.1.5.8 质量保证金：是指按第14.6款[质量保证金]约定承包人用于保证其在缺陷责任期内履行缺陷修复义务的担保。</w:t>
      </w:r>
    </w:p>
    <w:p w14:paraId="5A08D712">
      <w:pPr>
        <w:pStyle w:val="88"/>
        <w:numPr>
          <w:ilvl w:val="0"/>
          <w:numId w:val="0"/>
        </w:numPr>
        <w:spacing w:after="156"/>
        <w:rPr>
          <w:rFonts w:hint="eastAsia" w:cs="宋体"/>
          <w:color w:val="auto"/>
          <w:sz w:val="21"/>
          <w:highlight w:val="none"/>
        </w:rPr>
      </w:pPr>
      <w:r>
        <w:rPr>
          <w:rFonts w:hint="eastAsia" w:cs="宋体"/>
          <w:color w:val="auto"/>
          <w:sz w:val="21"/>
          <w:highlight w:val="none"/>
        </w:rPr>
        <w:t>1.1.6 其他</w:t>
      </w:r>
    </w:p>
    <w:p w14:paraId="544839FA">
      <w:pPr>
        <w:pStyle w:val="89"/>
        <w:numPr>
          <w:ilvl w:val="0"/>
          <w:numId w:val="0"/>
        </w:numPr>
        <w:spacing w:after="156"/>
        <w:rPr>
          <w:rFonts w:hint="eastAsia" w:cs="宋体"/>
          <w:color w:val="auto"/>
          <w:sz w:val="21"/>
          <w:highlight w:val="none"/>
        </w:rPr>
      </w:pPr>
      <w:r>
        <w:rPr>
          <w:rFonts w:hint="eastAsia" w:cs="宋体"/>
          <w:color w:val="auto"/>
          <w:sz w:val="21"/>
          <w:highlight w:val="none"/>
        </w:rPr>
        <w:t>1.1.6.1 书面形式：指合同文件、信函、电报、传真、数据电文、电子邮件、会议纪要等可以有形地表现所载内容的形式。</w:t>
      </w:r>
    </w:p>
    <w:p w14:paraId="660520CA">
      <w:pPr>
        <w:pStyle w:val="89"/>
        <w:numPr>
          <w:ilvl w:val="0"/>
          <w:numId w:val="0"/>
        </w:numPr>
        <w:spacing w:after="156"/>
        <w:rPr>
          <w:rFonts w:hint="eastAsia" w:cs="宋体"/>
          <w:color w:val="auto"/>
          <w:sz w:val="21"/>
          <w:highlight w:val="none"/>
        </w:rPr>
      </w:pPr>
      <w:r>
        <w:rPr>
          <w:rFonts w:hint="eastAsia" w:cs="宋体"/>
          <w:color w:val="auto"/>
          <w:sz w:val="21"/>
          <w:highlight w:val="none"/>
        </w:rPr>
        <w:t>1.1.6.2 承包人文件：指由承包人根据合同约定应提交的所有图纸、手册、模型、计算书、软件、函件、洽商性文件和其他技术性文件。</w:t>
      </w:r>
    </w:p>
    <w:p w14:paraId="07604AD7">
      <w:pPr>
        <w:pStyle w:val="89"/>
        <w:numPr>
          <w:ilvl w:val="0"/>
          <w:numId w:val="0"/>
        </w:numPr>
        <w:spacing w:after="156"/>
        <w:rPr>
          <w:rFonts w:hint="eastAsia" w:cs="宋体"/>
          <w:color w:val="auto"/>
          <w:sz w:val="21"/>
          <w:highlight w:val="none"/>
        </w:rPr>
      </w:pPr>
      <w:r>
        <w:rPr>
          <w:rFonts w:hint="eastAsia" w:cs="宋体"/>
          <w:color w:val="auto"/>
          <w:sz w:val="21"/>
          <w:highlight w:val="none"/>
        </w:rPr>
        <w:t>1.1.6.3 变更：指根据第13条[变更与调整]的约定，经指示或批准对《发包人要求》或工程所做的改变。</w:t>
      </w:r>
    </w:p>
    <w:bookmarkEnd w:id="841"/>
    <w:p w14:paraId="459D82F9">
      <w:pPr>
        <w:pStyle w:val="87"/>
        <w:widowControl/>
        <w:numPr>
          <w:ilvl w:val="0"/>
          <w:numId w:val="0"/>
        </w:numPr>
        <w:spacing w:after="156"/>
        <w:rPr>
          <w:rFonts w:hint="eastAsia" w:ascii="宋体" w:hAnsi="宋体" w:eastAsia="宋体" w:cs="宋体"/>
          <w:b w:val="0"/>
          <w:bCs/>
          <w:color w:val="auto"/>
          <w:sz w:val="21"/>
          <w:szCs w:val="21"/>
          <w:highlight w:val="none"/>
        </w:rPr>
      </w:pPr>
      <w:bookmarkStart w:id="852" w:name="_Toc30144"/>
      <w:bookmarkStart w:id="853" w:name="_Ref509042104"/>
      <w:bookmarkStart w:id="854" w:name="_Toc20346"/>
      <w:bookmarkStart w:id="855" w:name="_Toc6795"/>
      <w:bookmarkStart w:id="856" w:name="_Toc3684"/>
      <w:bookmarkStart w:id="857" w:name="_Toc21209"/>
      <w:bookmarkStart w:id="858" w:name="_Toc23065"/>
      <w:bookmarkStart w:id="859" w:name="_Toc20147"/>
      <w:bookmarkStart w:id="860" w:name="_Ref509042101"/>
      <w:bookmarkStart w:id="861" w:name="_Toc10485"/>
      <w:bookmarkStart w:id="862" w:name="_Toc103175656"/>
      <w:bookmarkStart w:id="863" w:name="_Ref522730349"/>
      <w:bookmarkStart w:id="864" w:name="_Ref522730353"/>
      <w:r>
        <w:rPr>
          <w:rFonts w:hint="eastAsia" w:ascii="宋体" w:hAnsi="宋体" w:eastAsia="宋体" w:cs="宋体"/>
          <w:b w:val="0"/>
          <w:bCs/>
          <w:color w:val="auto"/>
          <w:sz w:val="21"/>
          <w:szCs w:val="21"/>
          <w:highlight w:val="none"/>
        </w:rPr>
        <w:t>1.2 语言文字</w:t>
      </w:r>
      <w:bookmarkEnd w:id="852"/>
      <w:bookmarkEnd w:id="853"/>
      <w:bookmarkEnd w:id="854"/>
      <w:bookmarkEnd w:id="855"/>
      <w:bookmarkEnd w:id="856"/>
      <w:bookmarkEnd w:id="857"/>
      <w:bookmarkEnd w:id="858"/>
      <w:bookmarkEnd w:id="859"/>
      <w:bookmarkEnd w:id="860"/>
      <w:bookmarkEnd w:id="861"/>
      <w:bookmarkEnd w:id="862"/>
    </w:p>
    <w:p w14:paraId="4D3377D2">
      <w:pPr>
        <w:ind w:firstLine="600"/>
        <w:rPr>
          <w:rFonts w:hint="eastAsia" w:ascii="宋体" w:hAnsi="宋体" w:cs="宋体"/>
          <w:color w:val="auto"/>
          <w:szCs w:val="21"/>
          <w:highlight w:val="none"/>
        </w:rPr>
      </w:pPr>
      <w:r>
        <w:rPr>
          <w:rFonts w:hint="eastAsia" w:ascii="宋体" w:hAnsi="宋体" w:cs="宋体"/>
          <w:color w:val="auto"/>
          <w:szCs w:val="21"/>
          <w:highlight w:val="none"/>
        </w:rPr>
        <w:t>合同文件以中国的汉语简体语言文字编写、解释和说明。专用术语使用外文的，应附有中文注释。合同当事人在专用合同条件约定使用两种及以上语言时，汉语为优先解释和说明合同的语言。</w:t>
      </w:r>
    </w:p>
    <w:p w14:paraId="2D2C9681">
      <w:pPr>
        <w:ind w:firstLine="600"/>
        <w:rPr>
          <w:rFonts w:hint="eastAsia" w:ascii="宋体" w:hAnsi="宋体" w:cs="宋体"/>
          <w:color w:val="auto"/>
          <w:szCs w:val="21"/>
          <w:highlight w:val="none"/>
        </w:rPr>
      </w:pPr>
      <w:r>
        <w:rPr>
          <w:rFonts w:hint="eastAsia" w:ascii="宋体" w:hAnsi="宋体" w:cs="宋体"/>
          <w:color w:val="auto"/>
          <w:szCs w:val="21"/>
          <w:highlight w:val="none"/>
        </w:rPr>
        <w:t>与合同有关的联络应使用专用合同条件约定的语言。如没有约定，则应使用中国的汉语简体语言文字。</w:t>
      </w:r>
    </w:p>
    <w:p w14:paraId="68E883C0">
      <w:pPr>
        <w:pStyle w:val="87"/>
        <w:widowControl/>
        <w:numPr>
          <w:ilvl w:val="0"/>
          <w:numId w:val="0"/>
        </w:numPr>
        <w:spacing w:after="156"/>
        <w:rPr>
          <w:rFonts w:hint="eastAsia" w:ascii="宋体" w:hAnsi="宋体" w:eastAsia="宋体" w:cs="宋体"/>
          <w:b w:val="0"/>
          <w:bCs/>
          <w:color w:val="auto"/>
          <w:sz w:val="21"/>
          <w:szCs w:val="21"/>
          <w:highlight w:val="none"/>
        </w:rPr>
      </w:pPr>
      <w:bookmarkStart w:id="865" w:name="_Toc20086"/>
      <w:bookmarkStart w:id="866" w:name="_Ref531949543"/>
      <w:bookmarkStart w:id="867" w:name="_Toc14029"/>
      <w:bookmarkStart w:id="868" w:name="_Toc27107"/>
      <w:bookmarkStart w:id="869" w:name="_Toc11723"/>
      <w:bookmarkStart w:id="870" w:name="_Toc22144"/>
      <w:bookmarkStart w:id="871" w:name="_Ref531949539"/>
      <w:bookmarkStart w:id="872" w:name="_Toc14318"/>
      <w:bookmarkStart w:id="873" w:name="_Toc26282"/>
      <w:bookmarkStart w:id="874" w:name="_Toc5886"/>
      <w:bookmarkStart w:id="875" w:name="_Toc103175657"/>
      <w:r>
        <w:rPr>
          <w:rFonts w:hint="eastAsia" w:ascii="宋体" w:hAnsi="宋体" w:eastAsia="宋体" w:cs="宋体"/>
          <w:b w:val="0"/>
          <w:bCs/>
          <w:color w:val="auto"/>
          <w:sz w:val="21"/>
          <w:szCs w:val="21"/>
          <w:highlight w:val="none"/>
        </w:rPr>
        <w:t>1.3 法律</w:t>
      </w:r>
      <w:bookmarkEnd w:id="865"/>
      <w:bookmarkEnd w:id="866"/>
      <w:bookmarkEnd w:id="867"/>
      <w:bookmarkEnd w:id="868"/>
      <w:bookmarkEnd w:id="869"/>
      <w:bookmarkEnd w:id="870"/>
      <w:bookmarkEnd w:id="871"/>
      <w:bookmarkEnd w:id="872"/>
      <w:bookmarkEnd w:id="873"/>
      <w:bookmarkEnd w:id="874"/>
      <w:bookmarkEnd w:id="875"/>
    </w:p>
    <w:p w14:paraId="04DEF5E7">
      <w:pPr>
        <w:ind w:firstLine="600"/>
        <w:rPr>
          <w:rFonts w:hint="eastAsia" w:ascii="宋体" w:hAnsi="宋体" w:cs="宋体"/>
          <w:color w:val="auto"/>
          <w:szCs w:val="21"/>
          <w:highlight w:val="none"/>
        </w:rPr>
      </w:pPr>
      <w:r>
        <w:rPr>
          <w:rFonts w:hint="eastAsia" w:ascii="宋体" w:hAnsi="宋体" w:cs="宋体"/>
          <w:color w:val="auto"/>
          <w:szCs w:val="21"/>
          <w:highlight w:val="none"/>
        </w:rPr>
        <w:t>合同所称法律是指中华人民共和国法律、行政法规、部门规章，以及工程所在地的地方法规、自治条例、单行条例和地方政府规章等。</w:t>
      </w:r>
    </w:p>
    <w:p w14:paraId="45948D93">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合同当事人可以在专用合同条件中约定合同适用的其他规范性文件。</w:t>
      </w:r>
    </w:p>
    <w:p w14:paraId="223EA246">
      <w:pPr>
        <w:pStyle w:val="87"/>
        <w:widowControl/>
        <w:numPr>
          <w:ilvl w:val="0"/>
          <w:numId w:val="0"/>
        </w:numPr>
        <w:spacing w:after="156"/>
        <w:rPr>
          <w:rFonts w:hint="eastAsia" w:ascii="宋体" w:hAnsi="宋体" w:eastAsia="宋体" w:cs="宋体"/>
          <w:b w:val="0"/>
          <w:bCs/>
          <w:color w:val="auto"/>
          <w:sz w:val="21"/>
          <w:szCs w:val="21"/>
          <w:highlight w:val="none"/>
        </w:rPr>
      </w:pPr>
      <w:bookmarkStart w:id="876" w:name="_Toc18391"/>
      <w:bookmarkStart w:id="877" w:name="_Toc32436"/>
      <w:bookmarkStart w:id="878" w:name="_Toc26040"/>
      <w:bookmarkStart w:id="879" w:name="_Ref531949594"/>
      <w:bookmarkStart w:id="880" w:name="_Toc18553"/>
      <w:bookmarkStart w:id="881" w:name="_Toc8753"/>
      <w:bookmarkStart w:id="882" w:name="_Toc6463"/>
      <w:bookmarkStart w:id="883" w:name="_Toc103175658"/>
      <w:bookmarkStart w:id="884" w:name="_Toc13244"/>
      <w:bookmarkStart w:id="885" w:name="_Ref531949589"/>
      <w:bookmarkStart w:id="886" w:name="_Toc12216"/>
      <w:r>
        <w:rPr>
          <w:rFonts w:hint="eastAsia" w:ascii="宋体" w:hAnsi="宋体" w:eastAsia="宋体" w:cs="宋体"/>
          <w:b w:val="0"/>
          <w:bCs/>
          <w:color w:val="auto"/>
          <w:sz w:val="21"/>
          <w:szCs w:val="21"/>
          <w:highlight w:val="none"/>
        </w:rPr>
        <w:t>1.4 标准和规范</w:t>
      </w:r>
      <w:bookmarkEnd w:id="876"/>
      <w:bookmarkEnd w:id="877"/>
      <w:bookmarkEnd w:id="878"/>
      <w:bookmarkEnd w:id="879"/>
      <w:bookmarkEnd w:id="880"/>
      <w:bookmarkEnd w:id="881"/>
      <w:bookmarkEnd w:id="882"/>
      <w:bookmarkEnd w:id="883"/>
      <w:bookmarkEnd w:id="884"/>
      <w:bookmarkEnd w:id="885"/>
      <w:bookmarkEnd w:id="886"/>
    </w:p>
    <w:p w14:paraId="1D35D02B">
      <w:pPr>
        <w:pStyle w:val="88"/>
        <w:numPr>
          <w:ilvl w:val="0"/>
          <w:numId w:val="0"/>
        </w:numPr>
        <w:spacing w:after="156"/>
        <w:rPr>
          <w:rFonts w:hint="eastAsia" w:cs="宋体"/>
          <w:color w:val="auto"/>
          <w:sz w:val="21"/>
          <w:highlight w:val="none"/>
        </w:rPr>
      </w:pPr>
      <w:bookmarkStart w:id="887" w:name="_Ref4420991"/>
      <w:r>
        <w:rPr>
          <w:rFonts w:hint="eastAsia" w:cs="宋体"/>
          <w:color w:val="auto"/>
          <w:sz w:val="21"/>
          <w:highlight w:val="none"/>
        </w:rPr>
        <w:t>1.4.1 适用于工程的国家标准、行业标准、工程所在地的地方性标准，以及相应的规范、规程等，合同当事人有特别要求的，应在专用合同条件中约定。</w:t>
      </w:r>
      <w:bookmarkEnd w:id="887"/>
    </w:p>
    <w:p w14:paraId="684BADF4">
      <w:pPr>
        <w:pStyle w:val="88"/>
        <w:numPr>
          <w:ilvl w:val="0"/>
          <w:numId w:val="0"/>
        </w:numPr>
        <w:spacing w:after="156"/>
        <w:rPr>
          <w:rFonts w:hint="eastAsia" w:cs="宋体"/>
          <w:color w:val="auto"/>
          <w:sz w:val="21"/>
          <w:highlight w:val="none"/>
        </w:rPr>
      </w:pPr>
      <w:bookmarkStart w:id="888" w:name="_Ref531949642"/>
      <w:r>
        <w:rPr>
          <w:rFonts w:hint="eastAsia" w:cs="宋体"/>
          <w:color w:val="auto"/>
          <w:sz w:val="21"/>
          <w:highlight w:val="none"/>
        </w:rPr>
        <w:t>1.4.2 发包人要求使用国外标准、规范的，发包人负责提供原文版本和中文译本，并在专用合同条件中约定提供标准规范的名称、份数和时间。</w:t>
      </w:r>
      <w:bookmarkEnd w:id="888"/>
    </w:p>
    <w:p w14:paraId="5E86C29E">
      <w:pPr>
        <w:pStyle w:val="88"/>
        <w:numPr>
          <w:ilvl w:val="0"/>
          <w:numId w:val="0"/>
        </w:numPr>
        <w:spacing w:after="156"/>
        <w:rPr>
          <w:rFonts w:hint="eastAsia" w:cs="宋体"/>
          <w:color w:val="auto"/>
          <w:sz w:val="21"/>
          <w:highlight w:val="none"/>
        </w:rPr>
      </w:pPr>
      <w:bookmarkStart w:id="889" w:name="_Ref531949657"/>
      <w:r>
        <w:rPr>
          <w:rFonts w:hint="eastAsia" w:cs="宋体"/>
          <w:color w:val="auto"/>
          <w:sz w:val="21"/>
          <w:highlight w:val="none"/>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889"/>
    </w:p>
    <w:p w14:paraId="242EC99E">
      <w:pPr>
        <w:pStyle w:val="88"/>
        <w:numPr>
          <w:ilvl w:val="0"/>
          <w:numId w:val="0"/>
        </w:numPr>
        <w:spacing w:after="156"/>
        <w:rPr>
          <w:rFonts w:hint="eastAsia" w:cs="宋体"/>
          <w:color w:val="auto"/>
          <w:sz w:val="21"/>
          <w:highlight w:val="none"/>
        </w:rPr>
      </w:pPr>
      <w:bookmarkStart w:id="890" w:name="_Ref4421272"/>
      <w:r>
        <w:rPr>
          <w:rFonts w:hint="eastAsia" w:cs="宋体"/>
          <w:color w:val="auto"/>
          <w:sz w:val="21"/>
          <w:highlight w:val="none"/>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890"/>
    </w:p>
    <w:p w14:paraId="4DF70658">
      <w:pPr>
        <w:pStyle w:val="87"/>
        <w:widowControl/>
        <w:numPr>
          <w:ilvl w:val="0"/>
          <w:numId w:val="0"/>
        </w:numPr>
        <w:spacing w:after="156"/>
        <w:rPr>
          <w:rFonts w:hint="eastAsia" w:ascii="宋体" w:hAnsi="宋体" w:eastAsia="宋体" w:cs="宋体"/>
          <w:b w:val="0"/>
          <w:bCs/>
          <w:color w:val="auto"/>
          <w:sz w:val="21"/>
          <w:szCs w:val="21"/>
          <w:highlight w:val="none"/>
        </w:rPr>
      </w:pPr>
      <w:bookmarkStart w:id="891" w:name="_Toc26200"/>
      <w:bookmarkStart w:id="892" w:name="_Toc13940"/>
      <w:bookmarkStart w:id="893" w:name="_Toc13354"/>
      <w:bookmarkStart w:id="894" w:name="_Toc29644"/>
      <w:bookmarkStart w:id="895" w:name="_Toc23631"/>
      <w:bookmarkStart w:id="896" w:name="_Toc27646"/>
      <w:bookmarkStart w:id="897" w:name="_Ref4421717"/>
      <w:bookmarkStart w:id="898" w:name="_Toc70"/>
      <w:bookmarkStart w:id="899" w:name="_Toc26125"/>
      <w:bookmarkStart w:id="900" w:name="_Toc103175659"/>
      <w:r>
        <w:rPr>
          <w:rFonts w:hint="eastAsia" w:ascii="宋体" w:hAnsi="宋体" w:eastAsia="宋体" w:cs="宋体"/>
          <w:b w:val="0"/>
          <w:bCs/>
          <w:color w:val="auto"/>
          <w:sz w:val="21"/>
          <w:szCs w:val="21"/>
          <w:highlight w:val="none"/>
        </w:rPr>
        <w:t>1.5 合同文件的优先顺序</w:t>
      </w:r>
      <w:bookmarkEnd w:id="863"/>
      <w:bookmarkEnd w:id="864"/>
      <w:bookmarkEnd w:id="891"/>
      <w:bookmarkEnd w:id="892"/>
      <w:bookmarkEnd w:id="893"/>
      <w:bookmarkEnd w:id="894"/>
      <w:bookmarkEnd w:id="895"/>
      <w:bookmarkEnd w:id="896"/>
      <w:bookmarkEnd w:id="897"/>
      <w:bookmarkEnd w:id="898"/>
      <w:bookmarkEnd w:id="899"/>
      <w:bookmarkEnd w:id="900"/>
    </w:p>
    <w:p w14:paraId="699C5B51">
      <w:pPr>
        <w:ind w:firstLine="600"/>
        <w:rPr>
          <w:rFonts w:hint="eastAsia" w:ascii="宋体" w:hAnsi="宋体" w:cs="宋体"/>
          <w:color w:val="auto"/>
          <w:szCs w:val="21"/>
          <w:highlight w:val="none"/>
        </w:rPr>
      </w:pPr>
      <w:bookmarkStart w:id="901" w:name="_Ref531948776"/>
      <w:r>
        <w:rPr>
          <w:rFonts w:hint="eastAsia" w:ascii="宋体" w:hAnsi="宋体" w:cs="宋体"/>
          <w:color w:val="auto"/>
          <w:szCs w:val="21"/>
          <w:highlight w:val="none"/>
        </w:rPr>
        <w:t>组成合同的各项文件应互相解释，互为说明。除专用合同条件另有约定外，</w:t>
      </w:r>
      <w:bookmarkEnd w:id="901"/>
      <w:r>
        <w:rPr>
          <w:rFonts w:hint="eastAsia" w:ascii="宋体" w:hAnsi="宋体" w:cs="宋体"/>
          <w:color w:val="auto"/>
          <w:szCs w:val="21"/>
          <w:highlight w:val="none"/>
        </w:rPr>
        <w:t>解释合同文件的优先顺序如下：</w:t>
      </w:r>
    </w:p>
    <w:p w14:paraId="33D67902">
      <w:pPr>
        <w:ind w:firstLine="600"/>
        <w:rPr>
          <w:rFonts w:hint="eastAsia" w:ascii="宋体" w:hAnsi="宋体" w:cs="宋体"/>
          <w:color w:val="auto"/>
          <w:szCs w:val="21"/>
          <w:highlight w:val="none"/>
        </w:rPr>
      </w:pPr>
      <w:r>
        <w:rPr>
          <w:rFonts w:hint="eastAsia" w:ascii="宋体" w:hAnsi="宋体" w:cs="宋体"/>
          <w:color w:val="auto"/>
          <w:szCs w:val="21"/>
          <w:highlight w:val="none"/>
        </w:rPr>
        <w:t>（1） 合同协议书；</w:t>
      </w:r>
    </w:p>
    <w:p w14:paraId="5A16EA6E">
      <w:pPr>
        <w:ind w:firstLine="600"/>
        <w:rPr>
          <w:rFonts w:hint="eastAsia" w:ascii="宋体" w:hAnsi="宋体" w:cs="宋体"/>
          <w:color w:val="auto"/>
          <w:szCs w:val="21"/>
          <w:highlight w:val="none"/>
        </w:rPr>
      </w:pPr>
      <w:r>
        <w:rPr>
          <w:rFonts w:hint="eastAsia" w:ascii="宋体" w:hAnsi="宋体" w:cs="宋体"/>
          <w:color w:val="auto"/>
          <w:szCs w:val="21"/>
          <w:highlight w:val="none"/>
        </w:rPr>
        <w:t>（2） 中标通知书（如果有）；</w:t>
      </w:r>
    </w:p>
    <w:p w14:paraId="6B8F93B8">
      <w:pPr>
        <w:ind w:firstLine="600"/>
        <w:rPr>
          <w:rFonts w:hint="eastAsia" w:ascii="宋体" w:hAnsi="宋体" w:cs="宋体"/>
          <w:color w:val="auto"/>
          <w:szCs w:val="21"/>
          <w:highlight w:val="none"/>
        </w:rPr>
      </w:pPr>
      <w:r>
        <w:rPr>
          <w:rFonts w:hint="eastAsia" w:ascii="宋体" w:hAnsi="宋体" w:cs="宋体"/>
          <w:color w:val="auto"/>
          <w:szCs w:val="21"/>
          <w:highlight w:val="none"/>
        </w:rPr>
        <w:t>（3） 投标函及投标函附录（如果有）；</w:t>
      </w:r>
    </w:p>
    <w:p w14:paraId="7590183D">
      <w:pPr>
        <w:ind w:firstLine="600"/>
        <w:rPr>
          <w:rFonts w:hint="eastAsia" w:ascii="宋体" w:hAnsi="宋体" w:cs="宋体"/>
          <w:color w:val="auto"/>
          <w:szCs w:val="21"/>
          <w:highlight w:val="none"/>
        </w:rPr>
      </w:pPr>
      <w:r>
        <w:rPr>
          <w:rFonts w:hint="eastAsia" w:ascii="宋体" w:hAnsi="宋体" w:cs="宋体"/>
          <w:color w:val="auto"/>
          <w:szCs w:val="21"/>
          <w:highlight w:val="none"/>
        </w:rPr>
        <w:t>（4） 专用合同条件及《发包人要求》等附件；</w:t>
      </w:r>
    </w:p>
    <w:p w14:paraId="2E48AD01">
      <w:pPr>
        <w:ind w:firstLine="600"/>
        <w:rPr>
          <w:rFonts w:hint="eastAsia" w:ascii="宋体" w:hAnsi="宋体" w:cs="宋体"/>
          <w:color w:val="auto"/>
          <w:szCs w:val="21"/>
          <w:highlight w:val="none"/>
        </w:rPr>
      </w:pPr>
      <w:r>
        <w:rPr>
          <w:rFonts w:hint="eastAsia" w:ascii="宋体" w:hAnsi="宋体" w:cs="宋体"/>
          <w:color w:val="auto"/>
          <w:szCs w:val="21"/>
          <w:highlight w:val="none"/>
        </w:rPr>
        <w:t>（5） 通用合同条件；</w:t>
      </w:r>
    </w:p>
    <w:p w14:paraId="1E44E0D2">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（6） 承包人建议书； </w:t>
      </w:r>
    </w:p>
    <w:p w14:paraId="048BCBC6">
      <w:pPr>
        <w:ind w:firstLine="600"/>
        <w:rPr>
          <w:rFonts w:hint="eastAsia" w:ascii="宋体" w:hAnsi="宋体" w:cs="宋体"/>
          <w:color w:val="auto"/>
          <w:szCs w:val="21"/>
          <w:highlight w:val="none"/>
        </w:rPr>
      </w:pPr>
      <w:r>
        <w:rPr>
          <w:rFonts w:hint="eastAsia" w:ascii="宋体" w:hAnsi="宋体" w:cs="宋体"/>
          <w:color w:val="auto"/>
          <w:szCs w:val="21"/>
          <w:highlight w:val="none"/>
        </w:rPr>
        <w:t>（7） 价格清单；</w:t>
      </w:r>
    </w:p>
    <w:p w14:paraId="67A12D37">
      <w:pPr>
        <w:ind w:firstLine="600"/>
        <w:rPr>
          <w:rFonts w:hint="eastAsia" w:ascii="宋体" w:hAnsi="宋体" w:cs="宋体"/>
          <w:color w:val="auto"/>
          <w:szCs w:val="21"/>
          <w:highlight w:val="none"/>
        </w:rPr>
      </w:pPr>
      <w:r>
        <w:rPr>
          <w:rFonts w:hint="eastAsia" w:ascii="宋体" w:hAnsi="宋体" w:cs="宋体"/>
          <w:color w:val="auto"/>
          <w:szCs w:val="21"/>
          <w:highlight w:val="none"/>
        </w:rPr>
        <w:t>（8） 双方约定的其他合同文件。</w:t>
      </w:r>
    </w:p>
    <w:p w14:paraId="0D073551">
      <w:pPr>
        <w:ind w:firstLine="600"/>
        <w:rPr>
          <w:rFonts w:hint="eastAsia" w:ascii="宋体" w:hAnsi="宋体" w:cs="宋体"/>
          <w:color w:val="auto"/>
          <w:szCs w:val="21"/>
          <w:highlight w:val="none"/>
        </w:rPr>
      </w:pPr>
      <w:bookmarkStart w:id="902" w:name="_Hlk18951547"/>
      <w:r>
        <w:rPr>
          <w:rFonts w:hint="eastAsia" w:ascii="宋体" w:hAnsi="宋体" w:cs="宋体"/>
          <w:color w:val="auto"/>
          <w:szCs w:val="21"/>
          <w:highlight w:val="none"/>
        </w:rPr>
        <w:t>上述各项合同文件包括合同当事人就该项合同文件所作出的补充和修改，属于同一类内容的文件，应以最新签署的为准</w:t>
      </w:r>
      <w:bookmarkEnd w:id="902"/>
      <w:r>
        <w:rPr>
          <w:rFonts w:hint="eastAsia" w:ascii="宋体" w:hAnsi="宋体" w:cs="宋体"/>
          <w:color w:val="auto"/>
          <w:szCs w:val="21"/>
          <w:highlight w:val="none"/>
        </w:rPr>
        <w:t>。</w:t>
      </w:r>
    </w:p>
    <w:p w14:paraId="42D64198">
      <w:pPr>
        <w:ind w:firstLine="600"/>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在合同订立及履行过程中形成的与合同有关的文件均构成合同文件组成部分，并根据其性质确定优先解释顺序。</w:t>
      </w:r>
    </w:p>
    <w:p w14:paraId="2EEC0AED">
      <w:pPr>
        <w:pStyle w:val="87"/>
        <w:widowControl/>
        <w:numPr>
          <w:ilvl w:val="0"/>
          <w:numId w:val="0"/>
        </w:numPr>
        <w:spacing w:after="156"/>
        <w:rPr>
          <w:rFonts w:hint="eastAsia" w:ascii="宋体" w:hAnsi="宋体" w:eastAsia="宋体" w:cs="宋体"/>
          <w:b w:val="0"/>
          <w:bCs/>
          <w:color w:val="auto"/>
          <w:sz w:val="21"/>
          <w:szCs w:val="21"/>
          <w:highlight w:val="none"/>
        </w:rPr>
      </w:pPr>
      <w:bookmarkStart w:id="903" w:name="_Ref4422060"/>
      <w:bookmarkStart w:id="904" w:name="_Toc6085"/>
      <w:bookmarkStart w:id="905" w:name="_Toc23277"/>
      <w:bookmarkStart w:id="906" w:name="_Toc103175660"/>
      <w:bookmarkStart w:id="907" w:name="_Toc16480"/>
      <w:bookmarkStart w:id="908" w:name="_Ref11917818"/>
      <w:bookmarkStart w:id="909" w:name="_Toc10846"/>
      <w:bookmarkStart w:id="910" w:name="_Toc26381"/>
      <w:bookmarkStart w:id="911" w:name="_Toc8772"/>
      <w:bookmarkStart w:id="912" w:name="_Toc20316"/>
      <w:bookmarkStart w:id="913" w:name="_Toc18462"/>
      <w:bookmarkStart w:id="914" w:name="_Ref531949807"/>
      <w:bookmarkStart w:id="915" w:name="_Ref531949803"/>
      <w:bookmarkStart w:id="916" w:name="_Ref531949822"/>
      <w:r>
        <w:rPr>
          <w:rFonts w:hint="eastAsia" w:ascii="宋体" w:hAnsi="宋体" w:eastAsia="宋体" w:cs="宋体"/>
          <w:b w:val="0"/>
          <w:bCs/>
          <w:color w:val="auto"/>
          <w:sz w:val="21"/>
          <w:szCs w:val="21"/>
          <w:highlight w:val="none"/>
        </w:rPr>
        <w:t>1.6 文件的提供和</w:t>
      </w:r>
      <w:bookmarkEnd w:id="903"/>
      <w:r>
        <w:rPr>
          <w:rFonts w:hint="eastAsia" w:ascii="宋体" w:hAnsi="宋体" w:eastAsia="宋体" w:cs="宋体"/>
          <w:b w:val="0"/>
          <w:bCs/>
          <w:color w:val="auto"/>
          <w:sz w:val="21"/>
          <w:szCs w:val="21"/>
          <w:highlight w:val="none"/>
        </w:rPr>
        <w:t>照管</w:t>
      </w:r>
      <w:bookmarkEnd w:id="904"/>
      <w:bookmarkEnd w:id="905"/>
      <w:bookmarkEnd w:id="906"/>
      <w:bookmarkEnd w:id="907"/>
      <w:bookmarkEnd w:id="908"/>
      <w:bookmarkEnd w:id="909"/>
      <w:bookmarkEnd w:id="910"/>
      <w:bookmarkEnd w:id="911"/>
      <w:bookmarkEnd w:id="912"/>
      <w:bookmarkEnd w:id="913"/>
    </w:p>
    <w:p w14:paraId="2A2C6557">
      <w:pPr>
        <w:pStyle w:val="88"/>
        <w:numPr>
          <w:ilvl w:val="0"/>
          <w:numId w:val="0"/>
        </w:numPr>
        <w:spacing w:after="156"/>
        <w:rPr>
          <w:rFonts w:hint="eastAsia" w:cs="宋体"/>
          <w:color w:val="auto"/>
          <w:sz w:val="21"/>
          <w:highlight w:val="none"/>
        </w:rPr>
      </w:pPr>
      <w:bookmarkStart w:id="917" w:name="_Ref4421991"/>
      <w:r>
        <w:rPr>
          <w:rFonts w:hint="eastAsia" w:cs="宋体"/>
          <w:color w:val="auto"/>
          <w:sz w:val="21"/>
          <w:highlight w:val="none"/>
        </w:rPr>
        <w:t>1.6.1 发包人文件的提供</w:t>
      </w:r>
      <w:bookmarkEnd w:id="917"/>
    </w:p>
    <w:p w14:paraId="66006E38">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14:paraId="10845EBD">
      <w:pPr>
        <w:pStyle w:val="88"/>
        <w:numPr>
          <w:ilvl w:val="0"/>
          <w:numId w:val="0"/>
        </w:numPr>
        <w:spacing w:after="156"/>
        <w:rPr>
          <w:rFonts w:hint="eastAsia" w:cs="宋体"/>
          <w:color w:val="auto"/>
          <w:sz w:val="21"/>
          <w:highlight w:val="none"/>
        </w:rPr>
      </w:pPr>
      <w:bookmarkStart w:id="918" w:name="_Ref4422317"/>
      <w:r>
        <w:rPr>
          <w:rFonts w:hint="eastAsia" w:cs="宋体"/>
          <w:color w:val="auto"/>
          <w:sz w:val="21"/>
          <w:highlight w:val="none"/>
        </w:rPr>
        <w:t>1.6.2 承包人文件的提供</w:t>
      </w:r>
      <w:bookmarkEnd w:id="918"/>
    </w:p>
    <w:p w14:paraId="38EE3355">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除专用合同条件另有约定外，承包人文件应包含下列内容，并用第1.2款[语言文字]约定的语言制作：</w:t>
      </w:r>
    </w:p>
    <w:p w14:paraId="37D25ECC">
      <w:pPr>
        <w:ind w:firstLine="600"/>
        <w:rPr>
          <w:rFonts w:hint="eastAsia" w:ascii="宋体" w:hAnsi="宋体" w:cs="宋体"/>
          <w:color w:val="auto"/>
          <w:szCs w:val="21"/>
          <w:highlight w:val="none"/>
        </w:rPr>
      </w:pPr>
      <w:r>
        <w:rPr>
          <w:rFonts w:hint="eastAsia" w:ascii="宋体" w:hAnsi="宋体" w:cs="宋体"/>
          <w:color w:val="auto"/>
          <w:szCs w:val="21"/>
          <w:highlight w:val="none"/>
        </w:rPr>
        <w:t>（1） 《发包人要求》中规定的相关文件；</w:t>
      </w:r>
    </w:p>
    <w:p w14:paraId="7737262D">
      <w:pPr>
        <w:ind w:firstLine="600"/>
        <w:rPr>
          <w:rFonts w:hint="eastAsia" w:ascii="宋体" w:hAnsi="宋体" w:cs="宋体"/>
          <w:color w:val="auto"/>
          <w:szCs w:val="21"/>
          <w:highlight w:val="none"/>
        </w:rPr>
      </w:pPr>
      <w:r>
        <w:rPr>
          <w:rFonts w:hint="eastAsia" w:ascii="宋体" w:hAnsi="宋体" w:cs="宋体"/>
          <w:color w:val="auto"/>
          <w:szCs w:val="21"/>
          <w:highlight w:val="none"/>
        </w:rPr>
        <w:t>（2） 满足工程相关行政审批手续所必须的应由承包人负责的相关文件；</w:t>
      </w:r>
    </w:p>
    <w:p w14:paraId="52A0E75F">
      <w:pPr>
        <w:ind w:firstLine="600"/>
        <w:rPr>
          <w:rFonts w:hint="eastAsia" w:ascii="宋体" w:hAnsi="宋体" w:cs="宋体"/>
          <w:color w:val="auto"/>
          <w:szCs w:val="21"/>
          <w:highlight w:val="none"/>
        </w:rPr>
      </w:pPr>
      <w:r>
        <w:rPr>
          <w:rFonts w:hint="eastAsia" w:ascii="宋体" w:hAnsi="宋体" w:cs="宋体"/>
          <w:color w:val="auto"/>
          <w:szCs w:val="21"/>
          <w:highlight w:val="none"/>
        </w:rPr>
        <w:t>（3） 第5.4款[竣工文件]与第5.5款[操作和维修手册]中要求的相关文件。</w:t>
      </w:r>
    </w:p>
    <w:p w14:paraId="1CBAF5EC">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14:paraId="6A4370E8">
      <w:pPr>
        <w:pStyle w:val="88"/>
        <w:numPr>
          <w:ilvl w:val="0"/>
          <w:numId w:val="0"/>
        </w:numPr>
        <w:spacing w:after="156"/>
        <w:rPr>
          <w:rFonts w:hint="eastAsia" w:cs="宋体"/>
          <w:color w:val="auto"/>
          <w:sz w:val="21"/>
          <w:highlight w:val="none"/>
        </w:rPr>
      </w:pPr>
      <w:r>
        <w:rPr>
          <w:rFonts w:hint="eastAsia" w:cs="宋体"/>
          <w:color w:val="auto"/>
          <w:sz w:val="21"/>
          <w:highlight w:val="none"/>
        </w:rPr>
        <w:t>1.6.3 文件错误的通知</w:t>
      </w:r>
    </w:p>
    <w:p w14:paraId="1F6BECEE">
      <w:pPr>
        <w:ind w:firstLine="600"/>
        <w:rPr>
          <w:rFonts w:hint="eastAsia" w:ascii="宋体" w:hAnsi="宋体" w:cs="宋体"/>
          <w:color w:val="auto"/>
          <w:szCs w:val="21"/>
          <w:highlight w:val="none"/>
        </w:rPr>
      </w:pPr>
      <w:r>
        <w:rPr>
          <w:rFonts w:hint="eastAsia" w:ascii="宋体" w:hAnsi="宋体" w:cs="宋体"/>
          <w:color w:val="auto"/>
          <w:szCs w:val="21"/>
          <w:highlight w:val="none"/>
        </w:rPr>
        <w:t>任何一方发现文件中存在明显的错误或疏忽，应及时通知另一方。</w:t>
      </w:r>
    </w:p>
    <w:p w14:paraId="2F340B7F">
      <w:pPr>
        <w:pStyle w:val="88"/>
        <w:numPr>
          <w:ilvl w:val="0"/>
          <w:numId w:val="0"/>
        </w:numPr>
        <w:spacing w:after="156"/>
        <w:rPr>
          <w:rFonts w:hint="eastAsia" w:cs="宋体"/>
          <w:color w:val="auto"/>
          <w:sz w:val="21"/>
          <w:highlight w:val="none"/>
        </w:rPr>
      </w:pPr>
      <w:bookmarkStart w:id="919" w:name="_Ref4678410"/>
      <w:bookmarkStart w:id="920" w:name="_Ref11957673"/>
      <w:r>
        <w:rPr>
          <w:rFonts w:hint="eastAsia" w:cs="宋体"/>
          <w:color w:val="auto"/>
          <w:sz w:val="21"/>
          <w:highlight w:val="none"/>
        </w:rPr>
        <w:t>1.6.4 文件的</w:t>
      </w:r>
      <w:bookmarkEnd w:id="919"/>
      <w:r>
        <w:rPr>
          <w:rFonts w:hint="eastAsia" w:cs="宋体"/>
          <w:color w:val="auto"/>
          <w:sz w:val="21"/>
          <w:highlight w:val="none"/>
        </w:rPr>
        <w:t>照管</w:t>
      </w:r>
      <w:bookmarkEnd w:id="920"/>
    </w:p>
    <w:p w14:paraId="5936E6E1">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383495E7">
      <w:pPr>
        <w:pStyle w:val="87"/>
        <w:widowControl/>
        <w:numPr>
          <w:ilvl w:val="0"/>
          <w:numId w:val="0"/>
        </w:numPr>
        <w:spacing w:after="156"/>
        <w:rPr>
          <w:rFonts w:hint="eastAsia" w:ascii="宋体" w:hAnsi="宋体" w:eastAsia="宋体" w:cs="宋体"/>
          <w:b w:val="0"/>
          <w:bCs/>
          <w:color w:val="auto"/>
          <w:sz w:val="21"/>
          <w:szCs w:val="21"/>
          <w:highlight w:val="none"/>
        </w:rPr>
      </w:pPr>
      <w:bookmarkStart w:id="921" w:name="_Toc31037"/>
      <w:bookmarkStart w:id="922" w:name="_Toc655"/>
      <w:bookmarkStart w:id="923" w:name="_Toc1292"/>
      <w:bookmarkStart w:id="924" w:name="_Toc6825"/>
      <w:bookmarkStart w:id="925" w:name="_Toc10226"/>
      <w:bookmarkStart w:id="926" w:name="_Ref4415170"/>
      <w:bookmarkStart w:id="927" w:name="_Toc27228"/>
      <w:bookmarkStart w:id="928" w:name="_Toc103175661"/>
      <w:bookmarkStart w:id="929" w:name="_Toc32407"/>
      <w:bookmarkStart w:id="930" w:name="_Toc6317"/>
      <w:r>
        <w:rPr>
          <w:rFonts w:hint="eastAsia" w:ascii="宋体" w:hAnsi="宋体" w:eastAsia="宋体" w:cs="宋体"/>
          <w:b w:val="0"/>
          <w:bCs/>
          <w:color w:val="auto"/>
          <w:sz w:val="21"/>
          <w:szCs w:val="21"/>
          <w:highlight w:val="none"/>
        </w:rPr>
        <w:t>1.7 联络</w:t>
      </w:r>
      <w:bookmarkEnd w:id="921"/>
      <w:bookmarkEnd w:id="922"/>
      <w:bookmarkEnd w:id="923"/>
      <w:bookmarkEnd w:id="924"/>
      <w:bookmarkEnd w:id="925"/>
      <w:bookmarkEnd w:id="926"/>
      <w:bookmarkEnd w:id="927"/>
      <w:bookmarkEnd w:id="928"/>
      <w:bookmarkEnd w:id="929"/>
      <w:bookmarkEnd w:id="930"/>
    </w:p>
    <w:p w14:paraId="04BA4FD8">
      <w:pPr>
        <w:pStyle w:val="88"/>
        <w:numPr>
          <w:ilvl w:val="0"/>
          <w:numId w:val="0"/>
        </w:numPr>
        <w:spacing w:after="156"/>
        <w:rPr>
          <w:rFonts w:hint="eastAsia" w:cs="宋体"/>
          <w:color w:val="auto"/>
          <w:sz w:val="21"/>
          <w:highlight w:val="none"/>
        </w:rPr>
      </w:pPr>
      <w:r>
        <w:rPr>
          <w:rFonts w:hint="eastAsia" w:cs="宋体"/>
          <w:color w:val="auto"/>
          <w:sz w:val="21"/>
          <w:highlight w:val="none"/>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54F1CA5A">
      <w:pPr>
        <w:pStyle w:val="88"/>
        <w:numPr>
          <w:ilvl w:val="0"/>
          <w:numId w:val="0"/>
        </w:numPr>
        <w:spacing w:after="156"/>
        <w:rPr>
          <w:rFonts w:hint="eastAsia" w:cs="宋体"/>
          <w:color w:val="auto"/>
          <w:sz w:val="21"/>
          <w:highlight w:val="none"/>
        </w:rPr>
      </w:pPr>
      <w:bookmarkStart w:id="931" w:name="_Ref531949897"/>
      <w:r>
        <w:rPr>
          <w:rFonts w:hint="eastAsia" w:cs="宋体"/>
          <w:color w:val="auto"/>
          <w:sz w:val="21"/>
          <w:highlight w:val="none"/>
        </w:rPr>
        <w:t>1.7.2 发包人和承包人应在专用合同条件中约定各自的送达方式和收件地址。任何一方合同当事人指定的送达方式或收件地址发生变动的，应提前3天以书面形式通知对方。</w:t>
      </w:r>
      <w:bookmarkEnd w:id="931"/>
    </w:p>
    <w:p w14:paraId="70D19215">
      <w:pPr>
        <w:pStyle w:val="88"/>
        <w:numPr>
          <w:ilvl w:val="0"/>
          <w:numId w:val="0"/>
        </w:numPr>
        <w:spacing w:after="156"/>
        <w:rPr>
          <w:rFonts w:hint="eastAsia" w:cs="宋体"/>
          <w:color w:val="auto"/>
          <w:sz w:val="21"/>
          <w:highlight w:val="none"/>
        </w:rPr>
      </w:pPr>
      <w:r>
        <w:rPr>
          <w:rFonts w:hint="eastAsia" w:cs="宋体"/>
          <w:color w:val="auto"/>
          <w:sz w:val="21"/>
          <w:highlight w:val="none"/>
        </w:rPr>
        <w:t>1.7.3 发包人和承包人应当及时签收另一方通过约定的送达方式送达至收件地址的来往文件。拒不签收的，由此增加的费用和（或）延误的工期由拒绝接收一方承担。</w:t>
      </w:r>
    </w:p>
    <w:p w14:paraId="581BD95D">
      <w:pPr>
        <w:pStyle w:val="88"/>
        <w:numPr>
          <w:ilvl w:val="0"/>
          <w:numId w:val="0"/>
        </w:numPr>
        <w:spacing w:after="156"/>
        <w:rPr>
          <w:rFonts w:hint="eastAsia" w:cs="宋体"/>
          <w:color w:val="auto"/>
          <w:sz w:val="21"/>
          <w:highlight w:val="none"/>
        </w:rPr>
      </w:pPr>
      <w:r>
        <w:rPr>
          <w:rFonts w:hint="eastAsia" w:cs="宋体"/>
          <w:color w:val="auto"/>
          <w:sz w:val="21"/>
          <w:highlight w:val="none"/>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14:paraId="5EA94399">
      <w:pPr>
        <w:pStyle w:val="87"/>
        <w:widowControl/>
        <w:numPr>
          <w:ilvl w:val="0"/>
          <w:numId w:val="0"/>
        </w:numPr>
        <w:spacing w:after="156"/>
        <w:rPr>
          <w:rFonts w:hint="eastAsia" w:ascii="宋体" w:hAnsi="宋体" w:eastAsia="宋体" w:cs="宋体"/>
          <w:b w:val="0"/>
          <w:bCs/>
          <w:color w:val="auto"/>
          <w:sz w:val="21"/>
          <w:szCs w:val="21"/>
          <w:highlight w:val="none"/>
        </w:rPr>
      </w:pPr>
      <w:bookmarkStart w:id="932" w:name="_Toc103175662"/>
      <w:bookmarkStart w:id="933" w:name="_Toc18374"/>
      <w:bookmarkStart w:id="934" w:name="_Toc15021"/>
      <w:bookmarkStart w:id="935" w:name="_Toc8596"/>
      <w:bookmarkStart w:id="936" w:name="_Toc19490"/>
      <w:bookmarkStart w:id="937" w:name="_Toc5843"/>
      <w:bookmarkStart w:id="938" w:name="_Toc8857"/>
      <w:bookmarkStart w:id="939" w:name="_Toc25368"/>
      <w:bookmarkStart w:id="940" w:name="_Toc27361"/>
      <w:r>
        <w:rPr>
          <w:rFonts w:hint="eastAsia" w:ascii="宋体" w:hAnsi="宋体" w:eastAsia="宋体" w:cs="宋体"/>
          <w:b w:val="0"/>
          <w:bCs/>
          <w:color w:val="auto"/>
          <w:sz w:val="21"/>
          <w:szCs w:val="21"/>
          <w:highlight w:val="none"/>
        </w:rPr>
        <w:t>1.8 严禁贿赂</w:t>
      </w:r>
      <w:bookmarkEnd w:id="914"/>
      <w:bookmarkEnd w:id="915"/>
      <w:bookmarkEnd w:id="916"/>
      <w:bookmarkEnd w:id="932"/>
      <w:bookmarkEnd w:id="933"/>
      <w:bookmarkEnd w:id="934"/>
      <w:bookmarkEnd w:id="935"/>
      <w:bookmarkEnd w:id="936"/>
      <w:bookmarkEnd w:id="937"/>
      <w:bookmarkEnd w:id="938"/>
      <w:bookmarkEnd w:id="939"/>
      <w:bookmarkEnd w:id="940"/>
    </w:p>
    <w:p w14:paraId="34CFDB7B">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合同当事人不得以贿赂或变相贿赂的方式，谋取非法利益或损害对方权益。因一方合同当事人的贿赂造成对方损失的，应赔偿损失，并承担相应的法律责任。</w:t>
      </w:r>
    </w:p>
    <w:p w14:paraId="7239321D">
      <w:pPr>
        <w:ind w:firstLine="600"/>
        <w:rPr>
          <w:rFonts w:hint="eastAsia" w:ascii="宋体" w:hAnsi="宋体" w:cs="宋体"/>
          <w:color w:val="auto"/>
          <w:szCs w:val="21"/>
          <w:highlight w:val="none"/>
        </w:rPr>
      </w:pPr>
      <w:r>
        <w:rPr>
          <w:rFonts w:hint="eastAsia" w:ascii="宋体" w:hAnsi="宋体" w:cs="宋体"/>
          <w:color w:val="auto"/>
          <w:szCs w:val="21"/>
          <w:highlight w:val="none"/>
        </w:rPr>
        <w:t>承包人不得与工程师或发包人聘请的第三方串通损害发包人利益。未经发包人书面同意，承包人不得为工程师提供合同约定以外的通讯设备、交通工具及其他任何形式的利益，不得向工程师支付报酬。</w:t>
      </w:r>
    </w:p>
    <w:p w14:paraId="63F27777">
      <w:pPr>
        <w:pStyle w:val="87"/>
        <w:widowControl/>
        <w:numPr>
          <w:ilvl w:val="0"/>
          <w:numId w:val="0"/>
        </w:numPr>
        <w:spacing w:after="156"/>
        <w:rPr>
          <w:rFonts w:hint="eastAsia" w:ascii="宋体" w:hAnsi="宋体" w:eastAsia="宋体" w:cs="宋体"/>
          <w:b w:val="0"/>
          <w:bCs/>
          <w:color w:val="auto"/>
          <w:sz w:val="21"/>
          <w:szCs w:val="21"/>
          <w:highlight w:val="none"/>
        </w:rPr>
      </w:pPr>
      <w:bookmarkStart w:id="941" w:name="_Toc24236"/>
      <w:bookmarkStart w:id="942" w:name="_Toc25823"/>
      <w:bookmarkStart w:id="943" w:name="_Toc103175663"/>
      <w:bookmarkStart w:id="944" w:name="_Toc21540"/>
      <w:bookmarkStart w:id="945" w:name="_Toc29164"/>
      <w:bookmarkStart w:id="946" w:name="_Toc31780"/>
      <w:bookmarkStart w:id="947" w:name="_Toc22709"/>
      <w:bookmarkStart w:id="948" w:name="_Toc10986"/>
      <w:bookmarkStart w:id="949" w:name="_Toc14780"/>
      <w:r>
        <w:rPr>
          <w:rFonts w:hint="eastAsia" w:ascii="宋体" w:hAnsi="宋体" w:eastAsia="宋体" w:cs="宋体"/>
          <w:b w:val="0"/>
          <w:bCs/>
          <w:color w:val="auto"/>
          <w:sz w:val="21"/>
          <w:szCs w:val="21"/>
          <w:highlight w:val="none"/>
        </w:rPr>
        <w:t>1.9 化石、文物</w:t>
      </w:r>
      <w:bookmarkEnd w:id="941"/>
      <w:bookmarkEnd w:id="942"/>
      <w:bookmarkEnd w:id="943"/>
      <w:bookmarkEnd w:id="944"/>
      <w:bookmarkEnd w:id="945"/>
      <w:bookmarkEnd w:id="946"/>
      <w:bookmarkEnd w:id="947"/>
      <w:bookmarkEnd w:id="948"/>
      <w:bookmarkEnd w:id="949"/>
    </w:p>
    <w:p w14:paraId="304C4591">
      <w:pPr>
        <w:ind w:firstLine="600"/>
        <w:rPr>
          <w:rFonts w:hint="eastAsia" w:ascii="宋体" w:hAnsi="宋体" w:cs="宋体"/>
          <w:color w:val="auto"/>
          <w:szCs w:val="21"/>
          <w:highlight w:val="none"/>
        </w:rPr>
      </w:pPr>
      <w:r>
        <w:rPr>
          <w:rFonts w:hint="eastAsia" w:ascii="宋体" w:hAnsi="宋体" w:cs="宋体"/>
          <w:color w:val="auto"/>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0B394FCD">
      <w:pPr>
        <w:ind w:firstLine="600"/>
        <w:rPr>
          <w:rFonts w:hint="eastAsia" w:ascii="宋体" w:hAnsi="宋体" w:cs="宋体"/>
          <w:color w:val="auto"/>
          <w:szCs w:val="21"/>
          <w:highlight w:val="none"/>
        </w:rPr>
      </w:pPr>
      <w:r>
        <w:rPr>
          <w:rFonts w:hint="eastAsia" w:ascii="宋体" w:hAnsi="宋体" w:cs="宋体"/>
          <w:color w:val="auto"/>
          <w:szCs w:val="21"/>
          <w:highlight w:val="none"/>
        </w:rPr>
        <w:t>发包人、工程师和承包人应按有关政府行政管理部门要求采取妥善的保护措施，由此增加的费用和（或）延误的工期由发包人承担。</w:t>
      </w:r>
    </w:p>
    <w:p w14:paraId="3546E180">
      <w:pPr>
        <w:ind w:firstLine="600"/>
        <w:rPr>
          <w:rFonts w:hint="eastAsia" w:ascii="宋体" w:hAnsi="宋体" w:cs="宋体"/>
          <w:color w:val="auto"/>
          <w:szCs w:val="21"/>
          <w:highlight w:val="none"/>
        </w:rPr>
      </w:pPr>
      <w:r>
        <w:rPr>
          <w:rFonts w:hint="eastAsia" w:ascii="宋体" w:hAnsi="宋体" w:cs="宋体"/>
          <w:color w:val="auto"/>
          <w:szCs w:val="21"/>
          <w:highlight w:val="none"/>
        </w:rPr>
        <w:t>承包人发现文物后不及时报告或隐瞒不报，致使文物丢失或损坏的，应赔偿损失，并承担相应的法律责任。</w:t>
      </w:r>
    </w:p>
    <w:p w14:paraId="04D35C32">
      <w:pPr>
        <w:pStyle w:val="87"/>
        <w:widowControl/>
        <w:numPr>
          <w:ilvl w:val="0"/>
          <w:numId w:val="0"/>
        </w:numPr>
        <w:spacing w:after="156"/>
        <w:rPr>
          <w:rFonts w:hint="eastAsia" w:ascii="宋体" w:hAnsi="宋体" w:eastAsia="宋体" w:cs="宋体"/>
          <w:b w:val="0"/>
          <w:bCs/>
          <w:color w:val="auto"/>
          <w:sz w:val="21"/>
          <w:szCs w:val="21"/>
          <w:highlight w:val="none"/>
        </w:rPr>
      </w:pPr>
      <w:bookmarkStart w:id="950" w:name="_Toc11205"/>
      <w:bookmarkStart w:id="951" w:name="_Ref4423426"/>
      <w:bookmarkStart w:id="952" w:name="_Toc7655"/>
      <w:bookmarkStart w:id="953" w:name="_Ref531949766"/>
      <w:bookmarkStart w:id="954" w:name="_Toc29825"/>
      <w:bookmarkStart w:id="955" w:name="_Toc26291"/>
      <w:bookmarkStart w:id="956" w:name="_Toc31837"/>
      <w:bookmarkStart w:id="957" w:name="_Ref531949770"/>
      <w:bookmarkStart w:id="958" w:name="_Toc857"/>
      <w:bookmarkStart w:id="959" w:name="_Toc3209"/>
      <w:bookmarkStart w:id="960" w:name="_Toc103175664"/>
      <w:bookmarkStart w:id="961" w:name="_Toc17250"/>
      <w:bookmarkStart w:id="962" w:name="_Ref531949826"/>
      <w:bookmarkStart w:id="963" w:name="_Ref531949855"/>
      <w:bookmarkStart w:id="964" w:name="_Ref531949841"/>
      <w:r>
        <w:rPr>
          <w:rFonts w:hint="eastAsia" w:ascii="宋体" w:hAnsi="宋体" w:eastAsia="宋体" w:cs="宋体"/>
          <w:b w:val="0"/>
          <w:bCs/>
          <w:color w:val="auto"/>
          <w:sz w:val="21"/>
          <w:szCs w:val="21"/>
          <w:highlight w:val="none"/>
        </w:rPr>
        <w:t>1.10 知识产权</w:t>
      </w:r>
      <w:bookmarkEnd w:id="950"/>
      <w:bookmarkEnd w:id="951"/>
      <w:bookmarkEnd w:id="952"/>
      <w:bookmarkEnd w:id="953"/>
      <w:bookmarkEnd w:id="954"/>
      <w:bookmarkEnd w:id="955"/>
      <w:bookmarkEnd w:id="956"/>
      <w:bookmarkEnd w:id="957"/>
      <w:bookmarkEnd w:id="958"/>
      <w:bookmarkEnd w:id="959"/>
      <w:bookmarkEnd w:id="960"/>
      <w:bookmarkEnd w:id="961"/>
      <w:r>
        <w:rPr>
          <w:rFonts w:hint="eastAsia" w:ascii="宋体" w:hAnsi="宋体" w:eastAsia="宋体" w:cs="宋体"/>
          <w:b w:val="0"/>
          <w:bCs/>
          <w:color w:val="auto"/>
          <w:sz w:val="21"/>
          <w:szCs w:val="21"/>
          <w:highlight w:val="none"/>
        </w:rPr>
        <w:t xml:space="preserve"> </w:t>
      </w:r>
    </w:p>
    <w:p w14:paraId="31F5AC0F">
      <w:pPr>
        <w:pStyle w:val="88"/>
        <w:numPr>
          <w:ilvl w:val="0"/>
          <w:numId w:val="0"/>
        </w:numPr>
        <w:spacing w:after="156"/>
        <w:rPr>
          <w:rFonts w:hint="eastAsia" w:cs="宋体"/>
          <w:color w:val="auto"/>
          <w:sz w:val="21"/>
          <w:highlight w:val="none"/>
        </w:rPr>
      </w:pPr>
      <w:bookmarkStart w:id="965" w:name="_Ref4423563"/>
      <w:r>
        <w:rPr>
          <w:rFonts w:hint="eastAsia" w:cs="宋体"/>
          <w:color w:val="auto"/>
          <w:sz w:val="21"/>
          <w:highlight w:val="none"/>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965"/>
    </w:p>
    <w:p w14:paraId="7FEC233D">
      <w:pPr>
        <w:pStyle w:val="88"/>
        <w:numPr>
          <w:ilvl w:val="0"/>
          <w:numId w:val="0"/>
        </w:numPr>
        <w:spacing w:after="156"/>
        <w:rPr>
          <w:rFonts w:hint="eastAsia" w:cs="宋体"/>
          <w:color w:val="auto"/>
          <w:sz w:val="21"/>
          <w:highlight w:val="none"/>
        </w:rPr>
      </w:pPr>
      <w:bookmarkStart w:id="966" w:name="_Ref4423604"/>
      <w:r>
        <w:rPr>
          <w:rFonts w:hint="eastAsia" w:cs="宋体"/>
          <w:color w:val="auto"/>
          <w:sz w:val="21"/>
          <w:highlight w:val="none"/>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966"/>
    </w:p>
    <w:p w14:paraId="3811F4E6">
      <w:pPr>
        <w:pStyle w:val="88"/>
        <w:numPr>
          <w:ilvl w:val="0"/>
          <w:numId w:val="0"/>
        </w:numPr>
        <w:spacing w:after="156"/>
        <w:rPr>
          <w:rFonts w:hint="eastAsia" w:cs="宋体"/>
          <w:color w:val="auto"/>
          <w:sz w:val="21"/>
          <w:highlight w:val="none"/>
        </w:rPr>
      </w:pPr>
      <w:r>
        <w:rPr>
          <w:rFonts w:hint="eastAsia" w:cs="宋体"/>
          <w:color w:val="auto"/>
          <w:sz w:val="21"/>
          <w:highlight w:val="none"/>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26B98994">
      <w:pPr>
        <w:pStyle w:val="88"/>
        <w:numPr>
          <w:ilvl w:val="0"/>
          <w:numId w:val="0"/>
        </w:numPr>
        <w:spacing w:after="156"/>
        <w:rPr>
          <w:rFonts w:hint="eastAsia" w:cs="宋体"/>
          <w:color w:val="auto"/>
          <w:sz w:val="21"/>
          <w:highlight w:val="none"/>
        </w:rPr>
      </w:pPr>
      <w:bookmarkStart w:id="967" w:name="_Ref4423695"/>
      <w:r>
        <w:rPr>
          <w:rFonts w:hint="eastAsia" w:cs="宋体"/>
          <w:color w:val="auto"/>
          <w:sz w:val="21"/>
          <w:highlight w:val="none"/>
        </w:rPr>
        <w:t>1.10.4 除专用合同条件另有约定外，承包人在投标文件中采用的专利、专有技术、商业软件、技术秘密的使用费已包含在签约合同价中。</w:t>
      </w:r>
      <w:bookmarkEnd w:id="967"/>
    </w:p>
    <w:p w14:paraId="5A5FB57C">
      <w:pPr>
        <w:pStyle w:val="88"/>
        <w:numPr>
          <w:ilvl w:val="0"/>
          <w:numId w:val="0"/>
        </w:numPr>
        <w:spacing w:after="156"/>
        <w:rPr>
          <w:rFonts w:hint="eastAsia" w:cs="宋体"/>
          <w:color w:val="auto"/>
          <w:sz w:val="21"/>
          <w:highlight w:val="none"/>
        </w:rPr>
      </w:pPr>
      <w:r>
        <w:rPr>
          <w:rFonts w:hint="eastAsia" w:cs="宋体"/>
          <w:color w:val="auto"/>
          <w:sz w:val="21"/>
          <w:highlight w:val="none"/>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250545BA">
      <w:pPr>
        <w:pStyle w:val="87"/>
        <w:widowControl/>
        <w:numPr>
          <w:ilvl w:val="0"/>
          <w:numId w:val="0"/>
        </w:numPr>
        <w:spacing w:after="156"/>
        <w:rPr>
          <w:rFonts w:hint="eastAsia" w:ascii="宋体" w:hAnsi="宋体" w:eastAsia="宋体" w:cs="宋体"/>
          <w:b w:val="0"/>
          <w:bCs/>
          <w:color w:val="auto"/>
          <w:sz w:val="21"/>
          <w:szCs w:val="21"/>
          <w:highlight w:val="none"/>
        </w:rPr>
      </w:pPr>
      <w:bookmarkStart w:id="968" w:name="_Toc15765"/>
      <w:bookmarkStart w:id="969" w:name="_Toc14896"/>
      <w:bookmarkStart w:id="970" w:name="_Toc14049"/>
      <w:bookmarkStart w:id="971" w:name="_Toc19211"/>
      <w:bookmarkStart w:id="972" w:name="_Ref4423898"/>
      <w:bookmarkStart w:id="973" w:name="_Toc103175665"/>
      <w:bookmarkStart w:id="974" w:name="_Toc19109"/>
      <w:bookmarkStart w:id="975" w:name="_Toc24438"/>
      <w:bookmarkStart w:id="976" w:name="_Ref4423873"/>
      <w:bookmarkStart w:id="977" w:name="_Toc26533"/>
      <w:bookmarkStart w:id="978" w:name="_Toc8590"/>
      <w:r>
        <w:rPr>
          <w:rFonts w:hint="eastAsia" w:ascii="宋体" w:hAnsi="宋体" w:eastAsia="宋体" w:cs="宋体"/>
          <w:b w:val="0"/>
          <w:bCs/>
          <w:color w:val="auto"/>
          <w:sz w:val="21"/>
          <w:szCs w:val="21"/>
          <w:highlight w:val="none"/>
        </w:rPr>
        <w:t>1.11 保密</w:t>
      </w:r>
      <w:bookmarkEnd w:id="962"/>
      <w:bookmarkEnd w:id="963"/>
      <w:bookmarkEnd w:id="964"/>
      <w:bookmarkEnd w:id="968"/>
      <w:bookmarkEnd w:id="969"/>
      <w:bookmarkEnd w:id="970"/>
      <w:bookmarkEnd w:id="971"/>
      <w:bookmarkEnd w:id="972"/>
      <w:bookmarkEnd w:id="973"/>
      <w:bookmarkEnd w:id="974"/>
      <w:bookmarkEnd w:id="975"/>
      <w:bookmarkEnd w:id="976"/>
      <w:bookmarkEnd w:id="977"/>
      <w:bookmarkEnd w:id="978"/>
    </w:p>
    <w:p w14:paraId="764C864A">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合同当事人一方对在订立和履行合同过程中知悉的另一方的商业秘密、技术秘密，以及任何一方明确要求保密的其它信息，负有保密责任。</w:t>
      </w:r>
    </w:p>
    <w:p w14:paraId="26FD3A46">
      <w:pPr>
        <w:ind w:firstLine="600"/>
        <w:rPr>
          <w:rFonts w:hint="eastAsia" w:ascii="宋体" w:hAnsi="宋体" w:cs="宋体"/>
          <w:color w:val="auto"/>
          <w:szCs w:val="21"/>
          <w:highlight w:val="none"/>
        </w:rPr>
      </w:pPr>
      <w:r>
        <w:rPr>
          <w:rFonts w:hint="eastAsia" w:ascii="宋体" w:hAnsi="宋体" w:cs="宋体"/>
          <w:color w:val="auto"/>
          <w:szCs w:val="21"/>
          <w:highlight w:val="none"/>
        </w:rPr>
        <w:t>除法律规定或合同另有约定外，未经对方同意，任何一方当事人不得将对方提供的文件、技术秘密以及声明需要保密的资料信息等商业秘密泄露给第三方或者用于本合同以外的目的。</w:t>
      </w:r>
    </w:p>
    <w:p w14:paraId="0956F3A7">
      <w:pPr>
        <w:ind w:firstLine="600"/>
        <w:rPr>
          <w:rFonts w:hint="eastAsia" w:ascii="宋体" w:hAnsi="宋体" w:cs="宋体"/>
          <w:color w:val="auto"/>
          <w:szCs w:val="21"/>
          <w:highlight w:val="none"/>
        </w:rPr>
      </w:pPr>
      <w:r>
        <w:rPr>
          <w:rFonts w:hint="eastAsia" w:ascii="宋体" w:hAnsi="宋体" w:cs="宋体"/>
          <w:color w:val="auto"/>
          <w:szCs w:val="21"/>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30D94F2B">
      <w:pPr>
        <w:pStyle w:val="87"/>
        <w:widowControl/>
        <w:numPr>
          <w:ilvl w:val="0"/>
          <w:numId w:val="0"/>
        </w:numPr>
        <w:spacing w:after="156"/>
        <w:rPr>
          <w:rFonts w:hint="eastAsia" w:ascii="宋体" w:hAnsi="宋体" w:eastAsia="宋体" w:cs="宋体"/>
          <w:b w:val="0"/>
          <w:bCs/>
          <w:color w:val="auto"/>
          <w:sz w:val="21"/>
          <w:szCs w:val="21"/>
          <w:highlight w:val="none"/>
        </w:rPr>
      </w:pPr>
      <w:bookmarkStart w:id="979" w:name="_Toc19431"/>
      <w:bookmarkStart w:id="980" w:name="_Toc6646"/>
      <w:bookmarkStart w:id="981" w:name="_Toc27316"/>
      <w:bookmarkStart w:id="982" w:name="_Toc24686"/>
      <w:bookmarkStart w:id="983" w:name="_Ref532336812"/>
      <w:bookmarkStart w:id="984" w:name="_Toc17434"/>
      <w:bookmarkStart w:id="985" w:name="_Toc184"/>
      <w:bookmarkStart w:id="986" w:name="_Toc28564"/>
      <w:bookmarkStart w:id="987" w:name="_Toc103175666"/>
      <w:bookmarkStart w:id="988" w:name="_Toc4260"/>
      <w:r>
        <w:rPr>
          <w:rFonts w:hint="eastAsia" w:ascii="宋体" w:hAnsi="宋体" w:eastAsia="宋体" w:cs="宋体"/>
          <w:b w:val="0"/>
          <w:bCs/>
          <w:color w:val="auto"/>
          <w:sz w:val="21"/>
          <w:szCs w:val="21"/>
          <w:highlight w:val="none"/>
        </w:rPr>
        <w:t xml:space="preserve">1.12 </w:t>
      </w:r>
      <w:bookmarkStart w:id="989" w:name="_Hlk55215423"/>
      <w:r>
        <w:rPr>
          <w:rFonts w:hint="eastAsia" w:ascii="宋体" w:hAnsi="宋体" w:eastAsia="宋体" w:cs="宋体"/>
          <w:b w:val="0"/>
          <w:bCs/>
          <w:color w:val="auto"/>
          <w:sz w:val="21"/>
          <w:szCs w:val="21"/>
          <w:highlight w:val="none"/>
        </w:rPr>
        <w:t>《发包人要求》和基础资料中的错误</w:t>
      </w:r>
      <w:bookmarkEnd w:id="979"/>
      <w:bookmarkEnd w:id="980"/>
      <w:bookmarkEnd w:id="981"/>
      <w:bookmarkEnd w:id="982"/>
      <w:bookmarkEnd w:id="983"/>
      <w:bookmarkEnd w:id="984"/>
      <w:bookmarkEnd w:id="985"/>
      <w:bookmarkEnd w:id="986"/>
      <w:bookmarkEnd w:id="987"/>
      <w:bookmarkEnd w:id="988"/>
      <w:bookmarkEnd w:id="989"/>
    </w:p>
    <w:p w14:paraId="3CF5843D">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承包人应尽早认真阅读、复核《发包人要求》以及其提供的基础资料，发现错误的，应及时书面通知发包人补正。发包人作相应修改的，按照第13条[变更与调整</w:t>
      </w:r>
      <w:bookmarkStart w:id="990" w:name="_Ref523403776"/>
      <w:bookmarkStart w:id="991" w:name="_Ref523403409"/>
      <w:r>
        <w:rPr>
          <w:rFonts w:hint="eastAsia" w:ascii="宋体" w:hAnsi="宋体" w:cs="宋体"/>
          <w:color w:val="auto"/>
          <w:szCs w:val="21"/>
          <w:highlight w:val="none"/>
        </w:rPr>
        <w:t>]的约定处理。</w:t>
      </w:r>
    </w:p>
    <w:p w14:paraId="3B7490A4">
      <w:pPr>
        <w:ind w:firstLine="600"/>
        <w:rPr>
          <w:rFonts w:hint="eastAsia" w:ascii="宋体" w:hAnsi="宋体" w:cs="宋体"/>
          <w:color w:val="auto"/>
          <w:szCs w:val="21"/>
          <w:highlight w:val="none"/>
        </w:rPr>
      </w:pPr>
      <w:r>
        <w:rPr>
          <w:rFonts w:hint="eastAsia" w:ascii="宋体" w:hAnsi="宋体" w:cs="宋体"/>
          <w:color w:val="auto"/>
          <w:szCs w:val="21"/>
          <w:highlight w:val="none"/>
        </w:rPr>
        <w:t>《发包人要求》或其提供的基础资料中的错误导致承包人增加费用和（或）工期延误的，发包人应承担由此增加的费用和（或）工期延误，并向承包人支付合理利润。</w:t>
      </w:r>
    </w:p>
    <w:bookmarkEnd w:id="990"/>
    <w:bookmarkEnd w:id="991"/>
    <w:p w14:paraId="0A3C0247">
      <w:pPr>
        <w:pStyle w:val="87"/>
        <w:widowControl/>
        <w:numPr>
          <w:ilvl w:val="0"/>
          <w:numId w:val="0"/>
        </w:numPr>
        <w:spacing w:after="156"/>
        <w:rPr>
          <w:rFonts w:hint="eastAsia" w:ascii="宋体" w:hAnsi="宋体" w:eastAsia="宋体" w:cs="宋体"/>
          <w:b w:val="0"/>
          <w:bCs/>
          <w:color w:val="auto"/>
          <w:sz w:val="21"/>
          <w:szCs w:val="21"/>
          <w:highlight w:val="none"/>
        </w:rPr>
      </w:pPr>
      <w:bookmarkStart w:id="992" w:name="_Toc21484"/>
      <w:bookmarkStart w:id="993" w:name="_Toc7929"/>
      <w:bookmarkStart w:id="994" w:name="_Toc4686"/>
      <w:bookmarkStart w:id="995" w:name="_Toc28380"/>
      <w:bookmarkStart w:id="996" w:name="_Toc103175667"/>
      <w:bookmarkStart w:id="997" w:name="_Toc20703"/>
      <w:bookmarkStart w:id="998" w:name="_Toc12033"/>
      <w:bookmarkStart w:id="999" w:name="_Toc5401"/>
      <w:bookmarkStart w:id="1000" w:name="_Ref531949933"/>
      <w:bookmarkStart w:id="1001" w:name="_Ref531949937"/>
      <w:bookmarkStart w:id="1002" w:name="_Toc15004"/>
      <w:r>
        <w:rPr>
          <w:rFonts w:hint="eastAsia" w:ascii="宋体" w:hAnsi="宋体" w:eastAsia="宋体" w:cs="宋体"/>
          <w:b w:val="0"/>
          <w:bCs/>
          <w:color w:val="auto"/>
          <w:sz w:val="21"/>
          <w:szCs w:val="21"/>
          <w:highlight w:val="none"/>
        </w:rPr>
        <w:t>1.13 责任限制</w:t>
      </w:r>
      <w:bookmarkEnd w:id="992"/>
      <w:bookmarkEnd w:id="993"/>
      <w:bookmarkEnd w:id="994"/>
      <w:bookmarkEnd w:id="995"/>
      <w:bookmarkEnd w:id="996"/>
      <w:bookmarkEnd w:id="997"/>
      <w:bookmarkEnd w:id="998"/>
      <w:bookmarkEnd w:id="999"/>
      <w:bookmarkEnd w:id="1000"/>
      <w:bookmarkEnd w:id="1001"/>
      <w:bookmarkEnd w:id="1002"/>
    </w:p>
    <w:p w14:paraId="6449F3CC">
      <w:pPr>
        <w:ind w:firstLine="600"/>
        <w:rPr>
          <w:rFonts w:hint="eastAsia" w:ascii="宋体" w:hAnsi="宋体" w:cs="宋体"/>
          <w:color w:val="auto"/>
          <w:szCs w:val="21"/>
          <w:highlight w:val="none"/>
        </w:rPr>
      </w:pPr>
      <w:r>
        <w:rPr>
          <w:rFonts w:hint="eastAsia" w:ascii="宋体" w:hAnsi="宋体" w:cs="宋体"/>
          <w:color w:val="auto"/>
          <w:szCs w:val="21"/>
          <w:highlight w:val="none"/>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14:paraId="6BC5BB0C">
      <w:pPr>
        <w:pStyle w:val="87"/>
        <w:widowControl/>
        <w:numPr>
          <w:ilvl w:val="0"/>
          <w:numId w:val="0"/>
        </w:numPr>
        <w:spacing w:after="156"/>
        <w:rPr>
          <w:rFonts w:hint="eastAsia" w:ascii="宋体" w:hAnsi="宋体" w:eastAsia="宋体" w:cs="宋体"/>
          <w:b w:val="0"/>
          <w:bCs/>
          <w:color w:val="auto"/>
          <w:sz w:val="21"/>
          <w:szCs w:val="21"/>
          <w:highlight w:val="none"/>
        </w:rPr>
      </w:pPr>
      <w:bookmarkStart w:id="1003" w:name="_Toc18595"/>
      <w:bookmarkStart w:id="1004" w:name="_Toc16410"/>
      <w:bookmarkStart w:id="1005" w:name="_Toc103175668"/>
      <w:bookmarkStart w:id="1006" w:name="_Toc18314"/>
      <w:bookmarkStart w:id="1007" w:name="_Toc22813"/>
      <w:bookmarkStart w:id="1008" w:name="_Toc22098"/>
      <w:bookmarkStart w:id="1009" w:name="_Toc30351"/>
      <w:bookmarkStart w:id="1010" w:name="_Toc3972"/>
      <w:bookmarkStart w:id="1011" w:name="_Toc23072"/>
      <w:bookmarkStart w:id="1012" w:name="_Hlk51506160"/>
      <w:r>
        <w:rPr>
          <w:rFonts w:hint="eastAsia" w:ascii="宋体" w:hAnsi="宋体" w:eastAsia="宋体" w:cs="宋体"/>
          <w:b w:val="0"/>
          <w:bCs/>
          <w:color w:val="auto"/>
          <w:sz w:val="21"/>
          <w:szCs w:val="21"/>
          <w:highlight w:val="none"/>
        </w:rPr>
        <w:t>1.14 建筑信息模型技术的应用</w:t>
      </w:r>
      <w:bookmarkEnd w:id="1003"/>
      <w:bookmarkEnd w:id="1004"/>
      <w:bookmarkEnd w:id="1005"/>
      <w:bookmarkEnd w:id="1006"/>
      <w:bookmarkEnd w:id="1007"/>
      <w:bookmarkEnd w:id="1008"/>
      <w:bookmarkEnd w:id="1009"/>
      <w:bookmarkEnd w:id="1010"/>
      <w:bookmarkEnd w:id="1011"/>
    </w:p>
    <w:bookmarkEnd w:id="1012"/>
    <w:p w14:paraId="56AE3B71">
      <w:pPr>
        <w:ind w:firstLine="600"/>
        <w:rPr>
          <w:rFonts w:hint="eastAsia" w:ascii="宋体" w:hAnsi="宋体" w:cs="宋体"/>
          <w:color w:val="auto"/>
          <w:szCs w:val="21"/>
          <w:highlight w:val="none"/>
        </w:rPr>
      </w:pPr>
      <w:r>
        <w:rPr>
          <w:rFonts w:hint="eastAsia" w:ascii="宋体" w:hAnsi="宋体" w:cs="宋体"/>
          <w:color w:val="auto"/>
          <w:szCs w:val="21"/>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34BEA161">
      <w:pPr>
        <w:pStyle w:val="86"/>
        <w:numPr>
          <w:ilvl w:val="0"/>
          <w:numId w:val="0"/>
        </w:numPr>
        <w:rPr>
          <w:rFonts w:hint="eastAsia" w:ascii="宋体" w:hAnsi="宋体" w:eastAsia="宋体" w:cs="宋体"/>
          <w:b w:val="0"/>
          <w:color w:val="auto"/>
          <w:sz w:val="21"/>
          <w:szCs w:val="21"/>
          <w:highlight w:val="none"/>
        </w:rPr>
      </w:pPr>
      <w:bookmarkStart w:id="1013" w:name="_Toc1848"/>
      <w:bookmarkStart w:id="1014" w:name="_Toc15191"/>
      <w:bookmarkStart w:id="1015" w:name="_Toc27815"/>
      <w:bookmarkStart w:id="1016" w:name="_Toc103175669"/>
      <w:bookmarkStart w:id="1017" w:name="_Toc8433"/>
      <w:bookmarkStart w:id="1018" w:name="_Toc19474"/>
      <w:bookmarkStart w:id="1019" w:name="_Toc32658"/>
      <w:bookmarkStart w:id="1020" w:name="_Toc9410"/>
      <w:bookmarkStart w:id="1021" w:name="_Toc15612"/>
      <w:bookmarkStart w:id="1022" w:name="_Toc16539"/>
      <w:bookmarkStart w:id="1023" w:name="_Toc25655"/>
      <w:bookmarkStart w:id="1024" w:name="_Ref4796511"/>
      <w:r>
        <w:rPr>
          <w:rFonts w:hint="eastAsia" w:ascii="宋体" w:hAnsi="宋体" w:eastAsia="宋体" w:cs="宋体"/>
          <w:b w:val="0"/>
          <w:color w:val="auto"/>
          <w:sz w:val="21"/>
          <w:szCs w:val="21"/>
          <w:highlight w:val="none"/>
        </w:rPr>
        <w:t>第2条 发包人</w:t>
      </w:r>
      <w:bookmarkEnd w:id="1013"/>
      <w:bookmarkEnd w:id="1014"/>
      <w:bookmarkEnd w:id="1015"/>
      <w:bookmarkEnd w:id="1016"/>
      <w:bookmarkEnd w:id="1017"/>
      <w:bookmarkEnd w:id="1018"/>
      <w:bookmarkEnd w:id="1019"/>
      <w:bookmarkEnd w:id="1020"/>
      <w:bookmarkEnd w:id="1021"/>
      <w:bookmarkEnd w:id="1022"/>
      <w:bookmarkEnd w:id="1023"/>
      <w:bookmarkEnd w:id="1024"/>
    </w:p>
    <w:p w14:paraId="41B8DE14">
      <w:pPr>
        <w:pStyle w:val="87"/>
        <w:widowControl/>
        <w:numPr>
          <w:ilvl w:val="0"/>
          <w:numId w:val="0"/>
        </w:numPr>
        <w:spacing w:after="156"/>
        <w:rPr>
          <w:rFonts w:hint="eastAsia" w:ascii="宋体" w:hAnsi="宋体" w:eastAsia="宋体" w:cs="宋体"/>
          <w:b w:val="0"/>
          <w:bCs/>
          <w:color w:val="auto"/>
          <w:sz w:val="21"/>
          <w:szCs w:val="21"/>
          <w:highlight w:val="none"/>
        </w:rPr>
      </w:pPr>
      <w:bookmarkStart w:id="1025" w:name="_Toc2136"/>
      <w:bookmarkStart w:id="1026" w:name="_Toc10773"/>
      <w:bookmarkStart w:id="1027" w:name="_Toc19046"/>
      <w:bookmarkStart w:id="1028" w:name="_Toc103175670"/>
      <w:bookmarkStart w:id="1029" w:name="_Toc18051"/>
      <w:bookmarkStart w:id="1030" w:name="_Toc21742"/>
      <w:bookmarkStart w:id="1031" w:name="_Toc30869"/>
      <w:bookmarkStart w:id="1032" w:name="_Toc29572"/>
      <w:r>
        <w:rPr>
          <w:rFonts w:hint="eastAsia" w:ascii="宋体" w:hAnsi="宋体" w:eastAsia="宋体" w:cs="宋体"/>
          <w:b w:val="0"/>
          <w:bCs/>
          <w:color w:val="auto"/>
          <w:sz w:val="21"/>
          <w:szCs w:val="21"/>
          <w:highlight w:val="none"/>
        </w:rPr>
        <w:t>2.1 遵守法律</w:t>
      </w:r>
      <w:bookmarkEnd w:id="1025"/>
      <w:bookmarkEnd w:id="1026"/>
      <w:bookmarkEnd w:id="1027"/>
      <w:bookmarkEnd w:id="1028"/>
      <w:bookmarkEnd w:id="1029"/>
      <w:bookmarkEnd w:id="1030"/>
      <w:bookmarkEnd w:id="1031"/>
      <w:bookmarkEnd w:id="1032"/>
    </w:p>
    <w:p w14:paraId="53931184">
      <w:pPr>
        <w:ind w:firstLine="600"/>
        <w:rPr>
          <w:rFonts w:hint="eastAsia" w:ascii="宋体" w:hAnsi="宋体" w:cs="宋体"/>
          <w:color w:val="auto"/>
          <w:szCs w:val="21"/>
          <w:highlight w:val="none"/>
        </w:rPr>
      </w:pPr>
      <w:r>
        <w:rPr>
          <w:rFonts w:hint="eastAsia" w:ascii="宋体" w:hAnsi="宋体" w:cs="宋体"/>
          <w:color w:val="auto"/>
          <w:szCs w:val="21"/>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15A36864">
      <w:pPr>
        <w:pStyle w:val="87"/>
        <w:widowControl/>
        <w:numPr>
          <w:ilvl w:val="0"/>
          <w:numId w:val="0"/>
        </w:numPr>
        <w:spacing w:after="156"/>
        <w:rPr>
          <w:rFonts w:hint="eastAsia" w:ascii="宋体" w:hAnsi="宋体" w:eastAsia="宋体" w:cs="宋体"/>
          <w:b w:val="0"/>
          <w:bCs/>
          <w:color w:val="auto"/>
          <w:sz w:val="21"/>
          <w:szCs w:val="21"/>
          <w:highlight w:val="none"/>
        </w:rPr>
      </w:pPr>
      <w:bookmarkStart w:id="1033" w:name="_Toc26231"/>
      <w:bookmarkStart w:id="1034" w:name="_Toc103175671"/>
      <w:bookmarkStart w:id="1035" w:name="_Ref11917995"/>
      <w:bookmarkStart w:id="1036" w:name="_Toc4057"/>
      <w:bookmarkStart w:id="1037" w:name="_Toc16093"/>
      <w:bookmarkStart w:id="1038" w:name="_Ref11917977"/>
      <w:bookmarkStart w:id="1039" w:name="_Toc446"/>
      <w:bookmarkStart w:id="1040" w:name="_Toc31689"/>
      <w:bookmarkStart w:id="1041" w:name="_Toc32188"/>
      <w:r>
        <w:rPr>
          <w:rFonts w:hint="eastAsia" w:ascii="宋体" w:hAnsi="宋体" w:eastAsia="宋体" w:cs="宋体"/>
          <w:b w:val="0"/>
          <w:bCs/>
          <w:color w:val="auto"/>
          <w:sz w:val="21"/>
          <w:szCs w:val="21"/>
          <w:highlight w:val="none"/>
        </w:rPr>
        <w:t>2.2 提供施工现场和工作条件</w:t>
      </w:r>
      <w:bookmarkEnd w:id="1033"/>
      <w:bookmarkEnd w:id="1034"/>
      <w:bookmarkEnd w:id="1035"/>
      <w:bookmarkEnd w:id="1036"/>
      <w:bookmarkEnd w:id="1037"/>
      <w:bookmarkEnd w:id="1038"/>
      <w:bookmarkEnd w:id="1039"/>
      <w:bookmarkEnd w:id="1040"/>
      <w:bookmarkEnd w:id="1041"/>
      <w:bookmarkStart w:id="1042" w:name="_Toc54862195"/>
      <w:bookmarkEnd w:id="1042"/>
      <w:bookmarkStart w:id="1043" w:name="_Toc54862197"/>
      <w:bookmarkEnd w:id="1043"/>
      <w:bookmarkStart w:id="1044" w:name="_Toc51505125"/>
      <w:bookmarkEnd w:id="1044"/>
      <w:bookmarkStart w:id="1045" w:name="_Toc51505123"/>
      <w:bookmarkEnd w:id="1045"/>
      <w:bookmarkStart w:id="1046" w:name="_Toc51505124"/>
      <w:bookmarkEnd w:id="1046"/>
      <w:bookmarkStart w:id="1047" w:name="_Toc54862196"/>
      <w:bookmarkEnd w:id="1047"/>
      <w:bookmarkStart w:id="1048" w:name="_Ref531950085"/>
    </w:p>
    <w:p w14:paraId="327613F1">
      <w:pPr>
        <w:pStyle w:val="88"/>
        <w:numPr>
          <w:ilvl w:val="0"/>
          <w:numId w:val="0"/>
        </w:numPr>
        <w:spacing w:after="156"/>
        <w:rPr>
          <w:rFonts w:hint="eastAsia" w:cs="宋体"/>
          <w:color w:val="auto"/>
          <w:sz w:val="21"/>
          <w:highlight w:val="none"/>
        </w:rPr>
      </w:pPr>
      <w:r>
        <w:rPr>
          <w:rFonts w:hint="eastAsia" w:cs="宋体"/>
          <w:color w:val="auto"/>
          <w:sz w:val="21"/>
          <w:highlight w:val="none"/>
        </w:rPr>
        <w:t>2.2.1 提供施工</w:t>
      </w:r>
      <w:bookmarkEnd w:id="1048"/>
      <w:r>
        <w:rPr>
          <w:rFonts w:hint="eastAsia" w:cs="宋体"/>
          <w:color w:val="auto"/>
          <w:sz w:val="21"/>
          <w:highlight w:val="none"/>
        </w:rPr>
        <w:t>现场</w:t>
      </w:r>
    </w:p>
    <w:p w14:paraId="45352E61">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5569BD66">
      <w:pPr>
        <w:pStyle w:val="88"/>
        <w:numPr>
          <w:ilvl w:val="0"/>
          <w:numId w:val="0"/>
        </w:numPr>
        <w:spacing w:after="156"/>
        <w:rPr>
          <w:rFonts w:hint="eastAsia" w:cs="宋体"/>
          <w:color w:val="auto"/>
          <w:sz w:val="21"/>
          <w:highlight w:val="none"/>
        </w:rPr>
      </w:pPr>
      <w:bookmarkStart w:id="1049" w:name="_Ref531950101"/>
      <w:r>
        <w:rPr>
          <w:rFonts w:hint="eastAsia" w:cs="宋体"/>
          <w:color w:val="auto"/>
          <w:sz w:val="21"/>
          <w:highlight w:val="none"/>
        </w:rPr>
        <w:t>2.2.2 提供工作条件</w:t>
      </w:r>
      <w:bookmarkEnd w:id="1049"/>
    </w:p>
    <w:p w14:paraId="5566558E">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发包人应按专用合同条件约定向承包人提供工作条件。专用合同条件对此没有约定的，发包人应负责提供开展本合同相关工作所需要的条件，包括：</w:t>
      </w:r>
    </w:p>
    <w:p w14:paraId="61EEEF83">
      <w:pPr>
        <w:ind w:firstLine="600"/>
        <w:rPr>
          <w:rFonts w:hint="eastAsia" w:ascii="宋体" w:hAnsi="宋体" w:cs="宋体"/>
          <w:color w:val="auto"/>
          <w:szCs w:val="21"/>
          <w:highlight w:val="none"/>
        </w:rPr>
      </w:pPr>
      <w:r>
        <w:rPr>
          <w:rFonts w:hint="eastAsia" w:ascii="宋体" w:hAnsi="宋体" w:cs="宋体"/>
          <w:color w:val="auto"/>
          <w:szCs w:val="21"/>
          <w:highlight w:val="none"/>
        </w:rPr>
        <w:t>（1） 将施工用水、电力、通讯线路等施工所必需的条件接至施工现场内；</w:t>
      </w:r>
    </w:p>
    <w:p w14:paraId="00AABE14">
      <w:pPr>
        <w:ind w:firstLine="600"/>
        <w:rPr>
          <w:rFonts w:hint="eastAsia" w:ascii="宋体" w:hAnsi="宋体" w:cs="宋体"/>
          <w:color w:val="auto"/>
          <w:szCs w:val="21"/>
          <w:highlight w:val="none"/>
        </w:rPr>
      </w:pPr>
      <w:r>
        <w:rPr>
          <w:rFonts w:hint="eastAsia" w:ascii="宋体" w:hAnsi="宋体" w:cs="宋体"/>
          <w:color w:val="auto"/>
          <w:szCs w:val="21"/>
          <w:highlight w:val="none"/>
        </w:rPr>
        <w:t>（2） 保证向承包人提供正常施工所需要的进入施工现场的交通条件；</w:t>
      </w:r>
    </w:p>
    <w:p w14:paraId="02181C69">
      <w:pPr>
        <w:ind w:firstLine="600"/>
        <w:rPr>
          <w:rFonts w:hint="eastAsia" w:ascii="宋体" w:hAnsi="宋体" w:cs="宋体"/>
          <w:color w:val="auto"/>
          <w:szCs w:val="21"/>
          <w:highlight w:val="none"/>
        </w:rPr>
      </w:pPr>
      <w:r>
        <w:rPr>
          <w:rFonts w:hint="eastAsia" w:ascii="宋体" w:hAnsi="宋体" w:cs="宋体"/>
          <w:color w:val="auto"/>
          <w:szCs w:val="21"/>
          <w:highlight w:val="none"/>
        </w:rPr>
        <w:t>（3） 协调处理施工现场周围地下管线和邻近建筑物、构筑物、古树名木、文物、化石及坟墓等的保护工作，并承担相关费用；</w:t>
      </w:r>
    </w:p>
    <w:p w14:paraId="16B2B0EF">
      <w:pPr>
        <w:ind w:firstLine="600"/>
        <w:rPr>
          <w:rFonts w:hint="eastAsia" w:ascii="宋体" w:hAnsi="宋体" w:cs="宋体"/>
          <w:color w:val="auto"/>
          <w:szCs w:val="21"/>
          <w:highlight w:val="none"/>
        </w:rPr>
      </w:pPr>
      <w:r>
        <w:rPr>
          <w:rFonts w:hint="eastAsia" w:ascii="宋体" w:hAnsi="宋体" w:cs="宋体"/>
          <w:color w:val="auto"/>
          <w:szCs w:val="21"/>
          <w:highlight w:val="none"/>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14:paraId="765344DD">
      <w:pPr>
        <w:ind w:firstLine="600"/>
        <w:rPr>
          <w:rFonts w:hint="eastAsia" w:ascii="宋体" w:hAnsi="宋体" w:cs="宋体"/>
          <w:color w:val="auto"/>
          <w:szCs w:val="21"/>
          <w:highlight w:val="none"/>
        </w:rPr>
      </w:pPr>
      <w:r>
        <w:rPr>
          <w:rFonts w:hint="eastAsia" w:ascii="宋体" w:hAnsi="宋体" w:cs="宋体"/>
          <w:color w:val="auto"/>
          <w:szCs w:val="21"/>
          <w:highlight w:val="none"/>
        </w:rPr>
        <w:t>（5） 按照专用合同条件约定应提供的其他设施和条件。</w:t>
      </w:r>
    </w:p>
    <w:p w14:paraId="2F5DF37F">
      <w:pPr>
        <w:pStyle w:val="88"/>
        <w:numPr>
          <w:ilvl w:val="0"/>
          <w:numId w:val="0"/>
        </w:numPr>
        <w:spacing w:after="156"/>
        <w:rPr>
          <w:rFonts w:hint="eastAsia" w:cs="宋体"/>
          <w:color w:val="auto"/>
          <w:sz w:val="21"/>
          <w:highlight w:val="none"/>
        </w:rPr>
      </w:pPr>
      <w:r>
        <w:rPr>
          <w:rFonts w:hint="eastAsia" w:cs="宋体"/>
          <w:color w:val="auto"/>
          <w:sz w:val="21"/>
          <w:highlight w:val="none"/>
        </w:rPr>
        <w:t>2.2.3 逾期提供的责任</w:t>
      </w:r>
    </w:p>
    <w:p w14:paraId="691EE38A">
      <w:pPr>
        <w:ind w:firstLine="600"/>
        <w:rPr>
          <w:rFonts w:hint="eastAsia" w:ascii="宋体" w:hAnsi="宋体" w:cs="宋体"/>
          <w:color w:val="auto"/>
          <w:szCs w:val="21"/>
          <w:highlight w:val="none"/>
        </w:rPr>
      </w:pPr>
      <w:r>
        <w:rPr>
          <w:rFonts w:hint="eastAsia" w:ascii="宋体" w:hAnsi="宋体" w:cs="宋体"/>
          <w:color w:val="auto"/>
          <w:szCs w:val="21"/>
          <w:highlight w:val="none"/>
        </w:rPr>
        <w:t>因发包人原因未能按合同约定及时向承包人提供施工现场和施工条件的，由发包人承担由此增加的费用和（或）延误的工期。</w:t>
      </w:r>
    </w:p>
    <w:p w14:paraId="66DB7BDB">
      <w:pPr>
        <w:pStyle w:val="87"/>
        <w:widowControl/>
        <w:numPr>
          <w:ilvl w:val="0"/>
          <w:numId w:val="0"/>
        </w:numPr>
        <w:spacing w:after="156"/>
        <w:rPr>
          <w:rFonts w:hint="eastAsia" w:ascii="宋体" w:hAnsi="宋体" w:eastAsia="宋体" w:cs="宋体"/>
          <w:b w:val="0"/>
          <w:bCs/>
          <w:color w:val="auto"/>
          <w:sz w:val="21"/>
          <w:szCs w:val="21"/>
          <w:highlight w:val="none"/>
        </w:rPr>
      </w:pPr>
      <w:bookmarkStart w:id="1050" w:name="_Ref11918025"/>
      <w:bookmarkStart w:id="1051" w:name="_Toc30700"/>
      <w:bookmarkStart w:id="1052" w:name="_Toc12759"/>
      <w:bookmarkStart w:id="1053" w:name="_Toc103175672"/>
      <w:bookmarkStart w:id="1054" w:name="_Toc28118"/>
      <w:bookmarkStart w:id="1055" w:name="_Ref11918036"/>
      <w:bookmarkStart w:id="1056" w:name="_Ref11956654"/>
      <w:bookmarkStart w:id="1057" w:name="_Toc4045"/>
      <w:bookmarkStart w:id="1058" w:name="_Toc6409"/>
      <w:bookmarkStart w:id="1059" w:name="_Ref11956647"/>
      <w:bookmarkStart w:id="1060" w:name="_Toc213"/>
      <w:bookmarkStart w:id="1061" w:name="_Toc385"/>
      <w:bookmarkStart w:id="1062" w:name="_Toc27400"/>
      <w:r>
        <w:rPr>
          <w:rFonts w:hint="eastAsia" w:ascii="宋体" w:hAnsi="宋体" w:eastAsia="宋体" w:cs="宋体"/>
          <w:b w:val="0"/>
          <w:bCs/>
          <w:color w:val="auto"/>
          <w:sz w:val="21"/>
          <w:szCs w:val="21"/>
          <w:highlight w:val="none"/>
        </w:rPr>
        <w:t>2.3 提供基础资料</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750D8DBA">
      <w:pPr>
        <w:ind w:firstLine="600"/>
        <w:rPr>
          <w:rFonts w:hint="eastAsia" w:ascii="宋体" w:hAnsi="宋体" w:cs="宋体"/>
          <w:color w:val="auto"/>
          <w:szCs w:val="21"/>
          <w:highlight w:val="none"/>
        </w:rPr>
      </w:pPr>
      <w:bookmarkStart w:id="1063" w:name="_Hlk51506429"/>
      <w:r>
        <w:rPr>
          <w:rFonts w:hint="eastAsia" w:ascii="宋体" w:hAnsi="宋体" w:cs="宋体"/>
          <w:color w:val="auto"/>
          <w:szCs w:val="21"/>
          <w:highlight w:val="none"/>
        </w:rPr>
        <w:t>发包人应按专用合同条件和《发包人要求》中的约定向承包人提供</w:t>
      </w:r>
      <w:bookmarkEnd w:id="1063"/>
      <w:r>
        <w:rPr>
          <w:rFonts w:hint="eastAsia" w:ascii="宋体" w:hAnsi="宋体" w:cs="宋体"/>
          <w:color w:val="auto"/>
          <w:szCs w:val="21"/>
          <w:highlight w:val="none"/>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2AF78513">
      <w:pPr>
        <w:pStyle w:val="87"/>
        <w:widowControl/>
        <w:numPr>
          <w:ilvl w:val="0"/>
          <w:numId w:val="0"/>
        </w:numPr>
        <w:spacing w:after="156"/>
        <w:rPr>
          <w:rFonts w:hint="eastAsia" w:ascii="宋体" w:hAnsi="宋体" w:eastAsia="宋体" w:cs="宋体"/>
          <w:b w:val="0"/>
          <w:bCs/>
          <w:color w:val="auto"/>
          <w:sz w:val="21"/>
          <w:szCs w:val="21"/>
          <w:highlight w:val="none"/>
        </w:rPr>
      </w:pPr>
      <w:bookmarkStart w:id="1064" w:name="_Toc19600"/>
      <w:bookmarkStart w:id="1065" w:name="_Toc9295"/>
      <w:bookmarkStart w:id="1066" w:name="_Toc103175673"/>
      <w:bookmarkStart w:id="1067" w:name="_Toc10008"/>
      <w:bookmarkStart w:id="1068" w:name="_Toc24243"/>
      <w:bookmarkStart w:id="1069" w:name="_Toc3010"/>
      <w:bookmarkStart w:id="1070" w:name="_Ref531950041"/>
      <w:bookmarkStart w:id="1071" w:name="_Toc21812"/>
      <w:bookmarkStart w:id="1072" w:name="_Toc2479"/>
      <w:bookmarkStart w:id="1073" w:name="_Ref531950045"/>
      <w:r>
        <w:rPr>
          <w:rFonts w:hint="eastAsia" w:ascii="宋体" w:hAnsi="宋体" w:eastAsia="宋体" w:cs="宋体"/>
          <w:b w:val="0"/>
          <w:bCs/>
          <w:color w:val="auto"/>
          <w:sz w:val="21"/>
          <w:szCs w:val="21"/>
          <w:highlight w:val="none"/>
        </w:rPr>
        <w:t>2.4 办理许可和批准</w:t>
      </w:r>
      <w:bookmarkEnd w:id="1064"/>
      <w:bookmarkEnd w:id="1065"/>
      <w:bookmarkEnd w:id="1066"/>
      <w:bookmarkEnd w:id="1067"/>
      <w:bookmarkEnd w:id="1068"/>
      <w:bookmarkEnd w:id="1069"/>
      <w:bookmarkEnd w:id="1070"/>
      <w:bookmarkEnd w:id="1071"/>
      <w:bookmarkEnd w:id="1072"/>
      <w:bookmarkEnd w:id="1073"/>
    </w:p>
    <w:p w14:paraId="0ACBFA4D">
      <w:pPr>
        <w:pStyle w:val="88"/>
        <w:numPr>
          <w:ilvl w:val="0"/>
          <w:numId w:val="0"/>
        </w:numPr>
        <w:spacing w:after="156"/>
        <w:rPr>
          <w:rFonts w:hint="eastAsia" w:cs="宋体"/>
          <w:color w:val="auto"/>
          <w:sz w:val="21"/>
          <w:highlight w:val="none"/>
        </w:rPr>
      </w:pPr>
      <w:bookmarkStart w:id="1074" w:name="_Toc51505128"/>
      <w:r>
        <w:rPr>
          <w:rFonts w:hint="eastAsia" w:cs="宋体"/>
          <w:color w:val="auto"/>
          <w:sz w:val="21"/>
          <w:highlight w:val="none"/>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074"/>
    </w:p>
    <w:p w14:paraId="7B009775">
      <w:pPr>
        <w:pStyle w:val="88"/>
        <w:numPr>
          <w:ilvl w:val="0"/>
          <w:numId w:val="0"/>
        </w:numPr>
        <w:spacing w:after="156"/>
        <w:rPr>
          <w:rFonts w:hint="eastAsia" w:cs="宋体"/>
          <w:color w:val="auto"/>
          <w:sz w:val="21"/>
          <w:highlight w:val="none"/>
        </w:rPr>
      </w:pPr>
      <w:bookmarkStart w:id="1075" w:name="_Toc51505129"/>
      <w:r>
        <w:rPr>
          <w:rFonts w:hint="eastAsia" w:cs="宋体"/>
          <w:color w:val="auto"/>
          <w:sz w:val="21"/>
          <w:highlight w:val="none"/>
        </w:rPr>
        <w:t>2.4.2 因发包人原因未能及时办理完毕前述许可、批准或备案，由发包人承担由此增加的费用和（或）延误的工期，并支付承包人合理的利润。</w:t>
      </w:r>
      <w:bookmarkEnd w:id="1075"/>
    </w:p>
    <w:p w14:paraId="07E819C1">
      <w:pPr>
        <w:pStyle w:val="87"/>
        <w:widowControl/>
        <w:numPr>
          <w:ilvl w:val="0"/>
          <w:numId w:val="0"/>
        </w:numPr>
        <w:spacing w:after="156"/>
        <w:rPr>
          <w:rFonts w:hint="eastAsia" w:ascii="宋体" w:hAnsi="宋体" w:eastAsia="宋体" w:cs="宋体"/>
          <w:b w:val="0"/>
          <w:bCs/>
          <w:color w:val="auto"/>
          <w:sz w:val="21"/>
          <w:szCs w:val="21"/>
          <w:highlight w:val="none"/>
        </w:rPr>
      </w:pPr>
      <w:bookmarkStart w:id="1076" w:name="_Ref11918060"/>
      <w:bookmarkStart w:id="1077" w:name="_Toc9760"/>
      <w:bookmarkStart w:id="1078" w:name="_Ref11918070"/>
      <w:bookmarkStart w:id="1079" w:name="_Toc13562"/>
      <w:bookmarkStart w:id="1080" w:name="_Toc103175674"/>
      <w:bookmarkStart w:id="1081" w:name="_Ref11956525"/>
      <w:bookmarkStart w:id="1082" w:name="_Toc24995"/>
      <w:bookmarkStart w:id="1083" w:name="_Toc23793"/>
      <w:bookmarkStart w:id="1084" w:name="_Toc28850"/>
      <w:bookmarkStart w:id="1085" w:name="_Toc17984"/>
      <w:bookmarkStart w:id="1086" w:name="_Toc18962"/>
      <w:bookmarkStart w:id="1087" w:name="_Ref11956533"/>
      <w:r>
        <w:rPr>
          <w:rFonts w:hint="eastAsia" w:ascii="宋体" w:hAnsi="宋体" w:eastAsia="宋体" w:cs="宋体"/>
          <w:b w:val="0"/>
          <w:bCs/>
          <w:color w:val="auto"/>
          <w:sz w:val="21"/>
          <w:szCs w:val="21"/>
          <w:highlight w:val="none"/>
        </w:rPr>
        <w:t>2.5 支付合同价款</w:t>
      </w:r>
      <w:bookmarkEnd w:id="1076"/>
      <w:bookmarkEnd w:id="1077"/>
      <w:bookmarkEnd w:id="1078"/>
      <w:bookmarkEnd w:id="1079"/>
      <w:bookmarkEnd w:id="1080"/>
      <w:bookmarkEnd w:id="1081"/>
      <w:bookmarkEnd w:id="1082"/>
      <w:bookmarkEnd w:id="1083"/>
      <w:bookmarkEnd w:id="1084"/>
      <w:bookmarkEnd w:id="1085"/>
      <w:bookmarkEnd w:id="1086"/>
      <w:bookmarkEnd w:id="1087"/>
    </w:p>
    <w:p w14:paraId="35E538C0">
      <w:pPr>
        <w:pStyle w:val="88"/>
        <w:numPr>
          <w:ilvl w:val="0"/>
          <w:numId w:val="0"/>
        </w:numPr>
        <w:spacing w:after="156"/>
        <w:rPr>
          <w:rFonts w:hint="eastAsia" w:cs="宋体"/>
          <w:color w:val="auto"/>
          <w:sz w:val="21"/>
          <w:highlight w:val="none"/>
        </w:rPr>
      </w:pPr>
      <w:bookmarkStart w:id="1088" w:name="_Toc51505131"/>
      <w:bookmarkStart w:id="1089" w:name="_Ref531950147"/>
      <w:r>
        <w:rPr>
          <w:rFonts w:hint="eastAsia" w:cs="宋体"/>
          <w:color w:val="auto"/>
          <w:sz w:val="21"/>
          <w:highlight w:val="none"/>
        </w:rPr>
        <w:t>2.5.1 发包人应按合同约定向承包人及时支付合同价款。</w:t>
      </w:r>
      <w:bookmarkEnd w:id="1088"/>
    </w:p>
    <w:bookmarkEnd w:id="1089"/>
    <w:p w14:paraId="641823B3">
      <w:pPr>
        <w:pStyle w:val="88"/>
        <w:numPr>
          <w:ilvl w:val="0"/>
          <w:numId w:val="0"/>
        </w:numPr>
        <w:spacing w:after="156"/>
        <w:rPr>
          <w:rFonts w:hint="eastAsia" w:cs="宋体"/>
          <w:color w:val="auto"/>
          <w:sz w:val="21"/>
          <w:highlight w:val="none"/>
        </w:rPr>
      </w:pPr>
      <w:bookmarkStart w:id="1090" w:name="_Toc51505132"/>
      <w:r>
        <w:rPr>
          <w:rFonts w:hint="eastAsia" w:cs="宋体"/>
          <w:color w:val="auto"/>
          <w:sz w:val="21"/>
          <w:highlight w:val="none"/>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1090"/>
    </w:p>
    <w:p w14:paraId="5CC7CC6F">
      <w:pPr>
        <w:pStyle w:val="88"/>
        <w:numPr>
          <w:ilvl w:val="0"/>
          <w:numId w:val="0"/>
        </w:numPr>
        <w:spacing w:after="156"/>
        <w:rPr>
          <w:rFonts w:hint="eastAsia" w:cs="宋体"/>
          <w:color w:val="auto"/>
          <w:sz w:val="21"/>
          <w:highlight w:val="none"/>
        </w:rPr>
      </w:pPr>
      <w:bookmarkStart w:id="1091" w:name="_Ref531950161"/>
      <w:bookmarkStart w:id="1092" w:name="_Toc51505133"/>
      <w:r>
        <w:rPr>
          <w:rFonts w:hint="eastAsia" w:cs="宋体"/>
          <w:color w:val="auto"/>
          <w:sz w:val="21"/>
          <w:highlight w:val="none"/>
        </w:rPr>
        <w:t>2.5.3 发包人应当向承包人提供支付担保。支付担保可以采用银行保函或担保公司担保等形式，具体由合同当事人在专用合同条件中约定。</w:t>
      </w:r>
      <w:bookmarkEnd w:id="1091"/>
      <w:bookmarkEnd w:id="1092"/>
    </w:p>
    <w:p w14:paraId="4A8C1B48">
      <w:pPr>
        <w:pStyle w:val="87"/>
        <w:widowControl/>
        <w:numPr>
          <w:ilvl w:val="0"/>
          <w:numId w:val="0"/>
        </w:numPr>
        <w:spacing w:after="156"/>
        <w:rPr>
          <w:rFonts w:hint="eastAsia" w:ascii="宋体" w:hAnsi="宋体" w:eastAsia="宋体" w:cs="宋体"/>
          <w:b w:val="0"/>
          <w:bCs/>
          <w:color w:val="auto"/>
          <w:sz w:val="21"/>
          <w:szCs w:val="21"/>
          <w:highlight w:val="none"/>
        </w:rPr>
      </w:pPr>
      <w:bookmarkStart w:id="1093" w:name="_Toc103175675"/>
      <w:bookmarkStart w:id="1094" w:name="_Toc26886"/>
      <w:bookmarkStart w:id="1095" w:name="_Toc17210"/>
      <w:bookmarkStart w:id="1096" w:name="_Toc10288"/>
      <w:bookmarkStart w:id="1097" w:name="_Toc1811"/>
      <w:bookmarkStart w:id="1098" w:name="_Toc13552"/>
      <w:bookmarkStart w:id="1099" w:name="_Toc11950"/>
      <w:bookmarkStart w:id="1100" w:name="_Toc14932"/>
      <w:bookmarkStart w:id="1101" w:name="_Toc12419"/>
      <w:r>
        <w:rPr>
          <w:rFonts w:hint="eastAsia" w:ascii="宋体" w:hAnsi="宋体" w:eastAsia="宋体" w:cs="宋体"/>
          <w:b w:val="0"/>
          <w:bCs/>
          <w:color w:val="auto"/>
          <w:sz w:val="21"/>
          <w:szCs w:val="21"/>
          <w:highlight w:val="none"/>
        </w:rPr>
        <w:t>2.6 现场管理配合</w:t>
      </w:r>
      <w:bookmarkEnd w:id="1093"/>
      <w:bookmarkEnd w:id="1094"/>
      <w:bookmarkEnd w:id="1095"/>
      <w:bookmarkEnd w:id="1096"/>
      <w:bookmarkEnd w:id="1097"/>
      <w:bookmarkEnd w:id="1098"/>
      <w:bookmarkEnd w:id="1099"/>
      <w:bookmarkEnd w:id="1100"/>
      <w:bookmarkEnd w:id="1101"/>
    </w:p>
    <w:p w14:paraId="1451B5F0">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发包人应负责保证在现场或现场附近的发包人人员和发包人的其他承包人（如有）：</w:t>
      </w:r>
    </w:p>
    <w:p w14:paraId="584A2B74">
      <w:pPr>
        <w:ind w:firstLine="600"/>
        <w:rPr>
          <w:rFonts w:hint="eastAsia" w:ascii="宋体" w:hAnsi="宋体" w:cs="宋体"/>
          <w:color w:val="auto"/>
          <w:szCs w:val="21"/>
          <w:highlight w:val="none"/>
        </w:rPr>
      </w:pPr>
      <w:r>
        <w:rPr>
          <w:rFonts w:hint="eastAsia" w:ascii="宋体" w:hAnsi="宋体" w:cs="宋体"/>
          <w:color w:val="auto"/>
          <w:szCs w:val="21"/>
          <w:highlight w:val="none"/>
        </w:rPr>
        <w:t>（1） 根据第7.3款[现场合作]的约定，与承包人进行合作；</w:t>
      </w:r>
    </w:p>
    <w:p w14:paraId="4DFECADB">
      <w:pPr>
        <w:ind w:firstLine="600"/>
        <w:rPr>
          <w:rFonts w:hint="eastAsia" w:ascii="宋体" w:hAnsi="宋体" w:cs="宋体"/>
          <w:color w:val="auto"/>
          <w:szCs w:val="21"/>
          <w:highlight w:val="none"/>
        </w:rPr>
      </w:pPr>
      <w:r>
        <w:rPr>
          <w:rFonts w:hint="eastAsia" w:ascii="宋体" w:hAnsi="宋体" w:cs="宋体"/>
          <w:color w:val="auto"/>
          <w:szCs w:val="21"/>
          <w:highlight w:val="none"/>
        </w:rPr>
        <w:t>（2） 遵守第7.5款[现场劳动用工]、第7.6款[安全文明施工]、第7.7款[职业健康</w:t>
      </w:r>
      <w:bookmarkStart w:id="1102" w:name="_Ref531952761"/>
      <w:bookmarkStart w:id="1103" w:name="_Ref531952756"/>
      <w:r>
        <w:rPr>
          <w:rFonts w:hint="eastAsia" w:ascii="宋体" w:hAnsi="宋体" w:cs="宋体"/>
          <w:color w:val="auto"/>
          <w:szCs w:val="21"/>
          <w:highlight w:val="none"/>
        </w:rPr>
        <w:t>]和第7.8款[环境保护]的相关约定。</w:t>
      </w:r>
    </w:p>
    <w:p w14:paraId="5B645A79">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发包人应与承包人、由发包人直接发包的其他承包人（如有）订立施工现场统一管理协议，明确各方的权利义务。</w:t>
      </w:r>
    </w:p>
    <w:p w14:paraId="01071DE0">
      <w:pPr>
        <w:pStyle w:val="87"/>
        <w:widowControl/>
        <w:numPr>
          <w:ilvl w:val="0"/>
          <w:numId w:val="0"/>
        </w:numPr>
        <w:spacing w:after="156"/>
        <w:rPr>
          <w:rFonts w:hint="eastAsia" w:ascii="宋体" w:hAnsi="宋体" w:eastAsia="宋体" w:cs="宋体"/>
          <w:b w:val="0"/>
          <w:bCs/>
          <w:color w:val="auto"/>
          <w:sz w:val="21"/>
          <w:szCs w:val="21"/>
          <w:highlight w:val="none"/>
        </w:rPr>
      </w:pPr>
      <w:bookmarkStart w:id="1104" w:name="_Toc14289"/>
      <w:bookmarkStart w:id="1105" w:name="_Toc3847"/>
      <w:bookmarkStart w:id="1106" w:name="_Toc8219"/>
      <w:bookmarkStart w:id="1107" w:name="_Toc459"/>
      <w:bookmarkStart w:id="1108" w:name="_Toc24355"/>
      <w:bookmarkStart w:id="1109" w:name="_Toc25146"/>
      <w:bookmarkStart w:id="1110" w:name="_Toc19480"/>
      <w:bookmarkStart w:id="1111" w:name="_Toc29041"/>
      <w:bookmarkStart w:id="1112" w:name="_Ref11959372"/>
      <w:bookmarkStart w:id="1113" w:name="_Ref11959376"/>
      <w:bookmarkStart w:id="1114" w:name="_Toc103175676"/>
      <w:r>
        <w:rPr>
          <w:rFonts w:hint="eastAsia" w:ascii="宋体" w:hAnsi="宋体" w:eastAsia="宋体" w:cs="宋体"/>
          <w:b w:val="0"/>
          <w:bCs/>
          <w:color w:val="auto"/>
          <w:sz w:val="21"/>
          <w:szCs w:val="21"/>
          <w:highlight w:val="none"/>
        </w:rPr>
        <w:t>2.7 其他义务</w:t>
      </w:r>
      <w:bookmarkEnd w:id="1104"/>
      <w:bookmarkEnd w:id="1105"/>
      <w:bookmarkEnd w:id="1106"/>
      <w:bookmarkEnd w:id="1107"/>
      <w:bookmarkEnd w:id="1108"/>
      <w:bookmarkEnd w:id="1109"/>
      <w:bookmarkEnd w:id="1110"/>
      <w:bookmarkEnd w:id="1111"/>
      <w:bookmarkEnd w:id="1112"/>
      <w:bookmarkEnd w:id="1113"/>
      <w:bookmarkEnd w:id="1114"/>
    </w:p>
    <w:p w14:paraId="7B1EC90B">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发包人应履行合同约定的其他义务，双方可在专用合同条件内对发包人应履行的其他义务进行补充约定。</w:t>
      </w:r>
    </w:p>
    <w:bookmarkEnd w:id="1102"/>
    <w:bookmarkEnd w:id="1103"/>
    <w:p w14:paraId="19523134">
      <w:pPr>
        <w:pStyle w:val="86"/>
        <w:numPr>
          <w:ilvl w:val="0"/>
          <w:numId w:val="0"/>
        </w:numPr>
        <w:rPr>
          <w:rFonts w:hint="eastAsia" w:ascii="宋体" w:hAnsi="宋体" w:eastAsia="宋体" w:cs="宋体"/>
          <w:b w:val="0"/>
          <w:color w:val="auto"/>
          <w:sz w:val="21"/>
          <w:szCs w:val="21"/>
          <w:highlight w:val="none"/>
        </w:rPr>
      </w:pPr>
      <w:bookmarkStart w:id="1115" w:name="_Toc12933"/>
      <w:bookmarkStart w:id="1116" w:name="_Toc31118"/>
      <w:bookmarkStart w:id="1117" w:name="_Toc10950"/>
      <w:bookmarkStart w:id="1118" w:name="_Ref531952791"/>
      <w:bookmarkStart w:id="1119" w:name="_Toc14594"/>
      <w:bookmarkStart w:id="1120" w:name="_Toc18500"/>
      <w:bookmarkStart w:id="1121" w:name="_Toc4108"/>
      <w:bookmarkStart w:id="1122" w:name="_Toc23387"/>
      <w:bookmarkStart w:id="1123" w:name="_Toc103175677"/>
      <w:bookmarkStart w:id="1124" w:name="_Toc4564"/>
      <w:bookmarkStart w:id="1125" w:name="_Toc32726"/>
      <w:bookmarkStart w:id="1126" w:name="_Toc20956"/>
      <w:r>
        <w:rPr>
          <w:rFonts w:hint="eastAsia" w:ascii="宋体" w:hAnsi="宋体" w:eastAsia="宋体" w:cs="宋体"/>
          <w:b w:val="0"/>
          <w:color w:val="auto"/>
          <w:sz w:val="21"/>
          <w:szCs w:val="21"/>
          <w:highlight w:val="none"/>
        </w:rPr>
        <w:t>第3条 发包人的管理</w:t>
      </w:r>
      <w:bookmarkEnd w:id="1115"/>
      <w:bookmarkEnd w:id="1116"/>
      <w:bookmarkEnd w:id="1117"/>
      <w:bookmarkEnd w:id="1118"/>
      <w:bookmarkEnd w:id="1119"/>
      <w:bookmarkEnd w:id="1120"/>
      <w:bookmarkEnd w:id="1121"/>
      <w:bookmarkEnd w:id="1122"/>
      <w:bookmarkEnd w:id="1123"/>
      <w:bookmarkEnd w:id="1124"/>
      <w:bookmarkEnd w:id="1125"/>
      <w:bookmarkEnd w:id="1126"/>
    </w:p>
    <w:p w14:paraId="3368CB3C">
      <w:pPr>
        <w:pStyle w:val="87"/>
        <w:widowControl/>
        <w:numPr>
          <w:ilvl w:val="0"/>
          <w:numId w:val="0"/>
        </w:numPr>
        <w:spacing w:after="156"/>
        <w:rPr>
          <w:rFonts w:hint="eastAsia" w:ascii="宋体" w:hAnsi="宋体" w:eastAsia="宋体" w:cs="宋体"/>
          <w:b w:val="0"/>
          <w:bCs/>
          <w:color w:val="auto"/>
          <w:sz w:val="21"/>
          <w:szCs w:val="21"/>
          <w:highlight w:val="none"/>
        </w:rPr>
      </w:pPr>
      <w:bookmarkStart w:id="1127" w:name="_Ref522810097"/>
      <w:bookmarkStart w:id="1128" w:name="_Ref522810094"/>
      <w:bookmarkStart w:id="1129" w:name="_Toc103175678"/>
      <w:bookmarkStart w:id="1130" w:name="_Toc5671"/>
      <w:bookmarkStart w:id="1131" w:name="_Ref531951538"/>
      <w:bookmarkStart w:id="1132" w:name="_Toc11299"/>
      <w:bookmarkStart w:id="1133" w:name="_Toc2822"/>
      <w:bookmarkStart w:id="1134" w:name="_Toc10417"/>
      <w:bookmarkStart w:id="1135" w:name="_Toc28530"/>
      <w:bookmarkStart w:id="1136" w:name="_Toc13749"/>
      <w:bookmarkStart w:id="1137" w:name="_Toc20676"/>
      <w:bookmarkStart w:id="1138" w:name="_Ref531951533"/>
      <w:bookmarkStart w:id="1139" w:name="_Toc687"/>
      <w:r>
        <w:rPr>
          <w:rFonts w:hint="eastAsia" w:ascii="宋体" w:hAnsi="宋体" w:eastAsia="宋体" w:cs="宋体"/>
          <w:b w:val="0"/>
          <w:bCs/>
          <w:color w:val="auto"/>
          <w:sz w:val="21"/>
          <w:szCs w:val="21"/>
          <w:highlight w:val="none"/>
        </w:rPr>
        <w:t>3.1 发包人</w:t>
      </w:r>
      <w:bookmarkEnd w:id="1127"/>
      <w:bookmarkEnd w:id="1128"/>
      <w:r>
        <w:rPr>
          <w:rFonts w:hint="eastAsia" w:ascii="宋体" w:hAnsi="宋体" w:eastAsia="宋体" w:cs="宋体"/>
          <w:b w:val="0"/>
          <w:bCs/>
          <w:color w:val="auto"/>
          <w:sz w:val="21"/>
          <w:szCs w:val="21"/>
          <w:highlight w:val="none"/>
        </w:rPr>
        <w:t>代表</w:t>
      </w:r>
      <w:bookmarkEnd w:id="1129"/>
      <w:bookmarkEnd w:id="1130"/>
      <w:bookmarkEnd w:id="1131"/>
      <w:bookmarkEnd w:id="1132"/>
      <w:bookmarkEnd w:id="1133"/>
      <w:bookmarkEnd w:id="1134"/>
      <w:bookmarkEnd w:id="1135"/>
      <w:bookmarkEnd w:id="1136"/>
      <w:bookmarkEnd w:id="1137"/>
      <w:bookmarkEnd w:id="1138"/>
      <w:bookmarkEnd w:id="1139"/>
    </w:p>
    <w:p w14:paraId="0FF07D03">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13F45BF5">
      <w:pPr>
        <w:ind w:firstLine="600"/>
        <w:rPr>
          <w:rFonts w:hint="eastAsia" w:ascii="宋体" w:hAnsi="宋体" w:cs="宋体"/>
          <w:color w:val="auto"/>
          <w:szCs w:val="21"/>
          <w:highlight w:val="none"/>
        </w:rPr>
      </w:pPr>
      <w:r>
        <w:rPr>
          <w:rFonts w:hint="eastAsia" w:ascii="宋体" w:hAnsi="宋体" w:cs="宋体"/>
          <w:color w:val="auto"/>
          <w:szCs w:val="21"/>
          <w:highlight w:val="none"/>
        </w:rPr>
        <w:t>除非发包人另行通知承包人，发包人代表应被授予并且被认为具有发包人在授权范围内享有的相应权利，涉及第16.1款[由发包人解除合同]的权利除外。</w:t>
      </w:r>
    </w:p>
    <w:p w14:paraId="6859C8FB">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发包人代表（或者在其为法人的情况下，被任命代表其行事的自然人）应：</w:t>
      </w:r>
    </w:p>
    <w:p w14:paraId="45A48C5B">
      <w:pPr>
        <w:ind w:firstLine="600"/>
        <w:rPr>
          <w:rFonts w:hint="eastAsia" w:ascii="宋体" w:hAnsi="宋体" w:cs="宋体"/>
          <w:color w:val="auto"/>
          <w:szCs w:val="21"/>
          <w:highlight w:val="none"/>
        </w:rPr>
      </w:pPr>
      <w:r>
        <w:rPr>
          <w:rFonts w:hint="eastAsia" w:ascii="宋体" w:hAnsi="宋体" w:cs="宋体"/>
          <w:color w:val="auto"/>
          <w:szCs w:val="21"/>
          <w:highlight w:val="none"/>
        </w:rPr>
        <w:t>（1） 履行指派给其的职责，行使发包人托付给的权利；</w:t>
      </w:r>
    </w:p>
    <w:p w14:paraId="49604067">
      <w:pPr>
        <w:ind w:firstLine="600"/>
        <w:rPr>
          <w:rFonts w:hint="eastAsia" w:ascii="宋体" w:hAnsi="宋体" w:cs="宋体"/>
          <w:color w:val="auto"/>
          <w:szCs w:val="21"/>
          <w:highlight w:val="none"/>
        </w:rPr>
      </w:pPr>
      <w:r>
        <w:rPr>
          <w:rFonts w:hint="eastAsia" w:ascii="宋体" w:hAnsi="宋体" w:cs="宋体"/>
          <w:color w:val="auto"/>
          <w:szCs w:val="21"/>
          <w:highlight w:val="none"/>
        </w:rPr>
        <w:t>（2） 具备履行这些职责、行使这些权利的能力；</w:t>
      </w:r>
    </w:p>
    <w:p w14:paraId="2E4E8E96">
      <w:pPr>
        <w:ind w:firstLine="600"/>
        <w:rPr>
          <w:rFonts w:hint="eastAsia" w:ascii="宋体" w:hAnsi="宋体" w:cs="宋体"/>
          <w:color w:val="auto"/>
          <w:szCs w:val="21"/>
          <w:highlight w:val="none"/>
        </w:rPr>
      </w:pPr>
      <w:r>
        <w:rPr>
          <w:rFonts w:hint="eastAsia" w:ascii="宋体" w:hAnsi="宋体" w:cs="宋体"/>
          <w:color w:val="auto"/>
          <w:szCs w:val="21"/>
          <w:highlight w:val="none"/>
        </w:rPr>
        <w:t>（3） 作为熟练的专业人员行事。</w:t>
      </w:r>
    </w:p>
    <w:p w14:paraId="1A57838E">
      <w:pPr>
        <w:ind w:firstLine="600"/>
        <w:rPr>
          <w:rFonts w:hint="eastAsia" w:ascii="宋体" w:hAnsi="宋体" w:cs="宋体"/>
          <w:color w:val="auto"/>
          <w:szCs w:val="21"/>
          <w:highlight w:val="none"/>
        </w:rPr>
      </w:pPr>
      <w:r>
        <w:rPr>
          <w:rFonts w:hint="eastAsia" w:ascii="宋体" w:hAnsi="宋体" w:cs="宋体"/>
          <w:color w:val="auto"/>
          <w:szCs w:val="21"/>
          <w:highlight w:val="none"/>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14:paraId="04B7D0C0">
      <w:pPr>
        <w:ind w:firstLine="600"/>
        <w:rPr>
          <w:rFonts w:hint="eastAsia" w:ascii="宋体" w:hAnsi="宋体" w:cs="宋体"/>
          <w:color w:val="auto"/>
          <w:szCs w:val="21"/>
          <w:highlight w:val="none"/>
        </w:rPr>
      </w:pPr>
      <w:r>
        <w:rPr>
          <w:rFonts w:hint="eastAsia" w:ascii="宋体" w:hAnsi="宋体" w:cs="宋体"/>
          <w:color w:val="auto"/>
          <w:szCs w:val="21"/>
          <w:highlight w:val="none"/>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075FA556">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发包人代表不能按照合同约定履行其职责及义务，并导致合同无法继续正常履行的，承包人可以要求发包人撤换发包人代表。</w:t>
      </w:r>
    </w:p>
    <w:p w14:paraId="63A53473">
      <w:pPr>
        <w:pStyle w:val="87"/>
        <w:widowControl/>
        <w:numPr>
          <w:ilvl w:val="0"/>
          <w:numId w:val="0"/>
        </w:numPr>
        <w:spacing w:after="156"/>
        <w:rPr>
          <w:rFonts w:hint="eastAsia" w:ascii="宋体" w:hAnsi="宋体" w:eastAsia="宋体" w:cs="宋体"/>
          <w:b w:val="0"/>
          <w:bCs/>
          <w:color w:val="auto"/>
          <w:sz w:val="21"/>
          <w:szCs w:val="21"/>
          <w:highlight w:val="none"/>
        </w:rPr>
      </w:pPr>
      <w:bookmarkStart w:id="1140" w:name="_Toc13743"/>
      <w:bookmarkStart w:id="1141" w:name="_Toc30167"/>
      <w:bookmarkStart w:id="1142" w:name="_Toc23997"/>
      <w:bookmarkStart w:id="1143" w:name="_Toc7256"/>
      <w:bookmarkStart w:id="1144" w:name="_Toc11936"/>
      <w:bookmarkStart w:id="1145" w:name="_Toc3135"/>
      <w:bookmarkStart w:id="1146" w:name="_Ref531951557"/>
      <w:bookmarkStart w:id="1147" w:name="_Ref531951553"/>
      <w:bookmarkStart w:id="1148" w:name="_Toc103175679"/>
      <w:bookmarkStart w:id="1149" w:name="_Toc8041"/>
      <w:bookmarkStart w:id="1150" w:name="_Toc25946"/>
      <w:r>
        <w:rPr>
          <w:rFonts w:hint="eastAsia" w:ascii="宋体" w:hAnsi="宋体" w:eastAsia="宋体" w:cs="宋体"/>
          <w:b w:val="0"/>
          <w:bCs/>
          <w:color w:val="auto"/>
          <w:sz w:val="21"/>
          <w:szCs w:val="21"/>
          <w:highlight w:val="none"/>
        </w:rPr>
        <w:t>3.2 发包人人员</w:t>
      </w:r>
      <w:bookmarkEnd w:id="1140"/>
      <w:bookmarkEnd w:id="1141"/>
      <w:bookmarkEnd w:id="1142"/>
      <w:bookmarkEnd w:id="1143"/>
      <w:bookmarkEnd w:id="1144"/>
      <w:bookmarkEnd w:id="1145"/>
      <w:bookmarkEnd w:id="1146"/>
      <w:bookmarkEnd w:id="1147"/>
      <w:bookmarkEnd w:id="1148"/>
      <w:bookmarkEnd w:id="1149"/>
      <w:bookmarkEnd w:id="1150"/>
    </w:p>
    <w:p w14:paraId="6E8112D7">
      <w:pPr>
        <w:ind w:firstLine="600"/>
        <w:rPr>
          <w:rFonts w:hint="eastAsia" w:ascii="宋体" w:hAnsi="宋体" w:cs="宋体"/>
          <w:color w:val="auto"/>
          <w:szCs w:val="21"/>
          <w:highlight w:val="none"/>
        </w:rPr>
      </w:pPr>
      <w:r>
        <w:rPr>
          <w:rFonts w:hint="eastAsia" w:ascii="宋体" w:hAnsi="宋体" w:cs="宋体"/>
          <w:color w:val="auto"/>
          <w:szCs w:val="21"/>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1985F0B2">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发包人应要求在施工现场的发包人人员遵守法律及有关安全、质量、环境保护、文明施工等规定，因发包人人员未遵守上述要求给承包人造成的损失和责任由发包人承担。</w:t>
      </w:r>
    </w:p>
    <w:p w14:paraId="76329822">
      <w:pPr>
        <w:pStyle w:val="87"/>
        <w:widowControl/>
        <w:numPr>
          <w:ilvl w:val="0"/>
          <w:numId w:val="0"/>
        </w:numPr>
        <w:spacing w:after="156"/>
        <w:rPr>
          <w:rFonts w:hint="eastAsia" w:ascii="宋体" w:hAnsi="宋体" w:eastAsia="宋体" w:cs="宋体"/>
          <w:b w:val="0"/>
          <w:bCs/>
          <w:color w:val="auto"/>
          <w:sz w:val="21"/>
          <w:szCs w:val="21"/>
          <w:highlight w:val="none"/>
        </w:rPr>
      </w:pPr>
      <w:bookmarkStart w:id="1151" w:name="_Toc28690"/>
      <w:bookmarkStart w:id="1152" w:name="_Toc26460"/>
      <w:bookmarkStart w:id="1153" w:name="_Toc32266"/>
      <w:bookmarkStart w:id="1154" w:name="_Toc6673"/>
      <w:bookmarkStart w:id="1155" w:name="_Toc103175680"/>
      <w:bookmarkStart w:id="1156" w:name="_Toc26803"/>
      <w:bookmarkStart w:id="1157" w:name="_Toc5054"/>
      <w:bookmarkStart w:id="1158" w:name="_Toc32703"/>
      <w:bookmarkStart w:id="1159" w:name="_Toc7706"/>
      <w:r>
        <w:rPr>
          <w:rFonts w:hint="eastAsia" w:ascii="宋体" w:hAnsi="宋体" w:eastAsia="宋体" w:cs="宋体"/>
          <w:b w:val="0"/>
          <w:bCs/>
          <w:color w:val="auto"/>
          <w:sz w:val="21"/>
          <w:szCs w:val="21"/>
          <w:highlight w:val="none"/>
        </w:rPr>
        <w:t>3.3 工程师</w:t>
      </w:r>
      <w:bookmarkEnd w:id="1151"/>
      <w:bookmarkEnd w:id="1152"/>
      <w:bookmarkEnd w:id="1153"/>
      <w:bookmarkEnd w:id="1154"/>
      <w:bookmarkEnd w:id="1155"/>
      <w:bookmarkEnd w:id="1156"/>
      <w:bookmarkEnd w:id="1157"/>
      <w:bookmarkEnd w:id="1158"/>
      <w:bookmarkEnd w:id="1159"/>
      <w:r>
        <w:rPr>
          <w:rFonts w:hint="eastAsia" w:ascii="宋体" w:hAnsi="宋体" w:eastAsia="宋体" w:cs="宋体"/>
          <w:b w:val="0"/>
          <w:bCs/>
          <w:color w:val="auto"/>
          <w:sz w:val="21"/>
          <w:szCs w:val="21"/>
          <w:highlight w:val="none"/>
        </w:rPr>
        <w:t xml:space="preserve"> </w:t>
      </w:r>
    </w:p>
    <w:p w14:paraId="170D8087">
      <w:pPr>
        <w:pStyle w:val="88"/>
        <w:numPr>
          <w:ilvl w:val="0"/>
          <w:numId w:val="0"/>
        </w:numPr>
        <w:spacing w:after="156"/>
        <w:rPr>
          <w:rFonts w:hint="eastAsia" w:cs="宋体"/>
          <w:color w:val="auto"/>
          <w:sz w:val="21"/>
          <w:highlight w:val="none"/>
        </w:rPr>
      </w:pPr>
      <w:r>
        <w:rPr>
          <w:rFonts w:hint="eastAsia" w:cs="宋体"/>
          <w:color w:val="auto"/>
          <w:sz w:val="21"/>
          <w:highlight w:val="none"/>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14:paraId="668ECDD4">
      <w:pPr>
        <w:pStyle w:val="88"/>
        <w:numPr>
          <w:ilvl w:val="0"/>
          <w:numId w:val="0"/>
        </w:numPr>
        <w:spacing w:after="156"/>
        <w:rPr>
          <w:rFonts w:hint="eastAsia" w:cs="宋体"/>
          <w:color w:val="auto"/>
          <w:sz w:val="21"/>
          <w:highlight w:val="none"/>
        </w:rPr>
      </w:pPr>
      <w:r>
        <w:rPr>
          <w:rFonts w:hint="eastAsia" w:cs="宋体"/>
          <w:color w:val="auto"/>
          <w:sz w:val="21"/>
          <w:highlight w:val="none"/>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4488F861">
      <w:pPr>
        <w:pStyle w:val="88"/>
        <w:numPr>
          <w:ilvl w:val="0"/>
          <w:numId w:val="0"/>
        </w:numPr>
        <w:spacing w:after="156"/>
        <w:rPr>
          <w:rFonts w:hint="eastAsia" w:cs="宋体"/>
          <w:color w:val="auto"/>
          <w:sz w:val="21"/>
          <w:highlight w:val="none"/>
        </w:rPr>
      </w:pPr>
      <w:r>
        <w:rPr>
          <w:rFonts w:hint="eastAsia" w:cs="宋体"/>
          <w:color w:val="auto"/>
          <w:sz w:val="21"/>
          <w:highlight w:val="none"/>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5FCCEFD2">
      <w:pPr>
        <w:pStyle w:val="88"/>
        <w:numPr>
          <w:ilvl w:val="0"/>
          <w:numId w:val="0"/>
        </w:numPr>
        <w:spacing w:after="156"/>
        <w:rPr>
          <w:rFonts w:hint="eastAsia" w:cs="宋体"/>
          <w:color w:val="auto"/>
          <w:sz w:val="21"/>
          <w:highlight w:val="none"/>
        </w:rPr>
      </w:pPr>
      <w:r>
        <w:rPr>
          <w:rFonts w:hint="eastAsia" w:cs="宋体"/>
          <w:color w:val="auto"/>
          <w:sz w:val="21"/>
          <w:highlight w:val="none"/>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53185C57">
      <w:pPr>
        <w:pStyle w:val="87"/>
        <w:widowControl/>
        <w:numPr>
          <w:ilvl w:val="0"/>
          <w:numId w:val="0"/>
        </w:numPr>
        <w:spacing w:after="156"/>
        <w:rPr>
          <w:rFonts w:hint="eastAsia" w:ascii="宋体" w:hAnsi="宋体" w:eastAsia="宋体" w:cs="宋体"/>
          <w:b w:val="0"/>
          <w:bCs/>
          <w:color w:val="auto"/>
          <w:sz w:val="21"/>
          <w:szCs w:val="21"/>
          <w:highlight w:val="none"/>
        </w:rPr>
      </w:pPr>
      <w:bookmarkStart w:id="1160" w:name="_Toc10413"/>
      <w:bookmarkStart w:id="1161" w:name="_Toc7482"/>
      <w:bookmarkStart w:id="1162" w:name="_Toc28449"/>
      <w:bookmarkStart w:id="1163" w:name="_Toc1549"/>
      <w:bookmarkStart w:id="1164" w:name="_Toc110"/>
      <w:bookmarkStart w:id="1165" w:name="_Toc10751"/>
      <w:bookmarkStart w:id="1166" w:name="_Toc103175681"/>
      <w:bookmarkStart w:id="1167" w:name="_Toc2006"/>
      <w:bookmarkStart w:id="1168" w:name="_Ref531951597"/>
      <w:bookmarkStart w:id="1169" w:name="_Ref531951594"/>
      <w:r>
        <w:rPr>
          <w:rFonts w:hint="eastAsia" w:ascii="宋体" w:hAnsi="宋体" w:eastAsia="宋体" w:cs="宋体"/>
          <w:b w:val="0"/>
          <w:bCs/>
          <w:color w:val="auto"/>
          <w:sz w:val="21"/>
          <w:szCs w:val="21"/>
          <w:highlight w:val="none"/>
        </w:rPr>
        <w:t>3.4 任命和授权</w:t>
      </w:r>
      <w:bookmarkEnd w:id="1160"/>
      <w:bookmarkEnd w:id="1161"/>
      <w:bookmarkEnd w:id="1162"/>
      <w:bookmarkEnd w:id="1163"/>
      <w:bookmarkEnd w:id="1164"/>
      <w:bookmarkEnd w:id="1165"/>
      <w:bookmarkEnd w:id="1166"/>
      <w:bookmarkEnd w:id="1167"/>
    </w:p>
    <w:p w14:paraId="10CBF469">
      <w:pPr>
        <w:pStyle w:val="88"/>
        <w:numPr>
          <w:ilvl w:val="0"/>
          <w:numId w:val="0"/>
        </w:numPr>
        <w:spacing w:after="156"/>
        <w:rPr>
          <w:rFonts w:hint="eastAsia" w:cs="宋体"/>
          <w:color w:val="auto"/>
          <w:sz w:val="21"/>
          <w:highlight w:val="none"/>
        </w:rPr>
      </w:pPr>
      <w:r>
        <w:rPr>
          <w:rFonts w:hint="eastAsia" w:cs="宋体"/>
          <w:color w:val="auto"/>
          <w:sz w:val="21"/>
          <w:highlight w:val="none"/>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14:paraId="5A0573A2">
      <w:pPr>
        <w:pStyle w:val="88"/>
        <w:numPr>
          <w:ilvl w:val="0"/>
          <w:numId w:val="0"/>
        </w:numPr>
        <w:spacing w:after="156"/>
        <w:rPr>
          <w:rFonts w:hint="eastAsia" w:cs="宋体"/>
          <w:color w:val="auto"/>
          <w:sz w:val="21"/>
          <w:highlight w:val="none"/>
        </w:rPr>
      </w:pPr>
      <w:r>
        <w:rPr>
          <w:rFonts w:hint="eastAsia" w:cs="宋体"/>
          <w:color w:val="auto"/>
          <w:sz w:val="21"/>
          <w:highlight w:val="none"/>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6B92D387">
      <w:pPr>
        <w:pStyle w:val="87"/>
        <w:widowControl/>
        <w:numPr>
          <w:ilvl w:val="0"/>
          <w:numId w:val="0"/>
        </w:numPr>
        <w:spacing w:after="156"/>
        <w:rPr>
          <w:rFonts w:hint="eastAsia" w:ascii="宋体" w:hAnsi="宋体" w:eastAsia="宋体" w:cs="宋体"/>
          <w:b w:val="0"/>
          <w:bCs/>
          <w:color w:val="auto"/>
          <w:sz w:val="21"/>
          <w:szCs w:val="21"/>
          <w:highlight w:val="none"/>
        </w:rPr>
      </w:pPr>
      <w:bookmarkStart w:id="1170" w:name="_Toc103175682"/>
      <w:bookmarkStart w:id="1171" w:name="_Toc25330"/>
      <w:bookmarkStart w:id="1172" w:name="_Toc23548"/>
      <w:bookmarkStart w:id="1173" w:name="_Toc31618"/>
      <w:bookmarkStart w:id="1174" w:name="_Toc13407"/>
      <w:bookmarkStart w:id="1175" w:name="_Toc17444"/>
      <w:bookmarkStart w:id="1176" w:name="_Toc24579"/>
      <w:bookmarkStart w:id="1177" w:name="_Toc28183"/>
      <w:bookmarkStart w:id="1178" w:name="_Ref20165400"/>
      <w:bookmarkStart w:id="1179" w:name="_Toc11409"/>
      <w:r>
        <w:rPr>
          <w:rFonts w:hint="eastAsia" w:ascii="宋体" w:hAnsi="宋体" w:eastAsia="宋体" w:cs="宋体"/>
          <w:b w:val="0"/>
          <w:bCs/>
          <w:color w:val="auto"/>
          <w:sz w:val="21"/>
          <w:szCs w:val="21"/>
          <w:highlight w:val="none"/>
        </w:rPr>
        <w:t>3.5 指示</w:t>
      </w:r>
      <w:bookmarkEnd w:id="1168"/>
      <w:bookmarkEnd w:id="1169"/>
      <w:bookmarkEnd w:id="1170"/>
      <w:bookmarkEnd w:id="1171"/>
      <w:bookmarkEnd w:id="1172"/>
      <w:bookmarkEnd w:id="1173"/>
      <w:bookmarkEnd w:id="1174"/>
      <w:bookmarkEnd w:id="1175"/>
      <w:bookmarkEnd w:id="1176"/>
      <w:bookmarkEnd w:id="1177"/>
      <w:bookmarkEnd w:id="1178"/>
      <w:bookmarkEnd w:id="1179"/>
    </w:p>
    <w:p w14:paraId="7AE13B41">
      <w:pPr>
        <w:pStyle w:val="88"/>
        <w:numPr>
          <w:ilvl w:val="0"/>
          <w:numId w:val="0"/>
        </w:numPr>
        <w:spacing w:after="156"/>
        <w:rPr>
          <w:rFonts w:hint="eastAsia" w:cs="宋体"/>
          <w:color w:val="auto"/>
          <w:sz w:val="21"/>
          <w:highlight w:val="none"/>
        </w:rPr>
      </w:pPr>
      <w:r>
        <w:rPr>
          <w:rFonts w:hint="eastAsia" w:cs="宋体"/>
          <w:color w:val="auto"/>
          <w:sz w:val="21"/>
          <w:highlight w:val="none"/>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317ACF5F">
      <w:pPr>
        <w:pStyle w:val="88"/>
        <w:numPr>
          <w:ilvl w:val="0"/>
          <w:numId w:val="0"/>
        </w:numPr>
        <w:spacing w:after="156"/>
        <w:rPr>
          <w:rFonts w:hint="eastAsia" w:cs="宋体"/>
          <w:color w:val="auto"/>
          <w:sz w:val="21"/>
          <w:highlight w:val="none"/>
        </w:rPr>
      </w:pPr>
      <w:r>
        <w:rPr>
          <w:rFonts w:hint="eastAsia" w:cs="宋体"/>
          <w:color w:val="auto"/>
          <w:sz w:val="21"/>
          <w:highlight w:val="none"/>
        </w:rPr>
        <w:t>3.5.2 承包人收到工程师作出的指示后应遵照执行。如果任何此类指示构成一项变更时，应按照第13条[变更与调整]的约定办理。</w:t>
      </w:r>
    </w:p>
    <w:p w14:paraId="20892477">
      <w:pPr>
        <w:pStyle w:val="88"/>
        <w:numPr>
          <w:ilvl w:val="0"/>
          <w:numId w:val="0"/>
        </w:numPr>
        <w:spacing w:after="156"/>
        <w:rPr>
          <w:rFonts w:hint="eastAsia" w:cs="宋体"/>
          <w:color w:val="auto"/>
          <w:sz w:val="21"/>
          <w:highlight w:val="none"/>
        </w:rPr>
      </w:pPr>
      <w:r>
        <w:rPr>
          <w:rFonts w:hint="eastAsia" w:cs="宋体"/>
          <w:color w:val="auto"/>
          <w:sz w:val="21"/>
          <w:highlight w:val="none"/>
        </w:rPr>
        <w:t>3.5.3 由于工程师未能按合同约定发出指示、指示延误或指示错误而导致承包人费用增加和（或）工期延误的，发包人应承担由此增加的费用和（或）工期延误，并向承包人支付合理利润。</w:t>
      </w:r>
    </w:p>
    <w:p w14:paraId="5605554D">
      <w:pPr>
        <w:pStyle w:val="87"/>
        <w:widowControl/>
        <w:numPr>
          <w:ilvl w:val="0"/>
          <w:numId w:val="0"/>
        </w:numPr>
        <w:spacing w:after="156"/>
        <w:rPr>
          <w:rFonts w:hint="eastAsia" w:ascii="宋体" w:hAnsi="宋体" w:eastAsia="宋体" w:cs="宋体"/>
          <w:b w:val="0"/>
          <w:bCs/>
          <w:color w:val="auto"/>
          <w:sz w:val="21"/>
          <w:szCs w:val="21"/>
          <w:highlight w:val="none"/>
        </w:rPr>
      </w:pPr>
      <w:bookmarkStart w:id="1180" w:name="_Toc15439"/>
      <w:bookmarkStart w:id="1181" w:name="_Toc26812"/>
      <w:bookmarkStart w:id="1182" w:name="_Toc7610"/>
      <w:bookmarkStart w:id="1183" w:name="_Toc3080"/>
      <w:bookmarkStart w:id="1184" w:name="_Toc24806"/>
      <w:bookmarkStart w:id="1185" w:name="_Toc103175683"/>
      <w:bookmarkStart w:id="1186" w:name="_Toc8329"/>
      <w:bookmarkStart w:id="1187" w:name="_Toc30197"/>
      <w:bookmarkStart w:id="1188" w:name="_Ref531951611"/>
      <w:bookmarkStart w:id="1189" w:name="_Toc22072"/>
      <w:bookmarkStart w:id="1190" w:name="_Ref531951609"/>
      <w:r>
        <w:rPr>
          <w:rFonts w:hint="eastAsia" w:ascii="宋体" w:hAnsi="宋体" w:eastAsia="宋体" w:cs="宋体"/>
          <w:b w:val="0"/>
          <w:bCs/>
          <w:color w:val="auto"/>
          <w:sz w:val="21"/>
          <w:szCs w:val="21"/>
          <w:highlight w:val="none"/>
        </w:rPr>
        <w:t>3.6 商定或确定</w:t>
      </w:r>
      <w:bookmarkEnd w:id="1180"/>
      <w:bookmarkEnd w:id="1181"/>
      <w:bookmarkEnd w:id="1182"/>
      <w:bookmarkEnd w:id="1183"/>
      <w:bookmarkEnd w:id="1184"/>
      <w:bookmarkEnd w:id="1185"/>
      <w:bookmarkEnd w:id="1186"/>
      <w:bookmarkEnd w:id="1187"/>
      <w:bookmarkEnd w:id="1188"/>
      <w:bookmarkEnd w:id="1189"/>
      <w:bookmarkEnd w:id="1190"/>
    </w:p>
    <w:p w14:paraId="08138C7B">
      <w:pPr>
        <w:pStyle w:val="88"/>
        <w:numPr>
          <w:ilvl w:val="0"/>
          <w:numId w:val="0"/>
        </w:numPr>
        <w:spacing w:after="156"/>
        <w:rPr>
          <w:rFonts w:hint="eastAsia" w:cs="宋体"/>
          <w:color w:val="auto"/>
          <w:sz w:val="21"/>
          <w:highlight w:val="none"/>
        </w:rPr>
      </w:pPr>
      <w:r>
        <w:rPr>
          <w:rFonts w:hint="eastAsia" w:cs="宋体"/>
          <w:color w:val="auto"/>
          <w:sz w:val="21"/>
          <w:highlight w:val="none"/>
        </w:rPr>
        <w:t>3.6.1 合同约定工程师应按照本款对任何事项进行商定或确定时，工程师应及时与合同当事人协商，尽量达成一致。工程师应将商定的结果以书面形式通知发包人和承包人，并由双方签署确认。</w:t>
      </w:r>
    </w:p>
    <w:p w14:paraId="1C53A70D">
      <w:pPr>
        <w:pStyle w:val="88"/>
        <w:numPr>
          <w:ilvl w:val="0"/>
          <w:numId w:val="0"/>
        </w:numPr>
        <w:spacing w:after="156"/>
        <w:rPr>
          <w:rFonts w:hint="eastAsia" w:cs="宋体"/>
          <w:color w:val="auto"/>
          <w:sz w:val="21"/>
          <w:highlight w:val="none"/>
        </w:rPr>
      </w:pPr>
      <w:r>
        <w:rPr>
          <w:rFonts w:hint="eastAsia" w:cs="宋体"/>
          <w:color w:val="auto"/>
          <w:sz w:val="21"/>
          <w:highlight w:val="none"/>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14:paraId="0EBFD12F">
      <w:pPr>
        <w:pStyle w:val="88"/>
        <w:numPr>
          <w:ilvl w:val="0"/>
          <w:numId w:val="0"/>
        </w:numPr>
        <w:spacing w:after="156"/>
        <w:rPr>
          <w:rFonts w:hint="eastAsia" w:cs="宋体"/>
          <w:color w:val="auto"/>
          <w:sz w:val="21"/>
          <w:highlight w:val="none"/>
        </w:rPr>
      </w:pPr>
      <w:bookmarkStart w:id="1191" w:name="_Ref532287856"/>
      <w:r>
        <w:rPr>
          <w:rFonts w:hint="eastAsia" w:cs="宋体"/>
          <w:color w:val="auto"/>
          <w:sz w:val="21"/>
          <w:highlight w:val="none"/>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1191"/>
    </w:p>
    <w:p w14:paraId="05DF9299">
      <w:pPr>
        <w:pStyle w:val="88"/>
        <w:numPr>
          <w:ilvl w:val="0"/>
          <w:numId w:val="0"/>
        </w:numPr>
        <w:spacing w:after="156"/>
        <w:rPr>
          <w:rFonts w:hint="eastAsia" w:cs="宋体"/>
          <w:color w:val="auto"/>
          <w:sz w:val="21"/>
          <w:highlight w:val="none"/>
        </w:rPr>
      </w:pPr>
      <w:r>
        <w:rPr>
          <w:rFonts w:hint="eastAsia" w:cs="宋体"/>
          <w:color w:val="auto"/>
          <w:sz w:val="21"/>
          <w:highlight w:val="none"/>
        </w:rPr>
        <w:t>3.6.4 在该争议解决前，双方应暂按工程师的确定执行。按照第20条[争议解决]的约定对工程师的确定作出修改的，按修改后的结果执行，由此导致承包人增加的费用和延误的工期由责任方承担。</w:t>
      </w:r>
    </w:p>
    <w:p w14:paraId="2820DA20">
      <w:pPr>
        <w:pStyle w:val="87"/>
        <w:widowControl/>
        <w:numPr>
          <w:ilvl w:val="0"/>
          <w:numId w:val="0"/>
        </w:numPr>
        <w:spacing w:after="156"/>
        <w:rPr>
          <w:rFonts w:hint="eastAsia" w:ascii="宋体" w:hAnsi="宋体" w:eastAsia="宋体" w:cs="宋体"/>
          <w:b w:val="0"/>
          <w:bCs/>
          <w:color w:val="auto"/>
          <w:sz w:val="21"/>
          <w:szCs w:val="21"/>
          <w:highlight w:val="none"/>
        </w:rPr>
      </w:pPr>
      <w:bookmarkStart w:id="1192" w:name="_Ref531951747"/>
      <w:bookmarkStart w:id="1193" w:name="_Toc12993"/>
      <w:bookmarkStart w:id="1194" w:name="_Toc21404"/>
      <w:bookmarkStart w:id="1195" w:name="_Toc4013"/>
      <w:bookmarkStart w:id="1196" w:name="_Toc103175684"/>
      <w:bookmarkStart w:id="1197" w:name="_Toc4216"/>
      <w:bookmarkStart w:id="1198" w:name="_Toc14672"/>
      <w:bookmarkStart w:id="1199" w:name="_Toc17950"/>
      <w:bookmarkStart w:id="1200" w:name="_Toc21729"/>
      <w:bookmarkStart w:id="1201" w:name="_Toc5998"/>
      <w:bookmarkStart w:id="1202" w:name="_Ref531951749"/>
      <w:r>
        <w:rPr>
          <w:rFonts w:hint="eastAsia" w:ascii="宋体" w:hAnsi="宋体" w:eastAsia="宋体" w:cs="宋体"/>
          <w:b w:val="0"/>
          <w:bCs/>
          <w:color w:val="auto"/>
          <w:sz w:val="21"/>
          <w:szCs w:val="21"/>
          <w:highlight w:val="none"/>
        </w:rPr>
        <w:t>3.7 会议</w:t>
      </w:r>
      <w:bookmarkEnd w:id="1192"/>
      <w:bookmarkEnd w:id="1193"/>
      <w:bookmarkEnd w:id="1194"/>
      <w:bookmarkEnd w:id="1195"/>
      <w:bookmarkEnd w:id="1196"/>
      <w:bookmarkEnd w:id="1197"/>
      <w:bookmarkEnd w:id="1198"/>
      <w:bookmarkEnd w:id="1199"/>
      <w:bookmarkEnd w:id="1200"/>
      <w:bookmarkEnd w:id="1201"/>
      <w:bookmarkEnd w:id="1202"/>
    </w:p>
    <w:p w14:paraId="75109330">
      <w:pPr>
        <w:pStyle w:val="88"/>
        <w:numPr>
          <w:ilvl w:val="0"/>
          <w:numId w:val="0"/>
        </w:numPr>
        <w:spacing w:after="156"/>
        <w:rPr>
          <w:rFonts w:hint="eastAsia" w:cs="宋体"/>
          <w:color w:val="auto"/>
          <w:sz w:val="21"/>
          <w:highlight w:val="none"/>
        </w:rPr>
      </w:pPr>
      <w:r>
        <w:rPr>
          <w:rFonts w:hint="eastAsia" w:cs="宋体"/>
          <w:color w:val="auto"/>
          <w:sz w:val="21"/>
          <w:highlight w:val="none"/>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5EF3BA55">
      <w:pPr>
        <w:pStyle w:val="88"/>
        <w:numPr>
          <w:ilvl w:val="0"/>
          <w:numId w:val="0"/>
        </w:numPr>
        <w:spacing w:after="156"/>
        <w:rPr>
          <w:rFonts w:hint="eastAsia" w:cs="宋体"/>
          <w:color w:val="auto"/>
          <w:sz w:val="21"/>
          <w:highlight w:val="none"/>
        </w:rPr>
      </w:pPr>
      <w:r>
        <w:rPr>
          <w:rFonts w:hint="eastAsia" w:cs="宋体"/>
          <w:color w:val="auto"/>
          <w:sz w:val="21"/>
          <w:highlight w:val="none"/>
        </w:rPr>
        <w:t>3.7.2 除专用合同条件另有约定外，发包人应保存每次会议参加人签名的记录，并将会议纪要提供给出席会议的人员。任何根据此类会议以及会议纪要采取的行动应符合本合同的约定。</w:t>
      </w:r>
    </w:p>
    <w:p w14:paraId="175197FA">
      <w:pPr>
        <w:pStyle w:val="86"/>
        <w:numPr>
          <w:ilvl w:val="0"/>
          <w:numId w:val="0"/>
        </w:numPr>
        <w:rPr>
          <w:rFonts w:hint="eastAsia" w:ascii="宋体" w:hAnsi="宋体" w:eastAsia="宋体" w:cs="宋体"/>
          <w:b w:val="0"/>
          <w:color w:val="auto"/>
          <w:sz w:val="21"/>
          <w:szCs w:val="21"/>
          <w:highlight w:val="none"/>
        </w:rPr>
      </w:pPr>
      <w:bookmarkStart w:id="1203" w:name="_Toc24469"/>
      <w:bookmarkStart w:id="1204" w:name="_Toc103175685"/>
      <w:bookmarkStart w:id="1205" w:name="_Toc18744"/>
      <w:bookmarkStart w:id="1206" w:name="_Toc4095"/>
      <w:bookmarkStart w:id="1207" w:name="_Toc24133"/>
      <w:bookmarkStart w:id="1208" w:name="_Toc13353"/>
      <w:bookmarkStart w:id="1209" w:name="_Toc9308"/>
      <w:bookmarkStart w:id="1210" w:name="_Toc1602"/>
      <w:bookmarkStart w:id="1211" w:name="_Ref531952805"/>
      <w:bookmarkStart w:id="1212" w:name="_Toc23996"/>
      <w:bookmarkStart w:id="1213" w:name="_Toc3566"/>
      <w:bookmarkStart w:id="1214" w:name="_Toc14954"/>
      <w:r>
        <w:rPr>
          <w:rFonts w:hint="eastAsia" w:ascii="宋体" w:hAnsi="宋体" w:eastAsia="宋体" w:cs="宋体"/>
          <w:b w:val="0"/>
          <w:color w:val="auto"/>
          <w:sz w:val="21"/>
          <w:szCs w:val="21"/>
          <w:highlight w:val="none"/>
        </w:rPr>
        <w:t>第4条 承包人</w:t>
      </w:r>
      <w:bookmarkEnd w:id="1203"/>
      <w:bookmarkEnd w:id="1204"/>
      <w:bookmarkEnd w:id="1205"/>
      <w:bookmarkEnd w:id="1206"/>
      <w:bookmarkEnd w:id="1207"/>
      <w:bookmarkEnd w:id="1208"/>
      <w:bookmarkEnd w:id="1209"/>
      <w:bookmarkEnd w:id="1210"/>
      <w:bookmarkEnd w:id="1211"/>
      <w:bookmarkEnd w:id="1212"/>
      <w:bookmarkEnd w:id="1213"/>
      <w:bookmarkEnd w:id="1214"/>
    </w:p>
    <w:p w14:paraId="2A5896C6">
      <w:pPr>
        <w:pStyle w:val="87"/>
        <w:widowControl/>
        <w:numPr>
          <w:ilvl w:val="0"/>
          <w:numId w:val="0"/>
        </w:numPr>
        <w:spacing w:after="156"/>
        <w:rPr>
          <w:rFonts w:hint="eastAsia" w:ascii="宋体" w:hAnsi="宋体" w:eastAsia="宋体" w:cs="宋体"/>
          <w:b w:val="0"/>
          <w:bCs/>
          <w:color w:val="auto"/>
          <w:sz w:val="21"/>
          <w:szCs w:val="21"/>
          <w:highlight w:val="none"/>
        </w:rPr>
      </w:pPr>
      <w:bookmarkStart w:id="1215" w:name="_Toc11997"/>
      <w:bookmarkStart w:id="1216" w:name="_Toc5319"/>
      <w:bookmarkStart w:id="1217" w:name="_Toc103175686"/>
      <w:bookmarkStart w:id="1218" w:name="_Ref531951958"/>
      <w:bookmarkStart w:id="1219" w:name="_Ref531951941"/>
      <w:bookmarkStart w:id="1220" w:name="_Toc17942"/>
      <w:bookmarkStart w:id="1221" w:name="_Ref531951961"/>
      <w:bookmarkStart w:id="1222" w:name="_Toc13587"/>
      <w:bookmarkStart w:id="1223" w:name="_Toc16961"/>
      <w:bookmarkStart w:id="1224" w:name="_Toc5628"/>
      <w:bookmarkStart w:id="1225" w:name="_Toc23812"/>
      <w:bookmarkStart w:id="1226" w:name="_Ref531951945"/>
      <w:bookmarkStart w:id="1227" w:name="_Ref531951975"/>
      <w:bookmarkStart w:id="1228" w:name="_Toc18786"/>
      <w:r>
        <w:rPr>
          <w:rFonts w:hint="eastAsia" w:ascii="宋体" w:hAnsi="宋体" w:eastAsia="宋体" w:cs="宋体"/>
          <w:b w:val="0"/>
          <w:bCs/>
          <w:color w:val="auto"/>
          <w:sz w:val="21"/>
          <w:szCs w:val="21"/>
          <w:highlight w:val="none"/>
        </w:rPr>
        <w:t>4.1 承包人的一般义务</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r>
        <w:rPr>
          <w:rFonts w:hint="eastAsia" w:ascii="宋体" w:hAnsi="宋体" w:eastAsia="宋体" w:cs="宋体"/>
          <w:b w:val="0"/>
          <w:bCs/>
          <w:color w:val="auto"/>
          <w:sz w:val="21"/>
          <w:szCs w:val="21"/>
          <w:highlight w:val="none"/>
        </w:rPr>
        <w:t xml:space="preserve"> </w:t>
      </w:r>
    </w:p>
    <w:p w14:paraId="0A6B8D77">
      <w:pPr>
        <w:ind w:firstLine="600"/>
        <w:rPr>
          <w:rFonts w:hint="eastAsia" w:ascii="宋体" w:hAnsi="宋体" w:cs="宋体"/>
          <w:color w:val="auto"/>
          <w:szCs w:val="21"/>
          <w:highlight w:val="none"/>
        </w:rPr>
      </w:pPr>
      <w:bookmarkStart w:id="1229" w:name="_Ref509046929"/>
      <w:r>
        <w:rPr>
          <w:rFonts w:hint="eastAsia" w:ascii="宋体" w:hAnsi="宋体" w:cs="宋体"/>
          <w:color w:val="auto"/>
          <w:szCs w:val="21"/>
          <w:highlight w:val="none"/>
        </w:rPr>
        <w:t>除专用合同条件另有约定外，承包人在履行合同过程中应遵守法律和工程建设标准规范，并履行以下义务：</w:t>
      </w:r>
    </w:p>
    <w:p w14:paraId="303E8359">
      <w:pPr>
        <w:ind w:firstLine="600"/>
        <w:rPr>
          <w:rFonts w:hint="eastAsia" w:ascii="宋体" w:hAnsi="宋体" w:cs="宋体"/>
          <w:color w:val="auto"/>
          <w:szCs w:val="21"/>
          <w:highlight w:val="none"/>
        </w:rPr>
      </w:pPr>
      <w:r>
        <w:rPr>
          <w:rFonts w:hint="eastAsia" w:ascii="宋体" w:hAnsi="宋体" w:cs="宋体"/>
          <w:color w:val="auto"/>
          <w:szCs w:val="21"/>
          <w:highlight w:val="none"/>
        </w:rPr>
        <w:t>（1） 办理法律规定和合同约定由承包人办理的许可和批准，将办理结果书面报送发包人留存，并承担因承包人违反法律或合同约定给发包人造成的任何费用和损失；</w:t>
      </w:r>
    </w:p>
    <w:p w14:paraId="580BBB76">
      <w:pPr>
        <w:ind w:firstLine="600"/>
        <w:rPr>
          <w:rFonts w:hint="eastAsia" w:ascii="宋体" w:hAnsi="宋体" w:cs="宋体"/>
          <w:color w:val="auto"/>
          <w:szCs w:val="21"/>
          <w:highlight w:val="none"/>
        </w:rPr>
      </w:pPr>
      <w:r>
        <w:rPr>
          <w:rFonts w:hint="eastAsia" w:ascii="宋体" w:hAnsi="宋体" w:cs="宋体"/>
          <w:color w:val="auto"/>
          <w:szCs w:val="21"/>
          <w:highlight w:val="none"/>
        </w:rPr>
        <w:t>（2） 按合同约定完成全部工作并在缺陷责任期和保修期内承担缺陷保证责任和保修义务，对工作中的任何缺陷进行整改、完善和修补，使其满足合同约定的目的；</w:t>
      </w:r>
    </w:p>
    <w:p w14:paraId="1BF083F0">
      <w:pPr>
        <w:ind w:firstLine="600"/>
        <w:rPr>
          <w:rFonts w:hint="eastAsia" w:ascii="宋体" w:hAnsi="宋体" w:cs="宋体"/>
          <w:color w:val="auto"/>
          <w:szCs w:val="21"/>
          <w:highlight w:val="none"/>
        </w:rPr>
      </w:pPr>
      <w:r>
        <w:rPr>
          <w:rFonts w:hint="eastAsia" w:ascii="宋体" w:hAnsi="宋体" w:cs="宋体"/>
          <w:color w:val="auto"/>
          <w:szCs w:val="21"/>
          <w:highlight w:val="none"/>
        </w:rPr>
        <w:t>（3） 提供合同约定的工程设备和承包人文件，以及为完成合同工作所需的劳务、材料、施工设备和其他物品，并按合同约定负责临时设施的设计、施工、运行、维护、管理和拆除；</w:t>
      </w:r>
    </w:p>
    <w:p w14:paraId="69EEFAFC">
      <w:pPr>
        <w:ind w:firstLine="600"/>
        <w:rPr>
          <w:rFonts w:hint="eastAsia" w:ascii="宋体" w:hAnsi="宋体" w:cs="宋体"/>
          <w:color w:val="auto"/>
          <w:szCs w:val="21"/>
          <w:highlight w:val="none"/>
        </w:rPr>
      </w:pPr>
      <w:r>
        <w:rPr>
          <w:rFonts w:hint="eastAsia" w:ascii="宋体" w:hAnsi="宋体" w:cs="宋体"/>
          <w:color w:val="auto"/>
          <w:szCs w:val="21"/>
          <w:highlight w:val="none"/>
        </w:rPr>
        <w:t>（4） 按合同约定的工作内容和进度要求，编制设计、施工的组织和实施计划，保证项目进度计划的实现，并对所有设计、施工作业和施工方法，以及全部工程的完备性和安全可靠性负责；</w:t>
      </w:r>
    </w:p>
    <w:p w14:paraId="20FE08CB">
      <w:pPr>
        <w:ind w:firstLine="600"/>
        <w:rPr>
          <w:rFonts w:hint="eastAsia" w:ascii="宋体" w:hAnsi="宋体" w:cs="宋体"/>
          <w:color w:val="auto"/>
          <w:szCs w:val="21"/>
          <w:highlight w:val="none"/>
        </w:rPr>
      </w:pPr>
      <w:r>
        <w:rPr>
          <w:rFonts w:hint="eastAsia" w:ascii="宋体" w:hAnsi="宋体" w:cs="宋体"/>
          <w:color w:val="auto"/>
          <w:szCs w:val="21"/>
          <w:highlight w:val="none"/>
        </w:rPr>
        <w:t>（5） 按法律规定和合同约定采取安全文明施工、职业健康和环境保护措施，办理员工工伤保险等相关保险，确保工程及人员、材料、设备和设施的安全，防止因工程实施造成的人身伤害和财产损失；</w:t>
      </w:r>
    </w:p>
    <w:p w14:paraId="2E315235">
      <w:pPr>
        <w:ind w:firstLine="600"/>
        <w:rPr>
          <w:rFonts w:hint="eastAsia" w:ascii="宋体" w:hAnsi="宋体" w:cs="宋体"/>
          <w:color w:val="auto"/>
          <w:szCs w:val="21"/>
          <w:highlight w:val="none"/>
        </w:rPr>
      </w:pPr>
      <w:r>
        <w:rPr>
          <w:rFonts w:hint="eastAsia" w:ascii="宋体" w:hAnsi="宋体" w:cs="宋体"/>
          <w:color w:val="auto"/>
          <w:szCs w:val="21"/>
          <w:highlight w:val="none"/>
        </w:rPr>
        <w:t>（6） 将发包人按合同约定支付的各项价款专用于合同工程，且应及时支付其雇用人员（包括建筑工人）工资，并及时向分包人支付合同价款；</w:t>
      </w:r>
    </w:p>
    <w:p w14:paraId="74E69594">
      <w:pPr>
        <w:ind w:firstLine="600"/>
        <w:rPr>
          <w:rFonts w:hint="eastAsia" w:ascii="宋体" w:hAnsi="宋体" w:cs="宋体"/>
          <w:color w:val="auto"/>
          <w:szCs w:val="21"/>
          <w:highlight w:val="none"/>
        </w:rPr>
      </w:pPr>
      <w:r>
        <w:rPr>
          <w:rFonts w:hint="eastAsia" w:ascii="宋体" w:hAnsi="宋体" w:cs="宋体"/>
          <w:color w:val="auto"/>
          <w:szCs w:val="21"/>
          <w:highlight w:val="none"/>
        </w:rPr>
        <w:t>（7） 在进行合同约定的各项工作时，不得侵害发包人与他人使用公用道路、水源、市政管网等公共设施的权利，避免对邻近的公共设施产生干扰。</w:t>
      </w:r>
    </w:p>
    <w:p w14:paraId="7091B16C">
      <w:pPr>
        <w:pStyle w:val="87"/>
        <w:widowControl/>
        <w:numPr>
          <w:ilvl w:val="0"/>
          <w:numId w:val="0"/>
        </w:numPr>
        <w:spacing w:after="156"/>
        <w:rPr>
          <w:rFonts w:hint="eastAsia" w:ascii="宋体" w:hAnsi="宋体" w:eastAsia="宋体" w:cs="宋体"/>
          <w:b w:val="0"/>
          <w:bCs/>
          <w:color w:val="auto"/>
          <w:sz w:val="21"/>
          <w:szCs w:val="21"/>
          <w:highlight w:val="none"/>
        </w:rPr>
      </w:pPr>
      <w:bookmarkStart w:id="1230" w:name="_Toc19914"/>
      <w:bookmarkStart w:id="1231" w:name="_Toc4680"/>
      <w:bookmarkStart w:id="1232" w:name="_Toc4103"/>
      <w:bookmarkStart w:id="1233" w:name="_Ref4426803"/>
      <w:bookmarkStart w:id="1234" w:name="_Toc5806"/>
      <w:bookmarkStart w:id="1235" w:name="_Toc103175687"/>
      <w:bookmarkStart w:id="1236" w:name="_Toc31295"/>
      <w:bookmarkStart w:id="1237" w:name="_Toc29995"/>
      <w:bookmarkStart w:id="1238" w:name="_Toc13986"/>
      <w:bookmarkStart w:id="1239" w:name="_Toc29362"/>
      <w:bookmarkStart w:id="1240" w:name="_Ref4428418"/>
      <w:r>
        <w:rPr>
          <w:rFonts w:hint="eastAsia" w:ascii="宋体" w:hAnsi="宋体" w:eastAsia="宋体" w:cs="宋体"/>
          <w:b w:val="0"/>
          <w:bCs/>
          <w:color w:val="auto"/>
          <w:sz w:val="21"/>
          <w:szCs w:val="21"/>
          <w:highlight w:val="none"/>
        </w:rPr>
        <w:t>4.2 履约担保</w:t>
      </w:r>
      <w:bookmarkEnd w:id="1230"/>
      <w:bookmarkEnd w:id="1231"/>
      <w:bookmarkEnd w:id="1232"/>
      <w:bookmarkEnd w:id="1233"/>
      <w:bookmarkEnd w:id="1234"/>
      <w:bookmarkEnd w:id="1235"/>
      <w:bookmarkEnd w:id="1236"/>
      <w:bookmarkEnd w:id="1237"/>
      <w:bookmarkEnd w:id="1238"/>
      <w:bookmarkEnd w:id="1239"/>
    </w:p>
    <w:p w14:paraId="2AFCA55E">
      <w:pPr>
        <w:ind w:firstLine="600"/>
        <w:rPr>
          <w:rFonts w:hint="eastAsia" w:ascii="宋体" w:hAnsi="宋体" w:cs="宋体"/>
          <w:color w:val="auto"/>
          <w:szCs w:val="21"/>
          <w:highlight w:val="none"/>
        </w:rPr>
      </w:pPr>
      <w:r>
        <w:rPr>
          <w:rFonts w:hint="eastAsia" w:ascii="宋体" w:hAnsi="宋体" w:cs="宋体"/>
          <w:color w:val="auto"/>
          <w:szCs w:val="21"/>
          <w:highlight w:val="none"/>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34859E55">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承包人应保证其履约担保在发包人竣工验收前一直有效，发包人应在竣工验收合格后7天内将履约担保款项退还给承包人或者解除履约担保。</w:t>
      </w:r>
    </w:p>
    <w:p w14:paraId="10DE4340">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因承包人原因导致工期延长的，继续提供履约担保所增加的费用由承包人承担；非因承包人原因导致工期延长的，继续提供履约担保所增加的费用由发包人承担。</w:t>
      </w:r>
    </w:p>
    <w:bookmarkEnd w:id="1229"/>
    <w:bookmarkEnd w:id="1240"/>
    <w:p w14:paraId="49099319">
      <w:pPr>
        <w:pStyle w:val="87"/>
        <w:widowControl/>
        <w:numPr>
          <w:ilvl w:val="0"/>
          <w:numId w:val="0"/>
        </w:numPr>
        <w:spacing w:after="156"/>
        <w:rPr>
          <w:rFonts w:hint="eastAsia" w:ascii="宋体" w:hAnsi="宋体" w:eastAsia="宋体" w:cs="宋体"/>
          <w:b w:val="0"/>
          <w:bCs/>
          <w:color w:val="auto"/>
          <w:sz w:val="21"/>
          <w:szCs w:val="21"/>
          <w:highlight w:val="none"/>
        </w:rPr>
      </w:pPr>
      <w:bookmarkStart w:id="1241" w:name="_Ref532689105"/>
      <w:bookmarkStart w:id="1242" w:name="_Toc13247"/>
      <w:bookmarkStart w:id="1243" w:name="_Toc624"/>
      <w:bookmarkStart w:id="1244" w:name="_Toc14244"/>
      <w:bookmarkStart w:id="1245" w:name="_Toc31620"/>
      <w:bookmarkStart w:id="1246" w:name="_Toc3818"/>
      <w:bookmarkStart w:id="1247" w:name="_Toc10510"/>
      <w:bookmarkStart w:id="1248" w:name="_Ref532689108"/>
      <w:bookmarkStart w:id="1249" w:name="_Toc8296"/>
      <w:bookmarkStart w:id="1250" w:name="_Toc24962"/>
      <w:bookmarkStart w:id="1251" w:name="_Toc103175688"/>
      <w:r>
        <w:rPr>
          <w:rFonts w:hint="eastAsia" w:ascii="宋体" w:hAnsi="宋体" w:eastAsia="宋体" w:cs="宋体"/>
          <w:b w:val="0"/>
          <w:bCs/>
          <w:color w:val="auto"/>
          <w:sz w:val="21"/>
          <w:szCs w:val="21"/>
          <w:highlight w:val="none"/>
        </w:rPr>
        <w:t>4.3 工程总承包项目经理</w:t>
      </w:r>
      <w:bookmarkEnd w:id="1241"/>
      <w:bookmarkEnd w:id="1242"/>
      <w:bookmarkEnd w:id="1243"/>
      <w:bookmarkEnd w:id="1244"/>
      <w:bookmarkEnd w:id="1245"/>
      <w:bookmarkEnd w:id="1246"/>
      <w:bookmarkEnd w:id="1247"/>
      <w:bookmarkEnd w:id="1248"/>
      <w:bookmarkEnd w:id="1249"/>
      <w:bookmarkEnd w:id="1250"/>
      <w:bookmarkEnd w:id="1251"/>
    </w:p>
    <w:p w14:paraId="59DAD1F2">
      <w:pPr>
        <w:pStyle w:val="88"/>
        <w:numPr>
          <w:ilvl w:val="0"/>
          <w:numId w:val="0"/>
        </w:numPr>
        <w:spacing w:after="156"/>
        <w:rPr>
          <w:rFonts w:hint="eastAsia" w:cs="宋体"/>
          <w:color w:val="auto"/>
          <w:sz w:val="21"/>
          <w:highlight w:val="none"/>
        </w:rPr>
      </w:pPr>
      <w:bookmarkStart w:id="1252" w:name="_Ref532351726"/>
      <w:r>
        <w:rPr>
          <w:rFonts w:hint="eastAsia" w:cs="宋体"/>
          <w:color w:val="auto"/>
          <w:sz w:val="21"/>
          <w:highlight w:val="none"/>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1252"/>
    </w:p>
    <w:p w14:paraId="150235B0">
      <w:pPr>
        <w:pStyle w:val="88"/>
        <w:numPr>
          <w:ilvl w:val="0"/>
          <w:numId w:val="0"/>
        </w:numPr>
        <w:spacing w:after="156"/>
        <w:rPr>
          <w:rFonts w:hint="eastAsia" w:cs="宋体"/>
          <w:color w:val="auto"/>
          <w:sz w:val="21"/>
          <w:highlight w:val="none"/>
        </w:rPr>
      </w:pPr>
      <w:bookmarkStart w:id="1253" w:name="_Ref532689263"/>
      <w:r>
        <w:rPr>
          <w:rFonts w:hint="eastAsia" w:cs="宋体"/>
          <w:color w:val="auto"/>
          <w:sz w:val="21"/>
          <w:highlight w:val="none"/>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1253"/>
    </w:p>
    <w:p w14:paraId="55DCE917">
      <w:pPr>
        <w:pStyle w:val="88"/>
        <w:numPr>
          <w:ilvl w:val="0"/>
          <w:numId w:val="0"/>
        </w:numPr>
        <w:spacing w:after="156"/>
        <w:rPr>
          <w:rFonts w:hint="eastAsia" w:cs="宋体"/>
          <w:color w:val="auto"/>
          <w:sz w:val="21"/>
          <w:highlight w:val="none"/>
        </w:rPr>
      </w:pPr>
      <w:bookmarkStart w:id="1254" w:name="_Ref532689178"/>
      <w:bookmarkStart w:id="1255" w:name="_Ref531952112"/>
      <w:r>
        <w:rPr>
          <w:rFonts w:hint="eastAsia" w:cs="宋体"/>
          <w:color w:val="auto"/>
          <w:sz w:val="21"/>
          <w:highlight w:val="none"/>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1254"/>
    </w:p>
    <w:bookmarkEnd w:id="1255"/>
    <w:p w14:paraId="29AD3708">
      <w:pPr>
        <w:pStyle w:val="88"/>
        <w:numPr>
          <w:ilvl w:val="0"/>
          <w:numId w:val="0"/>
        </w:numPr>
        <w:spacing w:after="156"/>
        <w:rPr>
          <w:rFonts w:hint="eastAsia" w:cs="宋体"/>
          <w:color w:val="auto"/>
          <w:sz w:val="21"/>
          <w:highlight w:val="none"/>
        </w:rPr>
      </w:pPr>
      <w:bookmarkStart w:id="1256" w:name="_Ref4426412"/>
      <w:r>
        <w:rPr>
          <w:rFonts w:hint="eastAsia" w:cs="宋体"/>
          <w:color w:val="auto"/>
          <w:sz w:val="21"/>
          <w:highlight w:val="none"/>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1257" w:name="_Hlk55056591"/>
      <w:r>
        <w:rPr>
          <w:rFonts w:hint="eastAsia" w:cs="宋体"/>
          <w:color w:val="auto"/>
          <w:sz w:val="21"/>
          <w:highlight w:val="none"/>
        </w:rPr>
        <w:t>应按照专用合同条件的约定承担违约责任。</w:t>
      </w:r>
      <w:bookmarkEnd w:id="1256"/>
      <w:bookmarkEnd w:id="1257"/>
    </w:p>
    <w:p w14:paraId="05A7559F">
      <w:pPr>
        <w:pStyle w:val="88"/>
        <w:numPr>
          <w:ilvl w:val="0"/>
          <w:numId w:val="0"/>
        </w:numPr>
        <w:spacing w:after="156"/>
        <w:rPr>
          <w:rFonts w:hint="eastAsia" w:cs="宋体"/>
          <w:color w:val="auto"/>
          <w:sz w:val="21"/>
          <w:highlight w:val="none"/>
        </w:rPr>
      </w:pPr>
      <w:bookmarkStart w:id="1258" w:name="_Ref531952137"/>
      <w:r>
        <w:rPr>
          <w:rFonts w:hint="eastAsia" w:cs="宋体"/>
          <w:color w:val="auto"/>
          <w:sz w:val="21"/>
          <w:highlight w:val="none"/>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1258"/>
    </w:p>
    <w:p w14:paraId="15991F25">
      <w:pPr>
        <w:pStyle w:val="88"/>
        <w:numPr>
          <w:ilvl w:val="0"/>
          <w:numId w:val="0"/>
        </w:numPr>
        <w:spacing w:after="156"/>
        <w:rPr>
          <w:rFonts w:hint="eastAsia" w:cs="宋体"/>
          <w:color w:val="auto"/>
          <w:sz w:val="21"/>
          <w:highlight w:val="none"/>
        </w:rPr>
      </w:pPr>
      <w:bookmarkStart w:id="1259" w:name="_Ref122620"/>
      <w:r>
        <w:rPr>
          <w:rFonts w:hint="eastAsia" w:cs="宋体"/>
          <w:color w:val="auto"/>
          <w:sz w:val="21"/>
          <w:highlight w:val="none"/>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1259"/>
    </w:p>
    <w:p w14:paraId="12E0FC4E">
      <w:pPr>
        <w:pStyle w:val="87"/>
        <w:widowControl/>
        <w:numPr>
          <w:ilvl w:val="0"/>
          <w:numId w:val="0"/>
        </w:numPr>
        <w:spacing w:after="156"/>
        <w:rPr>
          <w:rFonts w:hint="eastAsia" w:ascii="宋体" w:hAnsi="宋体" w:eastAsia="宋体" w:cs="宋体"/>
          <w:b w:val="0"/>
          <w:bCs/>
          <w:color w:val="auto"/>
          <w:sz w:val="21"/>
          <w:szCs w:val="21"/>
          <w:highlight w:val="none"/>
        </w:rPr>
      </w:pPr>
      <w:bookmarkStart w:id="1260" w:name="_Toc4943"/>
      <w:bookmarkStart w:id="1261" w:name="_Toc2829"/>
      <w:bookmarkStart w:id="1262" w:name="_Ref531952172"/>
      <w:bookmarkStart w:id="1263" w:name="_Toc23540"/>
      <w:bookmarkStart w:id="1264" w:name="_Toc7762"/>
      <w:bookmarkStart w:id="1265" w:name="_Toc3713"/>
      <w:bookmarkStart w:id="1266" w:name="_Ref531952175"/>
      <w:bookmarkStart w:id="1267" w:name="_Toc8153"/>
      <w:bookmarkStart w:id="1268" w:name="_Toc16748"/>
      <w:bookmarkStart w:id="1269" w:name="_Toc103175689"/>
      <w:bookmarkStart w:id="1270" w:name="_Toc24350"/>
      <w:r>
        <w:rPr>
          <w:rFonts w:hint="eastAsia" w:ascii="宋体" w:hAnsi="宋体" w:eastAsia="宋体" w:cs="宋体"/>
          <w:b w:val="0"/>
          <w:bCs/>
          <w:color w:val="auto"/>
          <w:sz w:val="21"/>
          <w:szCs w:val="21"/>
          <w:highlight w:val="none"/>
        </w:rPr>
        <w:t>4.4 承包人人员</w:t>
      </w:r>
      <w:bookmarkEnd w:id="1260"/>
      <w:bookmarkEnd w:id="1261"/>
      <w:bookmarkEnd w:id="1262"/>
      <w:bookmarkEnd w:id="1263"/>
      <w:bookmarkEnd w:id="1264"/>
      <w:bookmarkEnd w:id="1265"/>
      <w:bookmarkEnd w:id="1266"/>
      <w:bookmarkEnd w:id="1267"/>
      <w:bookmarkEnd w:id="1268"/>
      <w:bookmarkEnd w:id="1269"/>
      <w:bookmarkEnd w:id="1270"/>
    </w:p>
    <w:p w14:paraId="24A47B11">
      <w:pPr>
        <w:pStyle w:val="88"/>
        <w:numPr>
          <w:ilvl w:val="0"/>
          <w:numId w:val="0"/>
        </w:numPr>
        <w:spacing w:after="156"/>
        <w:rPr>
          <w:rFonts w:hint="eastAsia" w:cs="宋体"/>
          <w:color w:val="auto"/>
          <w:sz w:val="21"/>
          <w:highlight w:val="none"/>
        </w:rPr>
      </w:pPr>
      <w:bookmarkStart w:id="1271" w:name="_Ref531952185"/>
      <w:r>
        <w:rPr>
          <w:rFonts w:hint="eastAsia" w:cs="宋体"/>
          <w:color w:val="auto"/>
          <w:sz w:val="21"/>
          <w:highlight w:val="none"/>
        </w:rPr>
        <w:t>4.4.1 人员安排</w:t>
      </w:r>
      <w:bookmarkEnd w:id="1271"/>
    </w:p>
    <w:p w14:paraId="2C253B7A">
      <w:pPr>
        <w:ind w:firstLine="600"/>
        <w:rPr>
          <w:rFonts w:hint="eastAsia" w:ascii="宋体" w:hAnsi="宋体" w:cs="宋体"/>
          <w:color w:val="auto"/>
          <w:szCs w:val="21"/>
          <w:highlight w:val="none"/>
        </w:rPr>
      </w:pPr>
      <w:r>
        <w:rPr>
          <w:rFonts w:hint="eastAsia" w:ascii="宋体" w:hAnsi="宋体" w:cs="宋体"/>
          <w:color w:val="auto"/>
          <w:szCs w:val="21"/>
          <w:highlight w:val="none"/>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13531F11">
      <w:pPr>
        <w:ind w:firstLine="600"/>
        <w:rPr>
          <w:rFonts w:hint="eastAsia" w:ascii="宋体" w:hAnsi="宋体" w:cs="宋体"/>
          <w:color w:val="auto"/>
          <w:szCs w:val="21"/>
          <w:highlight w:val="none"/>
        </w:rPr>
      </w:pPr>
      <w:r>
        <w:rPr>
          <w:rFonts w:hint="eastAsia" w:ascii="宋体" w:hAnsi="宋体" w:cs="宋体"/>
          <w:color w:val="auto"/>
          <w:szCs w:val="21"/>
          <w:highlight w:val="none"/>
        </w:rPr>
        <w:t>关键人员</w:t>
      </w:r>
      <w:bookmarkStart w:id="1272" w:name="_Hlk16210335"/>
      <w:r>
        <w:rPr>
          <w:rFonts w:hint="eastAsia" w:ascii="宋体" w:hAnsi="宋体" w:cs="宋体"/>
          <w:color w:val="auto"/>
          <w:szCs w:val="21"/>
          <w:highlight w:val="none"/>
        </w:rPr>
        <w:t>是发包人及承包人一致认为对工程建设起重要作用的承包人主要管理人员或技术人员。关键人员的具体范围由发包人及承包人在附件5[承包人主要管理人员表]中另行约定。</w:t>
      </w:r>
    </w:p>
    <w:bookmarkEnd w:id="1272"/>
    <w:p w14:paraId="67D01021">
      <w:pPr>
        <w:pStyle w:val="88"/>
        <w:numPr>
          <w:ilvl w:val="0"/>
          <w:numId w:val="0"/>
        </w:numPr>
        <w:spacing w:after="156"/>
        <w:rPr>
          <w:rFonts w:hint="eastAsia" w:cs="宋体"/>
          <w:color w:val="auto"/>
          <w:sz w:val="21"/>
          <w:highlight w:val="none"/>
        </w:rPr>
      </w:pPr>
      <w:bookmarkStart w:id="1273" w:name="_Ref531952211"/>
      <w:bookmarkStart w:id="1274" w:name="_Ref4426641"/>
      <w:r>
        <w:rPr>
          <w:rFonts w:hint="eastAsia" w:cs="宋体"/>
          <w:color w:val="auto"/>
          <w:sz w:val="21"/>
          <w:highlight w:val="none"/>
        </w:rPr>
        <w:t>4.4.2 关键人员更换</w:t>
      </w:r>
      <w:bookmarkEnd w:id="1273"/>
      <w:bookmarkEnd w:id="1274"/>
    </w:p>
    <w:p w14:paraId="175E1247">
      <w:pPr>
        <w:ind w:firstLine="600"/>
        <w:rPr>
          <w:rFonts w:hint="eastAsia" w:ascii="宋体" w:hAnsi="宋体" w:cs="宋体"/>
          <w:color w:val="auto"/>
          <w:szCs w:val="21"/>
          <w:highlight w:val="none"/>
        </w:rPr>
      </w:pPr>
      <w:r>
        <w:rPr>
          <w:rFonts w:hint="eastAsia" w:ascii="宋体" w:hAnsi="宋体" w:cs="宋体"/>
          <w:color w:val="auto"/>
          <w:szCs w:val="21"/>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7A08E479">
      <w:pPr>
        <w:ind w:firstLine="600"/>
        <w:rPr>
          <w:rFonts w:hint="eastAsia" w:ascii="宋体" w:hAnsi="宋体" w:cs="宋体"/>
          <w:color w:val="auto"/>
          <w:szCs w:val="21"/>
          <w:highlight w:val="none"/>
        </w:rPr>
      </w:pPr>
      <w:r>
        <w:rPr>
          <w:rFonts w:hint="eastAsia" w:ascii="宋体" w:hAnsi="宋体" w:cs="宋体"/>
          <w:color w:val="auto"/>
          <w:szCs w:val="21"/>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4C51505F">
      <w:pPr>
        <w:pStyle w:val="88"/>
        <w:numPr>
          <w:ilvl w:val="0"/>
          <w:numId w:val="0"/>
        </w:numPr>
        <w:spacing w:after="156"/>
        <w:rPr>
          <w:rFonts w:hint="eastAsia" w:cs="宋体"/>
          <w:color w:val="auto"/>
          <w:sz w:val="21"/>
          <w:highlight w:val="none"/>
        </w:rPr>
      </w:pPr>
      <w:bookmarkStart w:id="1275" w:name="_Ref531952227"/>
      <w:r>
        <w:rPr>
          <w:rFonts w:hint="eastAsia" w:cs="宋体"/>
          <w:color w:val="auto"/>
          <w:sz w:val="21"/>
          <w:highlight w:val="none"/>
        </w:rPr>
        <w:t>4.4.3 现场管理关键人员在岗要求</w:t>
      </w:r>
      <w:bookmarkEnd w:id="1275"/>
    </w:p>
    <w:p w14:paraId="22FDD524">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51BBBC58">
      <w:pPr>
        <w:pStyle w:val="87"/>
        <w:widowControl/>
        <w:numPr>
          <w:ilvl w:val="0"/>
          <w:numId w:val="0"/>
        </w:numPr>
        <w:spacing w:after="156"/>
        <w:rPr>
          <w:rFonts w:hint="eastAsia" w:ascii="宋体" w:hAnsi="宋体" w:eastAsia="宋体" w:cs="宋体"/>
          <w:b w:val="0"/>
          <w:bCs/>
          <w:color w:val="auto"/>
          <w:sz w:val="21"/>
          <w:szCs w:val="21"/>
          <w:highlight w:val="none"/>
        </w:rPr>
      </w:pPr>
      <w:bookmarkStart w:id="1276" w:name="_Toc26648"/>
      <w:bookmarkStart w:id="1277" w:name="_Toc7776"/>
      <w:bookmarkStart w:id="1278" w:name="_Toc103175690"/>
      <w:bookmarkStart w:id="1279" w:name="_Ref531952262"/>
      <w:bookmarkStart w:id="1280" w:name="_Toc9076"/>
      <w:bookmarkStart w:id="1281" w:name="_Toc31635"/>
      <w:bookmarkStart w:id="1282" w:name="_Ref531952259"/>
      <w:bookmarkStart w:id="1283" w:name="_Toc20669"/>
      <w:bookmarkStart w:id="1284" w:name="_Toc16243"/>
      <w:bookmarkStart w:id="1285" w:name="_Toc24816"/>
      <w:bookmarkStart w:id="1286" w:name="_Toc18713"/>
      <w:r>
        <w:rPr>
          <w:rFonts w:hint="eastAsia" w:ascii="宋体" w:hAnsi="宋体" w:eastAsia="宋体" w:cs="宋体"/>
          <w:b w:val="0"/>
          <w:bCs/>
          <w:color w:val="auto"/>
          <w:sz w:val="21"/>
          <w:szCs w:val="21"/>
          <w:highlight w:val="none"/>
        </w:rPr>
        <w:t>4.5 分包</w:t>
      </w:r>
      <w:bookmarkEnd w:id="1276"/>
      <w:bookmarkEnd w:id="1277"/>
      <w:bookmarkEnd w:id="1278"/>
      <w:bookmarkEnd w:id="1279"/>
      <w:bookmarkEnd w:id="1280"/>
      <w:bookmarkEnd w:id="1281"/>
      <w:bookmarkEnd w:id="1282"/>
      <w:bookmarkEnd w:id="1283"/>
      <w:bookmarkEnd w:id="1284"/>
      <w:bookmarkEnd w:id="1285"/>
      <w:bookmarkEnd w:id="1286"/>
      <w:r>
        <w:rPr>
          <w:rFonts w:hint="eastAsia" w:ascii="宋体" w:hAnsi="宋体" w:eastAsia="宋体" w:cs="宋体"/>
          <w:b w:val="0"/>
          <w:bCs/>
          <w:color w:val="auto"/>
          <w:sz w:val="21"/>
          <w:szCs w:val="21"/>
          <w:highlight w:val="none"/>
        </w:rPr>
        <w:t xml:space="preserve"> </w:t>
      </w:r>
    </w:p>
    <w:p w14:paraId="2269BD4F">
      <w:pPr>
        <w:pStyle w:val="88"/>
        <w:numPr>
          <w:ilvl w:val="0"/>
          <w:numId w:val="0"/>
        </w:numPr>
        <w:spacing w:after="156"/>
        <w:rPr>
          <w:rFonts w:hint="eastAsia" w:cs="宋体"/>
          <w:color w:val="auto"/>
          <w:sz w:val="21"/>
          <w:highlight w:val="none"/>
        </w:rPr>
      </w:pPr>
      <w:bookmarkStart w:id="1287" w:name="_Ref531952273"/>
      <w:r>
        <w:rPr>
          <w:rFonts w:hint="eastAsia" w:cs="宋体"/>
          <w:color w:val="auto"/>
          <w:sz w:val="21"/>
          <w:highlight w:val="none"/>
        </w:rPr>
        <w:t>4.5.1 一般约定</w:t>
      </w:r>
      <w:bookmarkEnd w:id="1287"/>
    </w:p>
    <w:p w14:paraId="32875C59">
      <w:pPr>
        <w:ind w:firstLine="600"/>
        <w:rPr>
          <w:rFonts w:hint="eastAsia" w:ascii="宋体" w:hAnsi="宋体" w:cs="宋体"/>
          <w:color w:val="auto"/>
          <w:szCs w:val="21"/>
          <w:highlight w:val="none"/>
        </w:rPr>
      </w:pPr>
      <w:r>
        <w:rPr>
          <w:rFonts w:hint="eastAsia" w:ascii="宋体" w:hAnsi="宋体" w:cs="宋体"/>
          <w:color w:val="auto"/>
          <w:szCs w:val="21"/>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10CAC908">
      <w:pPr>
        <w:pStyle w:val="88"/>
        <w:numPr>
          <w:ilvl w:val="0"/>
          <w:numId w:val="0"/>
        </w:numPr>
        <w:spacing w:after="156"/>
        <w:rPr>
          <w:rFonts w:hint="eastAsia" w:cs="宋体"/>
          <w:color w:val="auto"/>
          <w:sz w:val="21"/>
          <w:highlight w:val="none"/>
        </w:rPr>
      </w:pPr>
      <w:bookmarkStart w:id="1288" w:name="_Ref531952286"/>
      <w:r>
        <w:rPr>
          <w:rFonts w:hint="eastAsia" w:cs="宋体"/>
          <w:color w:val="auto"/>
          <w:sz w:val="21"/>
          <w:highlight w:val="none"/>
        </w:rPr>
        <w:t>4.5.2 分包的确定</w:t>
      </w:r>
      <w:bookmarkEnd w:id="1288"/>
    </w:p>
    <w:p w14:paraId="71AFF39B">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承包人应按照专用合同条件约定对工作事项进行分包，确定分包人。</w:t>
      </w:r>
    </w:p>
    <w:p w14:paraId="56227926">
      <w:pPr>
        <w:ind w:firstLine="600"/>
        <w:rPr>
          <w:rFonts w:hint="eastAsia" w:ascii="宋体" w:hAnsi="宋体" w:cs="宋体"/>
          <w:color w:val="auto"/>
          <w:szCs w:val="21"/>
          <w:highlight w:val="none"/>
        </w:rPr>
      </w:pPr>
      <w:r>
        <w:rPr>
          <w:rFonts w:hint="eastAsia" w:ascii="宋体" w:hAnsi="宋体" w:cs="宋体"/>
          <w:color w:val="auto"/>
          <w:szCs w:val="21"/>
          <w:highlight w:val="none"/>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5981544C">
      <w:pPr>
        <w:pStyle w:val="88"/>
        <w:numPr>
          <w:ilvl w:val="0"/>
          <w:numId w:val="0"/>
        </w:numPr>
        <w:spacing w:after="156"/>
        <w:rPr>
          <w:rFonts w:hint="eastAsia" w:cs="宋体"/>
          <w:color w:val="auto"/>
          <w:sz w:val="21"/>
          <w:highlight w:val="none"/>
        </w:rPr>
      </w:pPr>
      <w:r>
        <w:rPr>
          <w:rFonts w:hint="eastAsia" w:cs="宋体"/>
          <w:color w:val="auto"/>
          <w:sz w:val="21"/>
          <w:highlight w:val="none"/>
        </w:rPr>
        <w:t>4.5.3 分包人资质</w:t>
      </w:r>
    </w:p>
    <w:p w14:paraId="0FA45FDC">
      <w:pPr>
        <w:ind w:firstLine="600"/>
        <w:rPr>
          <w:rFonts w:hint="eastAsia" w:ascii="宋体" w:hAnsi="宋体" w:cs="宋体"/>
          <w:color w:val="auto"/>
          <w:szCs w:val="21"/>
          <w:highlight w:val="none"/>
        </w:rPr>
      </w:pPr>
      <w:r>
        <w:rPr>
          <w:rFonts w:hint="eastAsia" w:ascii="宋体" w:hAnsi="宋体" w:cs="宋体"/>
          <w:color w:val="auto"/>
          <w:szCs w:val="21"/>
          <w:highlight w:val="none"/>
        </w:rPr>
        <w:t>分包人应符合国家法律规定的资质等级，否则不能作为分包人。承包人有义务对分包人的资质进行审查。</w:t>
      </w:r>
    </w:p>
    <w:p w14:paraId="58E2C73C">
      <w:pPr>
        <w:pStyle w:val="88"/>
        <w:numPr>
          <w:ilvl w:val="0"/>
          <w:numId w:val="0"/>
        </w:numPr>
        <w:spacing w:after="156"/>
        <w:rPr>
          <w:rFonts w:hint="eastAsia" w:cs="宋体"/>
          <w:color w:val="auto"/>
          <w:sz w:val="21"/>
          <w:highlight w:val="none"/>
        </w:rPr>
      </w:pPr>
      <w:r>
        <w:rPr>
          <w:rFonts w:hint="eastAsia" w:cs="宋体"/>
          <w:color w:val="auto"/>
          <w:sz w:val="21"/>
          <w:highlight w:val="none"/>
        </w:rPr>
        <w:t>4.5.4 分包管理</w:t>
      </w:r>
    </w:p>
    <w:p w14:paraId="0C946F86">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20EC278D">
      <w:pPr>
        <w:pStyle w:val="88"/>
        <w:numPr>
          <w:ilvl w:val="0"/>
          <w:numId w:val="0"/>
        </w:numPr>
        <w:spacing w:after="156"/>
        <w:rPr>
          <w:rFonts w:hint="eastAsia" w:cs="宋体"/>
          <w:color w:val="auto"/>
          <w:sz w:val="21"/>
          <w:highlight w:val="none"/>
        </w:rPr>
      </w:pPr>
      <w:bookmarkStart w:id="1289" w:name="_Ref531952298"/>
      <w:r>
        <w:rPr>
          <w:rFonts w:hint="eastAsia" w:cs="宋体"/>
          <w:color w:val="auto"/>
          <w:sz w:val="21"/>
          <w:highlight w:val="none"/>
        </w:rPr>
        <w:t>4.5.5 分包合同价款支付</w:t>
      </w:r>
      <w:bookmarkEnd w:id="1289"/>
    </w:p>
    <w:p w14:paraId="48BAEF54">
      <w:pPr>
        <w:ind w:firstLine="600"/>
        <w:rPr>
          <w:rFonts w:hint="eastAsia" w:ascii="宋体" w:hAnsi="宋体" w:cs="宋体"/>
          <w:color w:val="auto"/>
          <w:szCs w:val="21"/>
          <w:highlight w:val="none"/>
        </w:rPr>
      </w:pPr>
      <w:r>
        <w:rPr>
          <w:rFonts w:hint="eastAsia" w:ascii="宋体" w:hAnsi="宋体" w:cs="宋体"/>
          <w:color w:val="auto"/>
          <w:szCs w:val="21"/>
          <w:highlight w:val="none"/>
        </w:rPr>
        <w:t>（1） 除本项第（2）目约定的情况或专用合同条件另有约定外，分包合同价款由承包人与分包人结算，未经承包人同意，发包人不得向分包人支付分包合同价款；</w:t>
      </w:r>
    </w:p>
    <w:p w14:paraId="4EC94A87">
      <w:pPr>
        <w:ind w:firstLine="600"/>
        <w:rPr>
          <w:rFonts w:hint="eastAsia" w:ascii="宋体" w:hAnsi="宋体" w:cs="宋体"/>
          <w:color w:val="auto"/>
          <w:szCs w:val="21"/>
          <w:highlight w:val="none"/>
        </w:rPr>
      </w:pPr>
      <w:bookmarkStart w:id="1290" w:name="_Ref4613798"/>
      <w:r>
        <w:rPr>
          <w:rFonts w:hint="eastAsia" w:ascii="宋体" w:hAnsi="宋体" w:cs="宋体"/>
          <w:color w:val="auto"/>
          <w:szCs w:val="21"/>
          <w:highlight w:val="none"/>
        </w:rPr>
        <w:t>（2） 生效法律文书要求发包人向分包人支付分包合同价款的，发包人有权从应付承包人工程款中扣除该部分款项</w:t>
      </w:r>
      <w:bookmarkEnd w:id="1290"/>
      <w:r>
        <w:rPr>
          <w:rFonts w:hint="eastAsia" w:ascii="宋体" w:hAnsi="宋体" w:cs="宋体"/>
          <w:color w:val="auto"/>
          <w:szCs w:val="21"/>
          <w:highlight w:val="none"/>
        </w:rPr>
        <w:t>，将扣款直接支付给分包人，并书面通知承包人。</w:t>
      </w:r>
    </w:p>
    <w:p w14:paraId="41C4EF96">
      <w:pPr>
        <w:pStyle w:val="88"/>
        <w:numPr>
          <w:ilvl w:val="0"/>
          <w:numId w:val="0"/>
        </w:numPr>
        <w:spacing w:after="156"/>
        <w:rPr>
          <w:rFonts w:hint="eastAsia" w:cs="宋体"/>
          <w:color w:val="auto"/>
          <w:sz w:val="21"/>
          <w:highlight w:val="none"/>
        </w:rPr>
      </w:pPr>
      <w:r>
        <w:rPr>
          <w:rFonts w:hint="eastAsia" w:cs="宋体"/>
          <w:color w:val="auto"/>
          <w:sz w:val="21"/>
          <w:highlight w:val="none"/>
        </w:rPr>
        <w:t>4.5.6 责任承担</w:t>
      </w:r>
    </w:p>
    <w:p w14:paraId="16FE30DA">
      <w:pPr>
        <w:ind w:firstLine="600"/>
        <w:rPr>
          <w:rFonts w:hint="eastAsia" w:ascii="宋体" w:hAnsi="宋体" w:cs="宋体"/>
          <w:color w:val="auto"/>
          <w:szCs w:val="21"/>
          <w:highlight w:val="none"/>
        </w:rPr>
      </w:pPr>
      <w:r>
        <w:rPr>
          <w:rFonts w:hint="eastAsia" w:ascii="宋体" w:hAnsi="宋体" w:cs="宋体"/>
          <w:color w:val="auto"/>
          <w:szCs w:val="21"/>
          <w:highlight w:val="none"/>
        </w:rPr>
        <w:t>承包人对分包人的行为向发包人负责，承包人和分包人就分包工作向发包人承担连带责任。</w:t>
      </w:r>
    </w:p>
    <w:p w14:paraId="17B6BF14">
      <w:pPr>
        <w:pStyle w:val="87"/>
        <w:widowControl/>
        <w:numPr>
          <w:ilvl w:val="0"/>
          <w:numId w:val="0"/>
        </w:numPr>
        <w:spacing w:after="156"/>
        <w:rPr>
          <w:rFonts w:hint="eastAsia" w:ascii="宋体" w:hAnsi="宋体" w:eastAsia="宋体" w:cs="宋体"/>
          <w:b w:val="0"/>
          <w:bCs/>
          <w:color w:val="auto"/>
          <w:sz w:val="21"/>
          <w:szCs w:val="21"/>
          <w:highlight w:val="none"/>
        </w:rPr>
      </w:pPr>
      <w:bookmarkStart w:id="1291" w:name="_Toc103175691"/>
      <w:bookmarkStart w:id="1292" w:name="_Ref4426916"/>
      <w:bookmarkStart w:id="1293" w:name="_Toc24321"/>
      <w:bookmarkStart w:id="1294" w:name="_Toc9817"/>
      <w:bookmarkStart w:id="1295" w:name="_Toc8490"/>
      <w:bookmarkStart w:id="1296" w:name="_Toc26539"/>
      <w:bookmarkStart w:id="1297" w:name="_Toc11843"/>
      <w:bookmarkStart w:id="1298" w:name="_Toc17073"/>
      <w:bookmarkStart w:id="1299" w:name="_Toc2360"/>
      <w:bookmarkStart w:id="1300" w:name="_Toc27746"/>
      <w:bookmarkStart w:id="1301" w:name="_Ref4768805"/>
      <w:bookmarkStart w:id="1302" w:name="_Ref531952321"/>
      <w:bookmarkStart w:id="1303" w:name="_Ref531952317"/>
      <w:r>
        <w:rPr>
          <w:rFonts w:hint="eastAsia" w:ascii="宋体" w:hAnsi="宋体" w:eastAsia="宋体" w:cs="宋体"/>
          <w:b w:val="0"/>
          <w:bCs/>
          <w:color w:val="auto"/>
          <w:sz w:val="21"/>
          <w:szCs w:val="21"/>
          <w:highlight w:val="none"/>
        </w:rPr>
        <w:t>4.6 联合体</w:t>
      </w:r>
      <w:bookmarkEnd w:id="1291"/>
      <w:bookmarkEnd w:id="1292"/>
      <w:bookmarkEnd w:id="1293"/>
      <w:bookmarkEnd w:id="1294"/>
      <w:bookmarkEnd w:id="1295"/>
      <w:bookmarkEnd w:id="1296"/>
      <w:bookmarkEnd w:id="1297"/>
      <w:bookmarkEnd w:id="1298"/>
      <w:bookmarkEnd w:id="1299"/>
      <w:bookmarkEnd w:id="1300"/>
    </w:p>
    <w:p w14:paraId="44C4BFDC">
      <w:pPr>
        <w:pStyle w:val="88"/>
        <w:numPr>
          <w:ilvl w:val="0"/>
          <w:numId w:val="0"/>
        </w:numPr>
        <w:spacing w:after="156"/>
        <w:rPr>
          <w:rFonts w:hint="eastAsia" w:cs="宋体"/>
          <w:color w:val="auto"/>
          <w:sz w:val="21"/>
          <w:highlight w:val="none"/>
        </w:rPr>
      </w:pPr>
      <w:bookmarkStart w:id="1304" w:name="_Hlk16235129"/>
      <w:r>
        <w:rPr>
          <w:rFonts w:hint="eastAsia" w:cs="宋体"/>
          <w:color w:val="auto"/>
          <w:sz w:val="21"/>
          <w:highlight w:val="none"/>
        </w:rPr>
        <w:t>4.6.1 经发包人同意，</w:t>
      </w:r>
      <w:bookmarkEnd w:id="1304"/>
      <w:r>
        <w:rPr>
          <w:rFonts w:hint="eastAsia" w:cs="宋体"/>
          <w:color w:val="auto"/>
          <w:sz w:val="21"/>
          <w:highlight w:val="none"/>
        </w:rPr>
        <w:t>以联合体方式承包工程的，联合体各方应共同与发包人订立合同协议书。联合体各方应为履行合同向发包人承担连带责任。</w:t>
      </w:r>
    </w:p>
    <w:p w14:paraId="4C86B985">
      <w:pPr>
        <w:pStyle w:val="88"/>
        <w:numPr>
          <w:ilvl w:val="0"/>
          <w:numId w:val="0"/>
        </w:numPr>
        <w:spacing w:after="156"/>
        <w:rPr>
          <w:rFonts w:hint="eastAsia" w:cs="宋体"/>
          <w:color w:val="auto"/>
          <w:sz w:val="21"/>
          <w:highlight w:val="none"/>
        </w:rPr>
      </w:pPr>
      <w:r>
        <w:rPr>
          <w:rFonts w:hint="eastAsia" w:cs="宋体"/>
          <w:color w:val="auto"/>
          <w:sz w:val="21"/>
          <w:highlight w:val="none"/>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368BEA9A">
      <w:pPr>
        <w:pStyle w:val="88"/>
        <w:numPr>
          <w:ilvl w:val="0"/>
          <w:numId w:val="0"/>
        </w:numPr>
        <w:spacing w:after="156"/>
        <w:rPr>
          <w:rFonts w:hint="eastAsia" w:cs="宋体"/>
          <w:color w:val="auto"/>
          <w:sz w:val="21"/>
          <w:highlight w:val="none"/>
        </w:rPr>
      </w:pPr>
      <w:r>
        <w:rPr>
          <w:rFonts w:hint="eastAsia" w:cs="宋体"/>
          <w:color w:val="auto"/>
          <w:sz w:val="21"/>
          <w:highlight w:val="none"/>
        </w:rPr>
        <w:t>4.6.3 联合体协议经发包人确认后作为合同附件。在履行合同过程中，未经发包人同意，不得变更联合体成员和其负责的工作范围，或者修改联合体协议中与本合同履行相关的内容。</w:t>
      </w:r>
    </w:p>
    <w:p w14:paraId="7FBB8DAB">
      <w:pPr>
        <w:pStyle w:val="87"/>
        <w:widowControl/>
        <w:numPr>
          <w:ilvl w:val="0"/>
          <w:numId w:val="0"/>
        </w:numPr>
        <w:spacing w:after="156"/>
        <w:rPr>
          <w:rFonts w:hint="eastAsia" w:ascii="宋体" w:hAnsi="宋体" w:eastAsia="宋体" w:cs="宋体"/>
          <w:b w:val="0"/>
          <w:bCs/>
          <w:color w:val="auto"/>
          <w:sz w:val="21"/>
          <w:szCs w:val="21"/>
          <w:highlight w:val="none"/>
        </w:rPr>
      </w:pPr>
      <w:bookmarkStart w:id="1305" w:name="_Toc26306"/>
      <w:bookmarkStart w:id="1306" w:name="_Toc8764"/>
      <w:bookmarkStart w:id="1307" w:name="_Toc5208"/>
      <w:bookmarkStart w:id="1308" w:name="_Toc14945"/>
      <w:bookmarkStart w:id="1309" w:name="_Toc29951"/>
      <w:bookmarkStart w:id="1310" w:name="_Toc27257"/>
      <w:bookmarkStart w:id="1311" w:name="_Ref11926629"/>
      <w:bookmarkStart w:id="1312" w:name="_Toc103175692"/>
      <w:bookmarkStart w:id="1313" w:name="_Ref11926631"/>
      <w:bookmarkStart w:id="1314" w:name="_Toc21018"/>
      <w:bookmarkStart w:id="1315" w:name="_Toc27034"/>
      <w:r>
        <w:rPr>
          <w:rFonts w:hint="eastAsia" w:ascii="宋体" w:hAnsi="宋体" w:eastAsia="宋体" w:cs="宋体"/>
          <w:b w:val="0"/>
          <w:bCs/>
          <w:color w:val="auto"/>
          <w:sz w:val="21"/>
          <w:szCs w:val="21"/>
          <w:highlight w:val="none"/>
        </w:rPr>
        <w:t>4.7 承包人现场查勘</w:t>
      </w:r>
      <w:bookmarkEnd w:id="1305"/>
      <w:bookmarkEnd w:id="1306"/>
      <w:bookmarkEnd w:id="1307"/>
      <w:bookmarkEnd w:id="1308"/>
      <w:bookmarkEnd w:id="1309"/>
      <w:bookmarkEnd w:id="1310"/>
      <w:bookmarkEnd w:id="1311"/>
      <w:bookmarkEnd w:id="1312"/>
      <w:bookmarkEnd w:id="1313"/>
      <w:bookmarkEnd w:id="1314"/>
      <w:bookmarkEnd w:id="1315"/>
    </w:p>
    <w:p w14:paraId="53BA8789">
      <w:pPr>
        <w:pStyle w:val="88"/>
        <w:numPr>
          <w:ilvl w:val="0"/>
          <w:numId w:val="0"/>
        </w:numPr>
        <w:spacing w:after="156"/>
        <w:rPr>
          <w:rFonts w:hint="eastAsia" w:cs="宋体"/>
          <w:color w:val="auto"/>
          <w:sz w:val="21"/>
          <w:highlight w:val="none"/>
        </w:rPr>
      </w:pPr>
      <w:r>
        <w:rPr>
          <w:rFonts w:hint="eastAsia" w:cs="宋体"/>
          <w:color w:val="auto"/>
          <w:sz w:val="21"/>
          <w:highlight w:val="none"/>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14:paraId="5CBCB5D2">
      <w:pPr>
        <w:pStyle w:val="88"/>
        <w:numPr>
          <w:ilvl w:val="0"/>
          <w:numId w:val="0"/>
        </w:numPr>
        <w:spacing w:after="156"/>
        <w:rPr>
          <w:rFonts w:hint="eastAsia" w:cs="宋体"/>
          <w:color w:val="auto"/>
          <w:sz w:val="21"/>
          <w:highlight w:val="none"/>
        </w:rPr>
      </w:pPr>
      <w:r>
        <w:rPr>
          <w:rFonts w:hint="eastAsia" w:cs="宋体"/>
          <w:color w:val="auto"/>
          <w:sz w:val="21"/>
          <w:highlight w:val="none"/>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14:paraId="236B3B74">
      <w:pPr>
        <w:pStyle w:val="87"/>
        <w:widowControl/>
        <w:numPr>
          <w:ilvl w:val="0"/>
          <w:numId w:val="0"/>
        </w:numPr>
        <w:spacing w:after="156"/>
        <w:rPr>
          <w:rFonts w:hint="eastAsia" w:ascii="宋体" w:hAnsi="宋体" w:eastAsia="宋体" w:cs="宋体"/>
          <w:b w:val="0"/>
          <w:bCs/>
          <w:color w:val="auto"/>
          <w:sz w:val="21"/>
          <w:szCs w:val="21"/>
          <w:highlight w:val="none"/>
        </w:rPr>
      </w:pPr>
      <w:bookmarkStart w:id="1316" w:name="_Toc9800"/>
      <w:bookmarkStart w:id="1317" w:name="_Toc513"/>
      <w:bookmarkStart w:id="1318" w:name="_Ref11918789"/>
      <w:bookmarkStart w:id="1319" w:name="_Toc1823"/>
      <w:bookmarkStart w:id="1320" w:name="_Toc10535"/>
      <w:bookmarkStart w:id="1321" w:name="_Ref11918626"/>
      <w:bookmarkStart w:id="1322" w:name="不可预见的困难"/>
      <w:bookmarkStart w:id="1323" w:name="_Ref11918693"/>
      <w:bookmarkStart w:id="1324" w:name="_Toc103175693"/>
      <w:bookmarkStart w:id="1325" w:name="_Toc12171"/>
      <w:bookmarkStart w:id="1326" w:name="_Toc21975"/>
      <w:bookmarkStart w:id="1327" w:name="_Toc8249"/>
      <w:bookmarkStart w:id="1328" w:name="_Toc17267"/>
      <w:r>
        <w:rPr>
          <w:rFonts w:hint="eastAsia" w:ascii="宋体" w:hAnsi="宋体" w:eastAsia="宋体" w:cs="宋体"/>
          <w:b w:val="0"/>
          <w:bCs/>
          <w:color w:val="auto"/>
          <w:sz w:val="21"/>
          <w:szCs w:val="21"/>
          <w:highlight w:val="none"/>
        </w:rPr>
        <w:t>4.8 不可预见的困难</w:t>
      </w:r>
      <w:bookmarkEnd w:id="1301"/>
      <w:bookmarkEnd w:id="1302"/>
      <w:bookmarkEnd w:id="1303"/>
      <w:bookmarkEnd w:id="1316"/>
      <w:bookmarkEnd w:id="1317"/>
      <w:bookmarkEnd w:id="1318"/>
      <w:bookmarkEnd w:id="1319"/>
      <w:bookmarkEnd w:id="1320"/>
      <w:bookmarkEnd w:id="1321"/>
      <w:bookmarkEnd w:id="1322"/>
      <w:bookmarkEnd w:id="1323"/>
      <w:bookmarkEnd w:id="1324"/>
      <w:bookmarkEnd w:id="1325"/>
      <w:bookmarkEnd w:id="1326"/>
      <w:bookmarkEnd w:id="1327"/>
      <w:bookmarkEnd w:id="1328"/>
      <w:r>
        <w:rPr>
          <w:rFonts w:hint="eastAsia" w:ascii="宋体" w:hAnsi="宋体" w:eastAsia="宋体" w:cs="宋体"/>
          <w:b w:val="0"/>
          <w:bCs/>
          <w:color w:val="auto"/>
          <w:sz w:val="21"/>
          <w:szCs w:val="21"/>
          <w:highlight w:val="none"/>
        </w:rPr>
        <w:t xml:space="preserve"> </w:t>
      </w:r>
    </w:p>
    <w:p w14:paraId="535F8AEE">
      <w:pPr>
        <w:ind w:firstLine="600"/>
        <w:rPr>
          <w:rFonts w:hint="eastAsia" w:ascii="宋体" w:hAnsi="宋体" w:cs="宋体"/>
          <w:color w:val="auto"/>
          <w:szCs w:val="21"/>
          <w:highlight w:val="none"/>
        </w:rPr>
      </w:pPr>
      <w:r>
        <w:rPr>
          <w:rFonts w:hint="eastAsia" w:ascii="宋体" w:hAnsi="宋体" w:cs="宋体"/>
          <w:color w:val="auto"/>
          <w:szCs w:val="21"/>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497C32D1">
      <w:pPr>
        <w:ind w:firstLine="600"/>
        <w:rPr>
          <w:rFonts w:hint="eastAsia" w:ascii="宋体" w:hAnsi="宋体" w:cs="宋体"/>
          <w:color w:val="auto"/>
          <w:szCs w:val="21"/>
          <w:highlight w:val="none"/>
        </w:rPr>
      </w:pPr>
      <w:r>
        <w:rPr>
          <w:rFonts w:hint="eastAsia" w:ascii="宋体" w:hAnsi="宋体" w:cs="宋体"/>
          <w:color w:val="auto"/>
          <w:szCs w:val="21"/>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14:paraId="6849B23B">
      <w:pPr>
        <w:pStyle w:val="87"/>
        <w:widowControl/>
        <w:numPr>
          <w:ilvl w:val="0"/>
          <w:numId w:val="0"/>
        </w:numPr>
        <w:spacing w:after="156"/>
        <w:rPr>
          <w:rFonts w:hint="eastAsia" w:ascii="宋体" w:hAnsi="宋体" w:eastAsia="宋体" w:cs="宋体"/>
          <w:b w:val="0"/>
          <w:bCs/>
          <w:color w:val="auto"/>
          <w:sz w:val="21"/>
          <w:szCs w:val="21"/>
          <w:highlight w:val="none"/>
        </w:rPr>
      </w:pPr>
      <w:bookmarkStart w:id="1329" w:name="_Toc2122"/>
      <w:bookmarkStart w:id="1330" w:name="_Ref11926570"/>
      <w:bookmarkStart w:id="1331" w:name="_Toc1616"/>
      <w:bookmarkStart w:id="1332" w:name="_Ref11926566"/>
      <w:bookmarkStart w:id="1333" w:name="_Toc103175694"/>
      <w:bookmarkStart w:id="1334" w:name="_Toc5303"/>
      <w:bookmarkStart w:id="1335" w:name="_Toc23348"/>
      <w:bookmarkStart w:id="1336" w:name="_Toc10163"/>
      <w:bookmarkStart w:id="1337" w:name="_Toc17903"/>
      <w:bookmarkStart w:id="1338" w:name="_Toc4739"/>
      <w:bookmarkStart w:id="1339" w:name="_Toc23719"/>
      <w:r>
        <w:rPr>
          <w:rFonts w:hint="eastAsia" w:ascii="宋体" w:hAnsi="宋体" w:eastAsia="宋体" w:cs="宋体"/>
          <w:b w:val="0"/>
          <w:bCs/>
          <w:color w:val="auto"/>
          <w:sz w:val="21"/>
          <w:szCs w:val="21"/>
          <w:highlight w:val="none"/>
        </w:rPr>
        <w:t>4.9 工程质量管理</w:t>
      </w:r>
      <w:bookmarkEnd w:id="1329"/>
      <w:bookmarkEnd w:id="1330"/>
      <w:bookmarkEnd w:id="1331"/>
      <w:bookmarkEnd w:id="1332"/>
      <w:bookmarkEnd w:id="1333"/>
      <w:bookmarkEnd w:id="1334"/>
      <w:bookmarkEnd w:id="1335"/>
      <w:bookmarkEnd w:id="1336"/>
      <w:bookmarkEnd w:id="1337"/>
      <w:bookmarkEnd w:id="1338"/>
      <w:bookmarkEnd w:id="1339"/>
    </w:p>
    <w:p w14:paraId="3181C3BB">
      <w:pPr>
        <w:pStyle w:val="88"/>
        <w:numPr>
          <w:ilvl w:val="0"/>
          <w:numId w:val="0"/>
        </w:numPr>
        <w:spacing w:after="156"/>
        <w:rPr>
          <w:rFonts w:hint="eastAsia" w:cs="宋体"/>
          <w:color w:val="auto"/>
          <w:sz w:val="21"/>
          <w:highlight w:val="none"/>
        </w:rPr>
      </w:pPr>
      <w:r>
        <w:rPr>
          <w:rFonts w:hint="eastAsia" w:cs="宋体"/>
          <w:color w:val="auto"/>
          <w:sz w:val="21"/>
          <w:highlight w:val="none"/>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06C79CB7">
      <w:pPr>
        <w:pStyle w:val="88"/>
        <w:numPr>
          <w:ilvl w:val="0"/>
          <w:numId w:val="0"/>
        </w:numPr>
        <w:spacing w:after="156"/>
        <w:rPr>
          <w:rFonts w:hint="eastAsia" w:cs="宋体"/>
          <w:color w:val="auto"/>
          <w:sz w:val="21"/>
          <w:highlight w:val="none"/>
        </w:rPr>
      </w:pPr>
      <w:r>
        <w:rPr>
          <w:rFonts w:hint="eastAsia" w:cs="宋体"/>
          <w:color w:val="auto"/>
          <w:sz w:val="21"/>
          <w:highlight w:val="none"/>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14:paraId="25DD9C3C">
      <w:pPr>
        <w:pStyle w:val="88"/>
        <w:numPr>
          <w:ilvl w:val="0"/>
          <w:numId w:val="0"/>
        </w:numPr>
        <w:spacing w:after="156"/>
        <w:rPr>
          <w:rFonts w:hint="eastAsia" w:cs="宋体"/>
          <w:color w:val="auto"/>
          <w:sz w:val="21"/>
          <w:highlight w:val="none"/>
        </w:rPr>
      </w:pPr>
      <w:r>
        <w:rPr>
          <w:rFonts w:hint="eastAsia" w:cs="宋体"/>
          <w:color w:val="auto"/>
          <w:sz w:val="21"/>
          <w:highlight w:val="none"/>
        </w:rPr>
        <w:t>4.9.3 承包人应对其人员进行质量教育和技术培训，定期考核人员的劳动技能，严格执行相关规范和操作规程。</w:t>
      </w:r>
    </w:p>
    <w:p w14:paraId="7BE85F8F">
      <w:pPr>
        <w:pStyle w:val="88"/>
        <w:numPr>
          <w:ilvl w:val="0"/>
          <w:numId w:val="0"/>
        </w:numPr>
        <w:spacing w:after="156"/>
        <w:rPr>
          <w:rFonts w:hint="eastAsia" w:cs="宋体"/>
          <w:color w:val="auto"/>
          <w:sz w:val="21"/>
          <w:highlight w:val="none"/>
        </w:rPr>
      </w:pPr>
      <w:r>
        <w:rPr>
          <w:rFonts w:hint="eastAsia" w:cs="宋体"/>
          <w:color w:val="auto"/>
          <w:sz w:val="21"/>
          <w:highlight w:val="none"/>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4C6D8019">
      <w:pPr>
        <w:pStyle w:val="86"/>
        <w:numPr>
          <w:ilvl w:val="0"/>
          <w:numId w:val="0"/>
        </w:numPr>
        <w:rPr>
          <w:rFonts w:hint="eastAsia" w:ascii="宋体" w:hAnsi="宋体" w:eastAsia="宋体" w:cs="宋体"/>
          <w:b w:val="0"/>
          <w:color w:val="auto"/>
          <w:sz w:val="21"/>
          <w:szCs w:val="21"/>
          <w:highlight w:val="none"/>
        </w:rPr>
      </w:pPr>
      <w:bookmarkStart w:id="1340" w:name="_Toc26747"/>
      <w:bookmarkStart w:id="1341" w:name="_Toc16678"/>
      <w:bookmarkStart w:id="1342" w:name="_Toc103175695"/>
      <w:bookmarkStart w:id="1343" w:name="_Toc28082"/>
      <w:bookmarkStart w:id="1344" w:name="_Toc29419"/>
      <w:bookmarkStart w:id="1345" w:name="_Toc19525"/>
      <w:bookmarkStart w:id="1346" w:name="_Toc19182"/>
      <w:bookmarkStart w:id="1347" w:name="_Toc2154"/>
      <w:bookmarkStart w:id="1348" w:name="_Toc9109"/>
      <w:bookmarkStart w:id="1349" w:name="_Toc5675"/>
      <w:bookmarkStart w:id="1350" w:name="_Toc19728"/>
      <w:bookmarkStart w:id="1351" w:name="_Ref531952837"/>
      <w:r>
        <w:rPr>
          <w:rFonts w:hint="eastAsia" w:ascii="宋体" w:hAnsi="宋体" w:eastAsia="宋体" w:cs="宋体"/>
          <w:b w:val="0"/>
          <w:color w:val="auto"/>
          <w:sz w:val="21"/>
          <w:szCs w:val="21"/>
          <w:highlight w:val="none"/>
        </w:rPr>
        <w:t>第5条 设计</w:t>
      </w:r>
      <w:bookmarkEnd w:id="1340"/>
      <w:bookmarkEnd w:id="1341"/>
      <w:bookmarkEnd w:id="1342"/>
      <w:bookmarkEnd w:id="1343"/>
      <w:bookmarkEnd w:id="1344"/>
      <w:bookmarkEnd w:id="1345"/>
      <w:bookmarkEnd w:id="1346"/>
      <w:bookmarkEnd w:id="1347"/>
      <w:bookmarkEnd w:id="1348"/>
      <w:bookmarkEnd w:id="1349"/>
      <w:bookmarkEnd w:id="1350"/>
      <w:bookmarkEnd w:id="1351"/>
    </w:p>
    <w:p w14:paraId="231C237E">
      <w:pPr>
        <w:pStyle w:val="87"/>
        <w:widowControl/>
        <w:numPr>
          <w:ilvl w:val="0"/>
          <w:numId w:val="0"/>
        </w:numPr>
        <w:spacing w:after="156"/>
        <w:rPr>
          <w:rFonts w:hint="eastAsia" w:ascii="宋体" w:hAnsi="宋体" w:eastAsia="宋体" w:cs="宋体"/>
          <w:b w:val="0"/>
          <w:bCs/>
          <w:color w:val="auto"/>
          <w:sz w:val="21"/>
          <w:szCs w:val="21"/>
          <w:highlight w:val="none"/>
        </w:rPr>
      </w:pPr>
      <w:bookmarkStart w:id="1352" w:name="_Toc11023"/>
      <w:bookmarkStart w:id="1353" w:name="_Ref531952860"/>
      <w:bookmarkStart w:id="1354" w:name="_Toc21374"/>
      <w:bookmarkStart w:id="1355" w:name="_Toc28129"/>
      <w:bookmarkStart w:id="1356" w:name="_Ref531952863"/>
      <w:bookmarkStart w:id="1357" w:name="_Toc19465"/>
      <w:bookmarkStart w:id="1358" w:name="_Toc103175696"/>
      <w:bookmarkStart w:id="1359" w:name="_Toc29965"/>
      <w:bookmarkStart w:id="1360" w:name="_Toc31304"/>
      <w:bookmarkStart w:id="1361" w:name="_Toc13096"/>
      <w:r>
        <w:rPr>
          <w:rFonts w:hint="eastAsia" w:ascii="宋体" w:hAnsi="宋体" w:eastAsia="宋体" w:cs="宋体"/>
          <w:b w:val="0"/>
          <w:bCs/>
          <w:color w:val="auto"/>
          <w:sz w:val="21"/>
          <w:szCs w:val="21"/>
          <w:highlight w:val="none"/>
        </w:rPr>
        <w:t>5.1 承包人的设计义务</w:t>
      </w:r>
      <w:bookmarkEnd w:id="1352"/>
      <w:bookmarkEnd w:id="1353"/>
      <w:bookmarkEnd w:id="1354"/>
      <w:bookmarkEnd w:id="1355"/>
      <w:bookmarkEnd w:id="1356"/>
      <w:bookmarkEnd w:id="1357"/>
      <w:bookmarkEnd w:id="1358"/>
      <w:bookmarkEnd w:id="1359"/>
      <w:bookmarkEnd w:id="1360"/>
      <w:bookmarkEnd w:id="1361"/>
      <w:r>
        <w:rPr>
          <w:rFonts w:hint="eastAsia" w:ascii="宋体" w:hAnsi="宋体" w:eastAsia="宋体" w:cs="宋体"/>
          <w:b w:val="0"/>
          <w:bCs/>
          <w:color w:val="auto"/>
          <w:sz w:val="21"/>
          <w:szCs w:val="21"/>
          <w:highlight w:val="none"/>
        </w:rPr>
        <w:t xml:space="preserve"> </w:t>
      </w:r>
    </w:p>
    <w:p w14:paraId="3235CD77">
      <w:pPr>
        <w:pStyle w:val="88"/>
        <w:numPr>
          <w:ilvl w:val="0"/>
          <w:numId w:val="0"/>
        </w:numPr>
        <w:spacing w:after="156"/>
        <w:rPr>
          <w:rFonts w:hint="eastAsia" w:cs="宋体"/>
          <w:color w:val="auto"/>
          <w:sz w:val="21"/>
          <w:highlight w:val="none"/>
        </w:rPr>
      </w:pPr>
      <w:bookmarkStart w:id="1362" w:name="_Ref531952881"/>
      <w:r>
        <w:rPr>
          <w:rFonts w:hint="eastAsia" w:cs="宋体"/>
          <w:color w:val="auto"/>
          <w:sz w:val="21"/>
          <w:highlight w:val="none"/>
        </w:rPr>
        <w:t>5.1.1 设计义务的一般要求</w:t>
      </w:r>
      <w:bookmarkEnd w:id="1362"/>
    </w:p>
    <w:p w14:paraId="0CBE9E61">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14:paraId="608CB1B2">
      <w:pPr>
        <w:pStyle w:val="88"/>
        <w:numPr>
          <w:ilvl w:val="0"/>
          <w:numId w:val="0"/>
        </w:numPr>
        <w:spacing w:after="156"/>
        <w:rPr>
          <w:rFonts w:hint="eastAsia" w:cs="宋体"/>
          <w:color w:val="auto"/>
          <w:sz w:val="21"/>
          <w:highlight w:val="none"/>
        </w:rPr>
      </w:pPr>
      <w:bookmarkStart w:id="1363" w:name="_Ref531952952"/>
      <w:bookmarkStart w:id="1364" w:name="_Ref531952899"/>
      <w:r>
        <w:rPr>
          <w:rFonts w:hint="eastAsia" w:cs="宋体"/>
          <w:color w:val="auto"/>
          <w:sz w:val="21"/>
          <w:highlight w:val="none"/>
        </w:rPr>
        <w:t>5.1.2 对设计人员的要求</w:t>
      </w:r>
      <w:bookmarkEnd w:id="1363"/>
    </w:p>
    <w:p w14:paraId="4A536657">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1364"/>
    <w:p w14:paraId="0495E0FE">
      <w:pPr>
        <w:pStyle w:val="88"/>
        <w:numPr>
          <w:ilvl w:val="0"/>
          <w:numId w:val="0"/>
        </w:numPr>
        <w:spacing w:after="156"/>
        <w:rPr>
          <w:rFonts w:hint="eastAsia" w:cs="宋体"/>
          <w:color w:val="auto"/>
          <w:sz w:val="21"/>
          <w:highlight w:val="none"/>
        </w:rPr>
      </w:pPr>
      <w:r>
        <w:rPr>
          <w:rFonts w:hint="eastAsia" w:cs="宋体"/>
          <w:color w:val="auto"/>
          <w:sz w:val="21"/>
          <w:highlight w:val="none"/>
        </w:rPr>
        <w:t>5.1.3 法律和标准的变化</w:t>
      </w:r>
    </w:p>
    <w:p w14:paraId="016D414B">
      <w:pPr>
        <w:ind w:firstLine="600"/>
        <w:rPr>
          <w:rFonts w:hint="eastAsia" w:ascii="宋体" w:hAnsi="宋体" w:cs="宋体"/>
          <w:color w:val="auto"/>
          <w:szCs w:val="21"/>
          <w:highlight w:val="none"/>
        </w:rPr>
      </w:pPr>
      <w:r>
        <w:rPr>
          <w:rFonts w:hint="eastAsia" w:ascii="宋体" w:hAnsi="宋体" w:cs="宋体"/>
          <w:color w:val="auto"/>
          <w:szCs w:val="21"/>
          <w:highlight w:val="none"/>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14:paraId="4F4C3FB3">
      <w:pPr>
        <w:ind w:firstLine="600"/>
        <w:rPr>
          <w:rFonts w:hint="eastAsia" w:ascii="宋体" w:hAnsi="宋体" w:cs="宋体"/>
          <w:color w:val="auto"/>
          <w:szCs w:val="21"/>
          <w:highlight w:val="none"/>
        </w:rPr>
      </w:pPr>
      <w:r>
        <w:rPr>
          <w:rFonts w:hint="eastAsia" w:ascii="宋体" w:hAnsi="宋体" w:cs="宋体"/>
          <w:color w:val="auto"/>
          <w:szCs w:val="21"/>
          <w:highlight w:val="none"/>
        </w:rPr>
        <w:t>在基准日期之后，因国家颁布新的强制性规范、标准导致承包人的费用变化的，发包人应合理调整合同价格；导致工期延误的，发包人应合理延长工期。</w:t>
      </w:r>
    </w:p>
    <w:p w14:paraId="6FFC4153">
      <w:pPr>
        <w:pStyle w:val="87"/>
        <w:widowControl/>
        <w:numPr>
          <w:ilvl w:val="0"/>
          <w:numId w:val="0"/>
        </w:numPr>
        <w:spacing w:after="156"/>
        <w:rPr>
          <w:rFonts w:hint="eastAsia" w:ascii="宋体" w:hAnsi="宋体" w:eastAsia="宋体" w:cs="宋体"/>
          <w:b w:val="0"/>
          <w:bCs/>
          <w:color w:val="auto"/>
          <w:sz w:val="21"/>
          <w:szCs w:val="21"/>
          <w:highlight w:val="none"/>
        </w:rPr>
      </w:pPr>
      <w:bookmarkStart w:id="1365" w:name="_Ref531953054"/>
      <w:bookmarkStart w:id="1366" w:name="_Toc2949"/>
      <w:bookmarkStart w:id="1367" w:name="_Toc103175697"/>
      <w:bookmarkStart w:id="1368" w:name="_Toc5311"/>
      <w:bookmarkStart w:id="1369" w:name="_Toc16365"/>
      <w:bookmarkStart w:id="1370" w:name="_Toc4179"/>
      <w:bookmarkStart w:id="1371" w:name="_Toc21195"/>
      <w:bookmarkStart w:id="1372" w:name="_Toc20322"/>
      <w:bookmarkStart w:id="1373" w:name="_Toc19738"/>
      <w:bookmarkStart w:id="1374" w:name="_Toc32196"/>
      <w:bookmarkStart w:id="1375" w:name="_Ref531953051"/>
      <w:r>
        <w:rPr>
          <w:rFonts w:hint="eastAsia" w:ascii="宋体" w:hAnsi="宋体" w:eastAsia="宋体" w:cs="宋体"/>
          <w:b w:val="0"/>
          <w:bCs/>
          <w:color w:val="auto"/>
          <w:sz w:val="21"/>
          <w:szCs w:val="21"/>
          <w:highlight w:val="none"/>
        </w:rPr>
        <w:t>5.2 承包人文件审查</w:t>
      </w:r>
      <w:bookmarkEnd w:id="1365"/>
      <w:bookmarkEnd w:id="1366"/>
      <w:bookmarkEnd w:id="1367"/>
      <w:bookmarkEnd w:id="1368"/>
      <w:bookmarkEnd w:id="1369"/>
      <w:bookmarkEnd w:id="1370"/>
      <w:bookmarkEnd w:id="1371"/>
      <w:bookmarkEnd w:id="1372"/>
      <w:bookmarkEnd w:id="1373"/>
      <w:bookmarkEnd w:id="1374"/>
      <w:bookmarkEnd w:id="1375"/>
      <w:r>
        <w:rPr>
          <w:rFonts w:hint="eastAsia" w:ascii="宋体" w:hAnsi="宋体" w:eastAsia="宋体" w:cs="宋体"/>
          <w:b w:val="0"/>
          <w:bCs/>
          <w:color w:val="auto"/>
          <w:sz w:val="21"/>
          <w:szCs w:val="21"/>
          <w:highlight w:val="none"/>
        </w:rPr>
        <w:t xml:space="preserve"> </w:t>
      </w:r>
    </w:p>
    <w:p w14:paraId="4A738489">
      <w:pPr>
        <w:pStyle w:val="88"/>
        <w:numPr>
          <w:ilvl w:val="0"/>
          <w:numId w:val="0"/>
        </w:numPr>
        <w:spacing w:after="156"/>
        <w:rPr>
          <w:rFonts w:hint="eastAsia" w:cs="宋体"/>
          <w:color w:val="auto"/>
          <w:sz w:val="21"/>
          <w:highlight w:val="none"/>
        </w:rPr>
      </w:pPr>
      <w:bookmarkStart w:id="1376" w:name="_Ref531953064"/>
      <w:r>
        <w:rPr>
          <w:rFonts w:hint="eastAsia" w:cs="宋体"/>
          <w:color w:val="auto"/>
          <w:sz w:val="21"/>
          <w:highlight w:val="none"/>
        </w:rPr>
        <w:t>5.2.1 根据《发包人要求》应当通过工程师报发包人审查同意的承包人文件，承包人应当按照《发包人要求》约定的范围和内容及时报送审查。</w:t>
      </w:r>
      <w:bookmarkEnd w:id="1376"/>
    </w:p>
    <w:p w14:paraId="30744D0B">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14:paraId="7D39CB92">
      <w:pPr>
        <w:ind w:firstLine="600"/>
        <w:rPr>
          <w:rFonts w:hint="eastAsia" w:ascii="宋体" w:hAnsi="宋体" w:cs="宋体"/>
          <w:color w:val="auto"/>
          <w:szCs w:val="21"/>
          <w:highlight w:val="none"/>
        </w:rPr>
      </w:pPr>
      <w:r>
        <w:rPr>
          <w:rFonts w:hint="eastAsia" w:ascii="宋体" w:hAnsi="宋体" w:cs="宋体"/>
          <w:color w:val="auto"/>
          <w:szCs w:val="21"/>
          <w:highlight w:val="none"/>
        </w:rPr>
        <w:t>发包人同意承包人文件的，应及时通知承包人，发包人不同意承包人文件的，应在审查期限内通过工程师以书面形式通知承包人，并说明不同意的具体内容和理由。</w:t>
      </w:r>
    </w:p>
    <w:p w14:paraId="5B7B9E8A">
      <w:pPr>
        <w:ind w:firstLine="600"/>
        <w:rPr>
          <w:rFonts w:hint="eastAsia" w:ascii="宋体" w:hAnsi="宋体" w:cs="宋体"/>
          <w:color w:val="auto"/>
          <w:szCs w:val="21"/>
          <w:highlight w:val="none"/>
        </w:rPr>
      </w:pPr>
      <w:r>
        <w:rPr>
          <w:rFonts w:hint="eastAsia" w:ascii="宋体" w:hAnsi="宋体" w:cs="宋体"/>
          <w:color w:val="auto"/>
          <w:szCs w:val="21"/>
          <w:highlight w:val="none"/>
        </w:rPr>
        <w:t>承包人对发包人的意见按以下方式处理：</w:t>
      </w:r>
    </w:p>
    <w:p w14:paraId="05989A2C">
      <w:pPr>
        <w:ind w:firstLine="600"/>
        <w:rPr>
          <w:rFonts w:hint="eastAsia" w:ascii="宋体" w:hAnsi="宋体" w:cs="宋体"/>
          <w:color w:val="auto"/>
          <w:szCs w:val="21"/>
          <w:highlight w:val="none"/>
        </w:rPr>
      </w:pPr>
      <w:r>
        <w:rPr>
          <w:rFonts w:hint="eastAsia" w:ascii="宋体" w:hAnsi="宋体" w:cs="宋体"/>
          <w:color w:val="auto"/>
          <w:szCs w:val="21"/>
          <w:highlight w:val="none"/>
        </w:rPr>
        <w:t>（1） 发包人的意见构成变更的，承包人应在7天内通知发包人按照第13条[变更与调整]中关于发包人指示变更的约定执行，双方对是否构成变更无法达成一致的，按照第20条[争议解决]的约定执行；</w:t>
      </w:r>
    </w:p>
    <w:p w14:paraId="30E47C86">
      <w:pPr>
        <w:ind w:firstLine="600"/>
        <w:rPr>
          <w:rFonts w:hint="eastAsia" w:ascii="宋体" w:hAnsi="宋体" w:cs="宋体"/>
          <w:color w:val="auto"/>
          <w:szCs w:val="21"/>
          <w:highlight w:val="none"/>
        </w:rPr>
      </w:pPr>
      <w:r>
        <w:rPr>
          <w:rFonts w:hint="eastAsia" w:ascii="宋体" w:hAnsi="宋体" w:cs="宋体"/>
          <w:color w:val="auto"/>
          <w:szCs w:val="21"/>
          <w:highlight w:val="none"/>
        </w:rPr>
        <w:t>（2） 因承包人原因导致无法通过审查的，承包人应根据发包人的书面说明，对承包人文件进行修改后重新报送发包人审查，审查期重新起算。因此引起的工期延长和必要的工程费用增加，由承包人负责。</w:t>
      </w:r>
    </w:p>
    <w:p w14:paraId="138E4C2E">
      <w:pPr>
        <w:ind w:firstLine="600"/>
        <w:rPr>
          <w:rFonts w:hint="eastAsia" w:ascii="宋体" w:hAnsi="宋体" w:cs="宋体"/>
          <w:color w:val="auto"/>
          <w:szCs w:val="21"/>
          <w:highlight w:val="none"/>
        </w:rPr>
      </w:pPr>
      <w:r>
        <w:rPr>
          <w:rFonts w:hint="eastAsia" w:ascii="宋体" w:hAnsi="宋体" w:cs="宋体"/>
          <w:color w:val="auto"/>
          <w:szCs w:val="21"/>
          <w:highlight w:val="none"/>
        </w:rPr>
        <w:t>合同约定的审查期满，发包人没有做出审查结论也没有提出异议的，视为承包人文件已获发包人同意。</w:t>
      </w:r>
    </w:p>
    <w:p w14:paraId="3365E6C9">
      <w:pPr>
        <w:ind w:firstLine="600"/>
        <w:rPr>
          <w:rFonts w:hint="eastAsia" w:ascii="宋体" w:hAnsi="宋体" w:cs="宋体"/>
          <w:color w:val="auto"/>
          <w:szCs w:val="21"/>
          <w:highlight w:val="none"/>
        </w:rPr>
      </w:pPr>
      <w:r>
        <w:rPr>
          <w:rFonts w:hint="eastAsia" w:ascii="宋体" w:hAnsi="宋体" w:cs="宋体"/>
          <w:color w:val="auto"/>
          <w:szCs w:val="21"/>
          <w:highlight w:val="none"/>
        </w:rPr>
        <w:t>发包人对承包人文件的审查和同意不得被理解为对合同的修改或改变，也并不减轻或免除承包人任何的责任和义务。</w:t>
      </w:r>
    </w:p>
    <w:p w14:paraId="22335594">
      <w:pPr>
        <w:pStyle w:val="88"/>
        <w:numPr>
          <w:ilvl w:val="0"/>
          <w:numId w:val="0"/>
        </w:numPr>
        <w:spacing w:after="156"/>
        <w:rPr>
          <w:rFonts w:hint="eastAsia" w:cs="宋体"/>
          <w:color w:val="auto"/>
          <w:sz w:val="21"/>
          <w:highlight w:val="none"/>
        </w:rPr>
      </w:pPr>
      <w:r>
        <w:rPr>
          <w:rFonts w:hint="eastAsia" w:cs="宋体"/>
          <w:color w:val="auto"/>
          <w:sz w:val="21"/>
          <w:highlight w:val="none"/>
        </w:rPr>
        <w:t>5.2.2 承包人文件不需要政府有关部门或专用合同条件约定的第三方审查单位审查或批准的，承包人应当严格按照经发包人审查同意的承包人文件设计和实施工程。</w:t>
      </w:r>
    </w:p>
    <w:p w14:paraId="4A0432C2">
      <w:pPr>
        <w:ind w:firstLine="600"/>
        <w:rPr>
          <w:rFonts w:hint="eastAsia" w:ascii="宋体" w:hAnsi="宋体" w:cs="宋体"/>
          <w:color w:val="auto"/>
          <w:szCs w:val="21"/>
          <w:highlight w:val="none"/>
        </w:rPr>
      </w:pPr>
      <w:r>
        <w:rPr>
          <w:rFonts w:hint="eastAsia" w:ascii="宋体" w:hAnsi="宋体" w:cs="宋体"/>
          <w:color w:val="auto"/>
          <w:szCs w:val="21"/>
          <w:highlight w:val="none"/>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14:paraId="6A75C774">
      <w:pPr>
        <w:ind w:firstLine="600"/>
        <w:rPr>
          <w:rFonts w:hint="eastAsia" w:ascii="宋体" w:hAnsi="宋体" w:cs="宋体"/>
          <w:color w:val="auto"/>
          <w:szCs w:val="21"/>
          <w:highlight w:val="none"/>
        </w:rPr>
      </w:pPr>
      <w:r>
        <w:rPr>
          <w:rFonts w:hint="eastAsia" w:ascii="宋体" w:hAnsi="宋体" w:cs="宋体"/>
          <w:color w:val="auto"/>
          <w:szCs w:val="21"/>
          <w:highlight w:val="none"/>
        </w:rPr>
        <w:t>发包人有义务向承包人提供审查会议的批准文件和纪要。承包人有义务按照相关审查会议批准的文件和纪要，并依据合同约定及相关技术标准，对承包人文件进行修改、补充和完善。</w:t>
      </w:r>
    </w:p>
    <w:p w14:paraId="2B095AB9">
      <w:pPr>
        <w:pStyle w:val="88"/>
        <w:numPr>
          <w:ilvl w:val="0"/>
          <w:numId w:val="0"/>
        </w:numPr>
        <w:spacing w:after="156"/>
        <w:rPr>
          <w:rFonts w:hint="eastAsia" w:cs="宋体"/>
          <w:color w:val="auto"/>
          <w:sz w:val="21"/>
          <w:highlight w:val="none"/>
        </w:rPr>
      </w:pPr>
      <w:bookmarkStart w:id="1377" w:name="_Ref531953074"/>
      <w:r>
        <w:rPr>
          <w:rFonts w:hint="eastAsia" w:cs="宋体"/>
          <w:color w:val="auto"/>
          <w:sz w:val="21"/>
          <w:highlight w:val="none"/>
        </w:rPr>
        <w:t>5.2.3 承包人文件需政府有关部门或专用合同条件约定的第三方审查单位审查或批准的，发包人应在发包人审查同意承包人文件后7天内，向政府有关部门或第三方报送承包人文件，承包人应予以协助。</w:t>
      </w:r>
      <w:bookmarkEnd w:id="1377"/>
    </w:p>
    <w:p w14:paraId="154B2B06">
      <w:pPr>
        <w:ind w:firstLine="600"/>
        <w:rPr>
          <w:rFonts w:hint="eastAsia" w:ascii="宋体" w:hAnsi="宋体" w:cs="宋体"/>
          <w:color w:val="auto"/>
          <w:szCs w:val="21"/>
          <w:highlight w:val="none"/>
        </w:rPr>
      </w:pPr>
      <w:r>
        <w:rPr>
          <w:rFonts w:hint="eastAsia" w:ascii="宋体" w:hAnsi="宋体" w:cs="宋体"/>
          <w:color w:val="auto"/>
          <w:szCs w:val="21"/>
          <w:highlight w:val="none"/>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14:paraId="79F5B5C3">
      <w:pPr>
        <w:ind w:firstLine="600"/>
        <w:rPr>
          <w:rFonts w:hint="eastAsia" w:ascii="宋体" w:hAnsi="宋体" w:cs="宋体"/>
          <w:color w:val="auto"/>
          <w:szCs w:val="21"/>
          <w:highlight w:val="none"/>
        </w:rPr>
      </w:pPr>
      <w:r>
        <w:rPr>
          <w:rFonts w:hint="eastAsia" w:ascii="宋体" w:hAnsi="宋体" w:cs="宋体"/>
          <w:color w:val="auto"/>
          <w:szCs w:val="21"/>
          <w:highlight w:val="none"/>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14:paraId="42562FBA">
      <w:pPr>
        <w:pStyle w:val="87"/>
        <w:widowControl/>
        <w:numPr>
          <w:ilvl w:val="0"/>
          <w:numId w:val="0"/>
        </w:numPr>
        <w:spacing w:after="156"/>
        <w:rPr>
          <w:rFonts w:hint="eastAsia" w:ascii="宋体" w:hAnsi="宋体" w:eastAsia="宋体" w:cs="宋体"/>
          <w:b w:val="0"/>
          <w:bCs/>
          <w:color w:val="auto"/>
          <w:sz w:val="21"/>
          <w:szCs w:val="21"/>
          <w:highlight w:val="none"/>
        </w:rPr>
      </w:pPr>
      <w:bookmarkStart w:id="1378" w:name="_Toc29843"/>
      <w:bookmarkStart w:id="1379" w:name="_Toc12607"/>
      <w:bookmarkStart w:id="1380" w:name="_Toc8624"/>
      <w:bookmarkStart w:id="1381" w:name="_Toc26012"/>
      <w:bookmarkStart w:id="1382" w:name="_Ref531953097"/>
      <w:bookmarkStart w:id="1383" w:name="_Toc2585"/>
      <w:bookmarkStart w:id="1384" w:name="_Ref531953095"/>
      <w:bookmarkStart w:id="1385" w:name="_Toc32423"/>
      <w:bookmarkStart w:id="1386" w:name="_Toc18296"/>
      <w:bookmarkStart w:id="1387" w:name="_Toc1742"/>
      <w:bookmarkStart w:id="1388" w:name="_Toc103175698"/>
      <w:r>
        <w:rPr>
          <w:rFonts w:hint="eastAsia" w:ascii="宋体" w:hAnsi="宋体" w:eastAsia="宋体" w:cs="宋体"/>
          <w:b w:val="0"/>
          <w:bCs/>
          <w:color w:val="auto"/>
          <w:sz w:val="21"/>
          <w:szCs w:val="21"/>
          <w:highlight w:val="none"/>
        </w:rPr>
        <w:t>5.3 培训</w:t>
      </w:r>
      <w:bookmarkEnd w:id="1378"/>
      <w:bookmarkEnd w:id="1379"/>
      <w:bookmarkEnd w:id="1380"/>
      <w:bookmarkEnd w:id="1381"/>
      <w:bookmarkEnd w:id="1382"/>
      <w:bookmarkEnd w:id="1383"/>
      <w:bookmarkEnd w:id="1384"/>
      <w:bookmarkEnd w:id="1385"/>
      <w:bookmarkEnd w:id="1386"/>
      <w:bookmarkEnd w:id="1387"/>
      <w:bookmarkEnd w:id="1388"/>
    </w:p>
    <w:p w14:paraId="6E79463E">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14:paraId="5DA0A8BD">
      <w:pPr>
        <w:ind w:firstLine="600"/>
        <w:rPr>
          <w:rFonts w:hint="eastAsia" w:ascii="宋体" w:hAnsi="宋体" w:cs="宋体"/>
          <w:color w:val="auto"/>
          <w:szCs w:val="21"/>
          <w:highlight w:val="none"/>
        </w:rPr>
      </w:pPr>
      <w:r>
        <w:rPr>
          <w:rFonts w:hint="eastAsia" w:ascii="宋体" w:hAnsi="宋体" w:cs="宋体"/>
          <w:color w:val="auto"/>
          <w:szCs w:val="21"/>
          <w:highlight w:val="none"/>
        </w:rPr>
        <w:t>培训的时长应由双方在专用合同条件中约定，承包人应为培训提供有经验的人员、设施和其它必要条件。</w:t>
      </w:r>
    </w:p>
    <w:p w14:paraId="76374A4D">
      <w:pPr>
        <w:pStyle w:val="87"/>
        <w:widowControl/>
        <w:numPr>
          <w:ilvl w:val="0"/>
          <w:numId w:val="0"/>
        </w:numPr>
        <w:spacing w:after="156"/>
        <w:rPr>
          <w:rFonts w:hint="eastAsia" w:ascii="宋体" w:hAnsi="宋体" w:eastAsia="宋体" w:cs="宋体"/>
          <w:b w:val="0"/>
          <w:bCs/>
          <w:color w:val="auto"/>
          <w:sz w:val="21"/>
          <w:szCs w:val="21"/>
          <w:highlight w:val="none"/>
        </w:rPr>
      </w:pPr>
      <w:bookmarkStart w:id="1389" w:name="_Toc17451"/>
      <w:bookmarkStart w:id="1390" w:name="_Toc31599"/>
      <w:bookmarkStart w:id="1391" w:name="_Ref531953108"/>
      <w:bookmarkStart w:id="1392" w:name="_Toc28992"/>
      <w:bookmarkStart w:id="1393" w:name="_Toc5722"/>
      <w:bookmarkStart w:id="1394" w:name="_Toc21608"/>
      <w:bookmarkStart w:id="1395" w:name="_Toc16913"/>
      <w:bookmarkStart w:id="1396" w:name="_Toc21441"/>
      <w:bookmarkStart w:id="1397" w:name="_Toc103175699"/>
      <w:bookmarkStart w:id="1398" w:name="_Ref531953105"/>
      <w:bookmarkStart w:id="1399" w:name="_Toc20593"/>
      <w:r>
        <w:rPr>
          <w:rFonts w:hint="eastAsia" w:ascii="宋体" w:hAnsi="宋体" w:eastAsia="宋体" w:cs="宋体"/>
          <w:b w:val="0"/>
          <w:bCs/>
          <w:color w:val="auto"/>
          <w:sz w:val="21"/>
          <w:szCs w:val="21"/>
          <w:highlight w:val="none"/>
        </w:rPr>
        <w:t>5.4 竣工文件</w:t>
      </w:r>
      <w:bookmarkEnd w:id="1389"/>
      <w:bookmarkEnd w:id="1390"/>
      <w:bookmarkEnd w:id="1391"/>
      <w:bookmarkEnd w:id="1392"/>
      <w:bookmarkEnd w:id="1393"/>
      <w:bookmarkEnd w:id="1394"/>
      <w:bookmarkEnd w:id="1395"/>
      <w:bookmarkEnd w:id="1396"/>
      <w:bookmarkEnd w:id="1397"/>
      <w:bookmarkEnd w:id="1398"/>
      <w:bookmarkEnd w:id="1399"/>
    </w:p>
    <w:p w14:paraId="2144C087">
      <w:pPr>
        <w:pStyle w:val="88"/>
        <w:numPr>
          <w:ilvl w:val="0"/>
          <w:numId w:val="0"/>
        </w:numPr>
        <w:spacing w:after="156"/>
        <w:rPr>
          <w:rFonts w:hint="eastAsia" w:cs="宋体"/>
          <w:color w:val="auto"/>
          <w:sz w:val="21"/>
          <w:highlight w:val="none"/>
        </w:rPr>
      </w:pPr>
      <w:bookmarkStart w:id="1400" w:name="_Ref531953134"/>
      <w:r>
        <w:rPr>
          <w:rFonts w:hint="eastAsia" w:cs="宋体"/>
          <w:color w:val="auto"/>
          <w:sz w:val="21"/>
          <w:highlight w:val="none"/>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1400"/>
    </w:p>
    <w:p w14:paraId="413CB8A4">
      <w:pPr>
        <w:pStyle w:val="88"/>
        <w:numPr>
          <w:ilvl w:val="0"/>
          <w:numId w:val="0"/>
        </w:numPr>
        <w:spacing w:after="156"/>
        <w:rPr>
          <w:rFonts w:hint="eastAsia" w:cs="宋体"/>
          <w:color w:val="auto"/>
          <w:sz w:val="21"/>
          <w:highlight w:val="none"/>
        </w:rPr>
      </w:pPr>
      <w:r>
        <w:rPr>
          <w:rFonts w:hint="eastAsia" w:cs="宋体"/>
          <w:color w:val="auto"/>
          <w:sz w:val="21"/>
          <w:highlight w:val="none"/>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14:paraId="620AFDD3">
      <w:pPr>
        <w:pStyle w:val="88"/>
        <w:numPr>
          <w:ilvl w:val="0"/>
          <w:numId w:val="0"/>
        </w:numPr>
        <w:spacing w:after="156"/>
        <w:rPr>
          <w:rFonts w:hint="eastAsia" w:cs="宋体"/>
          <w:color w:val="auto"/>
          <w:sz w:val="21"/>
          <w:highlight w:val="none"/>
        </w:rPr>
      </w:pPr>
      <w:r>
        <w:rPr>
          <w:rFonts w:hint="eastAsia" w:cs="宋体"/>
          <w:color w:val="auto"/>
          <w:sz w:val="21"/>
          <w:highlight w:val="none"/>
        </w:rPr>
        <w:t>5.4.3 除专用合同条件另有约定外，在工程师收到本款下的文件前，不应认为工程已根据第10.1款[竣工验收]和第10.2款[单位/区段工程的验收]的约定完成验收。</w:t>
      </w:r>
    </w:p>
    <w:p w14:paraId="64D6EBE7">
      <w:pPr>
        <w:pStyle w:val="87"/>
        <w:widowControl/>
        <w:numPr>
          <w:ilvl w:val="0"/>
          <w:numId w:val="0"/>
        </w:numPr>
        <w:spacing w:after="156"/>
        <w:rPr>
          <w:rFonts w:hint="eastAsia" w:ascii="宋体" w:hAnsi="宋体" w:eastAsia="宋体" w:cs="宋体"/>
          <w:b w:val="0"/>
          <w:bCs/>
          <w:color w:val="auto"/>
          <w:sz w:val="21"/>
          <w:szCs w:val="21"/>
          <w:highlight w:val="none"/>
        </w:rPr>
      </w:pPr>
      <w:bookmarkStart w:id="1401" w:name="_Toc20025"/>
      <w:bookmarkStart w:id="1402" w:name="_Toc10192"/>
      <w:bookmarkStart w:id="1403" w:name="_Toc103175700"/>
      <w:bookmarkStart w:id="1404" w:name="_Toc29677"/>
      <w:bookmarkStart w:id="1405" w:name="_Ref531953119"/>
      <w:bookmarkStart w:id="1406" w:name="_Toc22020"/>
      <w:bookmarkStart w:id="1407" w:name="_Toc20085"/>
      <w:bookmarkStart w:id="1408" w:name="_Ref531953117"/>
      <w:bookmarkStart w:id="1409" w:name="_Toc11654"/>
      <w:bookmarkStart w:id="1410" w:name="_Toc8724"/>
      <w:r>
        <w:rPr>
          <w:rFonts w:hint="eastAsia" w:ascii="宋体" w:hAnsi="宋体" w:eastAsia="宋体" w:cs="宋体"/>
          <w:b w:val="0"/>
          <w:bCs/>
          <w:color w:val="auto"/>
          <w:sz w:val="21"/>
          <w:szCs w:val="21"/>
          <w:highlight w:val="none"/>
        </w:rPr>
        <w:t>5.5 操作和维修手册</w:t>
      </w:r>
      <w:bookmarkEnd w:id="1401"/>
      <w:bookmarkEnd w:id="1402"/>
      <w:bookmarkEnd w:id="1403"/>
      <w:bookmarkEnd w:id="1404"/>
      <w:bookmarkEnd w:id="1405"/>
      <w:bookmarkEnd w:id="1406"/>
      <w:bookmarkEnd w:id="1407"/>
      <w:bookmarkEnd w:id="1408"/>
      <w:bookmarkEnd w:id="1409"/>
      <w:bookmarkEnd w:id="1410"/>
    </w:p>
    <w:p w14:paraId="2A852C69">
      <w:pPr>
        <w:pStyle w:val="88"/>
        <w:numPr>
          <w:ilvl w:val="0"/>
          <w:numId w:val="0"/>
        </w:numPr>
        <w:spacing w:after="156"/>
        <w:rPr>
          <w:rFonts w:hint="eastAsia" w:cs="宋体"/>
          <w:color w:val="auto"/>
          <w:sz w:val="21"/>
          <w:highlight w:val="none"/>
        </w:rPr>
      </w:pPr>
      <w:bookmarkStart w:id="1411" w:name="_Ref531953145"/>
      <w:r>
        <w:rPr>
          <w:rFonts w:hint="eastAsia" w:cs="宋体"/>
          <w:color w:val="auto"/>
          <w:sz w:val="21"/>
          <w:highlight w:val="none"/>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1411"/>
    </w:p>
    <w:p w14:paraId="4D46F121">
      <w:pPr>
        <w:pStyle w:val="88"/>
        <w:numPr>
          <w:ilvl w:val="0"/>
          <w:numId w:val="0"/>
        </w:numPr>
        <w:spacing w:after="156"/>
        <w:rPr>
          <w:rFonts w:hint="eastAsia" w:cs="宋体"/>
          <w:color w:val="auto"/>
          <w:sz w:val="21"/>
          <w:highlight w:val="none"/>
        </w:rPr>
      </w:pPr>
      <w:r>
        <w:rPr>
          <w:rFonts w:hint="eastAsia" w:cs="宋体"/>
          <w:color w:val="auto"/>
          <w:sz w:val="21"/>
          <w:highlight w:val="none"/>
        </w:rPr>
        <w:t>5.5.2 工程师收到承包人提交的文件后，应依据第5.2款[承包人文件审查]的约定对操作和维修手册进行审查，竣工试验工程中，承包人应为任何因操作和维修手册错误或遗漏引起的风险或损失承担责任。</w:t>
      </w:r>
    </w:p>
    <w:p w14:paraId="0AB9A87A">
      <w:pPr>
        <w:pStyle w:val="88"/>
        <w:numPr>
          <w:ilvl w:val="0"/>
          <w:numId w:val="0"/>
        </w:numPr>
        <w:spacing w:after="156"/>
        <w:rPr>
          <w:rFonts w:hint="eastAsia" w:cs="宋体"/>
          <w:color w:val="auto"/>
          <w:sz w:val="21"/>
          <w:highlight w:val="none"/>
        </w:rPr>
      </w:pPr>
      <w:r>
        <w:rPr>
          <w:rFonts w:hint="eastAsia" w:cs="宋体"/>
          <w:color w:val="auto"/>
          <w:sz w:val="21"/>
          <w:highlight w:val="none"/>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14:paraId="46462ADC">
      <w:pPr>
        <w:pStyle w:val="87"/>
        <w:widowControl/>
        <w:numPr>
          <w:ilvl w:val="0"/>
          <w:numId w:val="0"/>
        </w:numPr>
        <w:spacing w:after="156"/>
        <w:rPr>
          <w:rFonts w:hint="eastAsia" w:ascii="宋体" w:hAnsi="宋体" w:eastAsia="宋体" w:cs="宋体"/>
          <w:b w:val="0"/>
          <w:bCs/>
          <w:color w:val="auto"/>
          <w:sz w:val="21"/>
          <w:szCs w:val="21"/>
          <w:highlight w:val="none"/>
        </w:rPr>
      </w:pPr>
      <w:bookmarkStart w:id="1412" w:name="_Toc103175701"/>
      <w:bookmarkStart w:id="1413" w:name="_Toc32631"/>
      <w:bookmarkStart w:id="1414" w:name="_Toc29697"/>
      <w:bookmarkStart w:id="1415" w:name="_Toc13138"/>
      <w:bookmarkStart w:id="1416" w:name="_Toc6870"/>
      <w:bookmarkStart w:id="1417" w:name="_Toc19860"/>
      <w:bookmarkStart w:id="1418" w:name="_Toc12048"/>
      <w:bookmarkStart w:id="1419" w:name="_Toc16433"/>
      <w:bookmarkStart w:id="1420" w:name="_Toc8960"/>
      <w:r>
        <w:rPr>
          <w:rFonts w:hint="eastAsia" w:ascii="宋体" w:hAnsi="宋体" w:eastAsia="宋体" w:cs="宋体"/>
          <w:b w:val="0"/>
          <w:bCs/>
          <w:color w:val="auto"/>
          <w:sz w:val="21"/>
          <w:szCs w:val="21"/>
          <w:highlight w:val="none"/>
        </w:rPr>
        <w:t>5.6 承包人文件错误</w:t>
      </w:r>
      <w:bookmarkEnd w:id="1412"/>
      <w:bookmarkEnd w:id="1413"/>
      <w:bookmarkEnd w:id="1414"/>
      <w:bookmarkEnd w:id="1415"/>
      <w:bookmarkEnd w:id="1416"/>
      <w:bookmarkEnd w:id="1417"/>
      <w:bookmarkEnd w:id="1418"/>
      <w:bookmarkEnd w:id="1419"/>
      <w:bookmarkEnd w:id="1420"/>
      <w:r>
        <w:rPr>
          <w:rFonts w:hint="eastAsia" w:ascii="宋体" w:hAnsi="宋体" w:eastAsia="宋体" w:cs="宋体"/>
          <w:b w:val="0"/>
          <w:bCs/>
          <w:color w:val="auto"/>
          <w:sz w:val="21"/>
          <w:szCs w:val="21"/>
          <w:highlight w:val="none"/>
        </w:rPr>
        <w:t xml:space="preserve"> </w:t>
      </w:r>
    </w:p>
    <w:p w14:paraId="173C7AC5">
      <w:pPr>
        <w:ind w:firstLine="600"/>
        <w:rPr>
          <w:rFonts w:hint="eastAsia" w:ascii="宋体" w:hAnsi="宋体" w:cs="宋体"/>
          <w:color w:val="auto"/>
          <w:szCs w:val="21"/>
          <w:highlight w:val="none"/>
        </w:rPr>
      </w:pPr>
      <w:r>
        <w:rPr>
          <w:rFonts w:hint="eastAsia" w:ascii="宋体" w:hAnsi="宋体" w:cs="宋体"/>
          <w:color w:val="auto"/>
          <w:szCs w:val="21"/>
          <w:highlight w:val="none"/>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14:paraId="469548D3">
      <w:pPr>
        <w:pStyle w:val="86"/>
        <w:numPr>
          <w:ilvl w:val="0"/>
          <w:numId w:val="0"/>
        </w:numPr>
        <w:rPr>
          <w:rFonts w:hint="eastAsia" w:ascii="宋体" w:hAnsi="宋体" w:eastAsia="宋体" w:cs="宋体"/>
          <w:b w:val="0"/>
          <w:color w:val="auto"/>
          <w:sz w:val="21"/>
          <w:szCs w:val="21"/>
          <w:highlight w:val="none"/>
        </w:rPr>
      </w:pPr>
      <w:bookmarkStart w:id="1421" w:name="_Toc2450"/>
      <w:bookmarkStart w:id="1422" w:name="_Ref531953761"/>
      <w:bookmarkStart w:id="1423" w:name="_Toc17011"/>
      <w:bookmarkStart w:id="1424" w:name="_Toc22500"/>
      <w:bookmarkStart w:id="1425" w:name="_Toc27280"/>
      <w:bookmarkStart w:id="1426" w:name="_Ref531953765"/>
      <w:bookmarkStart w:id="1427" w:name="_Toc26277"/>
      <w:bookmarkStart w:id="1428" w:name="_Toc9005"/>
      <w:bookmarkStart w:id="1429" w:name="_Toc751"/>
      <w:bookmarkStart w:id="1430" w:name="_Toc14089"/>
      <w:bookmarkStart w:id="1431" w:name="_Toc103175702"/>
      <w:bookmarkStart w:id="1432" w:name="_Toc4219"/>
      <w:bookmarkStart w:id="1433" w:name="_Toc21056"/>
      <w:r>
        <w:rPr>
          <w:rFonts w:hint="eastAsia" w:ascii="宋体" w:hAnsi="宋体" w:eastAsia="宋体" w:cs="宋体"/>
          <w:b w:val="0"/>
          <w:color w:val="auto"/>
          <w:sz w:val="21"/>
          <w:szCs w:val="21"/>
          <w:highlight w:val="none"/>
        </w:rPr>
        <w:t>第6条 材料、工程设备</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14:paraId="456DE33E">
      <w:pPr>
        <w:pStyle w:val="87"/>
        <w:widowControl/>
        <w:numPr>
          <w:ilvl w:val="0"/>
          <w:numId w:val="0"/>
        </w:numPr>
        <w:spacing w:after="156"/>
        <w:rPr>
          <w:rFonts w:hint="eastAsia" w:ascii="宋体" w:hAnsi="宋体" w:eastAsia="宋体" w:cs="宋体"/>
          <w:b w:val="0"/>
          <w:bCs/>
          <w:color w:val="auto"/>
          <w:sz w:val="21"/>
          <w:szCs w:val="21"/>
          <w:highlight w:val="none"/>
        </w:rPr>
      </w:pPr>
      <w:bookmarkStart w:id="1434" w:name="_Toc10490"/>
      <w:bookmarkStart w:id="1435" w:name="_Toc103175703"/>
      <w:bookmarkStart w:id="1436" w:name="_Toc13484"/>
      <w:bookmarkStart w:id="1437" w:name="_Toc21976"/>
      <w:bookmarkStart w:id="1438" w:name="_Toc24771"/>
      <w:bookmarkStart w:id="1439" w:name="_Toc6465"/>
      <w:bookmarkStart w:id="1440" w:name="_Ref531953832"/>
      <w:bookmarkStart w:id="1441" w:name="_Toc62"/>
      <w:bookmarkStart w:id="1442" w:name="_Toc8320"/>
      <w:bookmarkStart w:id="1443" w:name="_Ref531953828"/>
      <w:bookmarkStart w:id="1444" w:name="_Toc4486"/>
      <w:r>
        <w:rPr>
          <w:rFonts w:hint="eastAsia" w:ascii="宋体" w:hAnsi="宋体" w:eastAsia="宋体" w:cs="宋体"/>
          <w:b w:val="0"/>
          <w:bCs/>
          <w:color w:val="auto"/>
          <w:sz w:val="21"/>
          <w:szCs w:val="21"/>
          <w:highlight w:val="none"/>
        </w:rPr>
        <w:t>6.1 实施方法</w:t>
      </w:r>
      <w:bookmarkEnd w:id="1434"/>
      <w:bookmarkEnd w:id="1435"/>
      <w:bookmarkEnd w:id="1436"/>
      <w:bookmarkEnd w:id="1437"/>
      <w:bookmarkEnd w:id="1438"/>
      <w:bookmarkEnd w:id="1439"/>
      <w:bookmarkEnd w:id="1440"/>
      <w:bookmarkEnd w:id="1441"/>
      <w:bookmarkEnd w:id="1442"/>
      <w:bookmarkEnd w:id="1443"/>
      <w:bookmarkEnd w:id="1444"/>
      <w:r>
        <w:rPr>
          <w:rFonts w:hint="eastAsia" w:ascii="宋体" w:hAnsi="宋体" w:eastAsia="宋体" w:cs="宋体"/>
          <w:b w:val="0"/>
          <w:bCs/>
          <w:color w:val="auto"/>
          <w:sz w:val="21"/>
          <w:szCs w:val="21"/>
          <w:highlight w:val="none"/>
        </w:rPr>
        <w:t xml:space="preserve"> </w:t>
      </w:r>
    </w:p>
    <w:p w14:paraId="2A685DF1">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承包人应按以下方法进行材料的加工、工程设备的采购、制造和安装、以及工程的所有其他实施作业：</w:t>
      </w:r>
    </w:p>
    <w:p w14:paraId="16AF3CA0">
      <w:pPr>
        <w:ind w:firstLine="600"/>
        <w:rPr>
          <w:rFonts w:hint="eastAsia" w:ascii="宋体" w:hAnsi="宋体" w:cs="宋体"/>
          <w:color w:val="auto"/>
          <w:szCs w:val="21"/>
          <w:highlight w:val="none"/>
        </w:rPr>
      </w:pPr>
      <w:bookmarkStart w:id="1445" w:name="_Ref531953847"/>
      <w:r>
        <w:rPr>
          <w:rFonts w:hint="eastAsia" w:ascii="宋体" w:hAnsi="宋体" w:cs="宋体"/>
          <w:color w:val="auto"/>
          <w:szCs w:val="21"/>
          <w:highlight w:val="none"/>
        </w:rPr>
        <w:t>（1） 按照法律规定和合同约定的方法；</w:t>
      </w:r>
      <w:bookmarkEnd w:id="1445"/>
    </w:p>
    <w:p w14:paraId="0C22F005">
      <w:pPr>
        <w:ind w:firstLine="600"/>
        <w:rPr>
          <w:rFonts w:hint="eastAsia" w:ascii="宋体" w:hAnsi="宋体" w:cs="宋体"/>
          <w:color w:val="auto"/>
          <w:szCs w:val="21"/>
          <w:highlight w:val="none"/>
        </w:rPr>
      </w:pPr>
      <w:r>
        <w:rPr>
          <w:rFonts w:hint="eastAsia" w:ascii="宋体" w:hAnsi="宋体" w:cs="宋体"/>
          <w:color w:val="auto"/>
          <w:szCs w:val="21"/>
          <w:highlight w:val="none"/>
        </w:rPr>
        <w:t>（2） 按照公认的良好行业习惯，使用恰当、审慎、先进的方法；</w:t>
      </w:r>
    </w:p>
    <w:p w14:paraId="39C1C7B8">
      <w:pPr>
        <w:ind w:firstLine="600"/>
        <w:rPr>
          <w:rFonts w:hint="eastAsia" w:ascii="宋体" w:hAnsi="宋体" w:cs="宋体"/>
          <w:color w:val="auto"/>
          <w:szCs w:val="21"/>
          <w:highlight w:val="none"/>
        </w:rPr>
      </w:pPr>
      <w:r>
        <w:rPr>
          <w:rFonts w:hint="eastAsia" w:ascii="宋体" w:hAnsi="宋体" w:cs="宋体"/>
          <w:color w:val="auto"/>
          <w:szCs w:val="21"/>
          <w:highlight w:val="none"/>
        </w:rPr>
        <w:t>（3） 除专用合同条件另有规定外，应使用适当配备的实施方法、设备、设施和无危险的材料。</w:t>
      </w:r>
    </w:p>
    <w:p w14:paraId="736F78A5">
      <w:pPr>
        <w:pStyle w:val="87"/>
        <w:widowControl/>
        <w:numPr>
          <w:ilvl w:val="0"/>
          <w:numId w:val="0"/>
        </w:numPr>
        <w:spacing w:after="156"/>
        <w:rPr>
          <w:rFonts w:hint="eastAsia" w:ascii="宋体" w:hAnsi="宋体" w:eastAsia="宋体" w:cs="宋体"/>
          <w:b w:val="0"/>
          <w:bCs/>
          <w:color w:val="auto"/>
          <w:sz w:val="21"/>
          <w:szCs w:val="21"/>
          <w:highlight w:val="none"/>
        </w:rPr>
      </w:pPr>
      <w:bookmarkStart w:id="1446" w:name="_Toc21071"/>
      <w:bookmarkStart w:id="1447" w:name="_Toc2590"/>
      <w:bookmarkStart w:id="1448" w:name="_Toc16986"/>
      <w:bookmarkStart w:id="1449" w:name="_Toc30973"/>
      <w:bookmarkStart w:id="1450" w:name="_Toc103175704"/>
      <w:bookmarkStart w:id="1451" w:name="_Ref11926422"/>
      <w:bookmarkStart w:id="1452" w:name="_Toc21736"/>
      <w:bookmarkStart w:id="1453" w:name="_Toc5748"/>
      <w:bookmarkStart w:id="1454" w:name="_Toc9833"/>
      <w:bookmarkStart w:id="1455" w:name="_Toc15468"/>
      <w:bookmarkStart w:id="1456" w:name="_Ref4427594"/>
      <w:r>
        <w:rPr>
          <w:rFonts w:hint="eastAsia" w:ascii="宋体" w:hAnsi="宋体" w:eastAsia="宋体" w:cs="宋体"/>
          <w:b w:val="0"/>
          <w:bCs/>
          <w:color w:val="auto"/>
          <w:sz w:val="21"/>
          <w:szCs w:val="21"/>
          <w:highlight w:val="none"/>
        </w:rPr>
        <w:t>6.2 材料和工程设备</w:t>
      </w:r>
      <w:bookmarkEnd w:id="1446"/>
      <w:bookmarkEnd w:id="1447"/>
      <w:bookmarkEnd w:id="1448"/>
      <w:bookmarkEnd w:id="1449"/>
      <w:bookmarkEnd w:id="1450"/>
      <w:bookmarkEnd w:id="1451"/>
      <w:bookmarkEnd w:id="1452"/>
      <w:bookmarkEnd w:id="1453"/>
      <w:bookmarkEnd w:id="1454"/>
      <w:bookmarkEnd w:id="1455"/>
    </w:p>
    <w:p w14:paraId="09B69F9F">
      <w:pPr>
        <w:pStyle w:val="88"/>
        <w:numPr>
          <w:ilvl w:val="0"/>
          <w:numId w:val="0"/>
        </w:numPr>
        <w:spacing w:after="156"/>
        <w:rPr>
          <w:rFonts w:hint="eastAsia" w:cs="宋体"/>
          <w:color w:val="auto"/>
          <w:sz w:val="21"/>
          <w:highlight w:val="none"/>
        </w:rPr>
      </w:pPr>
      <w:bookmarkStart w:id="1457" w:name="_Ref11960295"/>
      <w:r>
        <w:rPr>
          <w:rFonts w:hint="eastAsia" w:cs="宋体"/>
          <w:color w:val="auto"/>
          <w:sz w:val="21"/>
          <w:highlight w:val="none"/>
        </w:rPr>
        <w:t>6.2.1 发包人提供的材料和工程设备</w:t>
      </w:r>
      <w:bookmarkEnd w:id="1456"/>
      <w:bookmarkEnd w:id="1457"/>
    </w:p>
    <w:p w14:paraId="2B2351AA">
      <w:pPr>
        <w:ind w:firstLine="600"/>
        <w:rPr>
          <w:rFonts w:hint="eastAsia" w:ascii="宋体" w:hAnsi="宋体" w:cs="宋体"/>
          <w:color w:val="auto"/>
          <w:szCs w:val="21"/>
          <w:highlight w:val="none"/>
        </w:rPr>
      </w:pPr>
      <w:r>
        <w:rPr>
          <w:rFonts w:hint="eastAsia" w:ascii="宋体" w:hAnsi="宋体" w:cs="宋体"/>
          <w:color w:val="auto"/>
          <w:szCs w:val="21"/>
          <w:highlight w:val="none"/>
        </w:rPr>
        <w:t>发包人自行供应材料、工程设备的，应在订立合同时在专用合同条件的附件《发包人供应材料设备一览表》中明确材料、工程设备的品种、规格、型号、主要参数、数量、单价、质量等级和交接地点等。</w:t>
      </w:r>
    </w:p>
    <w:p w14:paraId="24BA223C">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14:paraId="6A496E4E">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1B154C1D">
      <w:pPr>
        <w:ind w:firstLine="600"/>
        <w:rPr>
          <w:rFonts w:hint="eastAsia" w:ascii="宋体" w:hAnsi="宋体" w:cs="宋体"/>
          <w:color w:val="auto"/>
          <w:szCs w:val="21"/>
          <w:highlight w:val="none"/>
        </w:rPr>
      </w:pPr>
      <w:r>
        <w:rPr>
          <w:rFonts w:hint="eastAsia" w:ascii="宋体" w:hAnsi="宋体" w:cs="宋体"/>
          <w:color w:val="auto"/>
          <w:szCs w:val="21"/>
          <w:highlight w:val="none"/>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14:paraId="487EA22F">
      <w:pPr>
        <w:ind w:firstLine="600"/>
        <w:rPr>
          <w:rFonts w:hint="eastAsia" w:ascii="宋体" w:hAnsi="宋体" w:cs="宋体"/>
          <w:color w:val="auto"/>
          <w:szCs w:val="21"/>
          <w:highlight w:val="none"/>
        </w:rPr>
      </w:pPr>
      <w:r>
        <w:rPr>
          <w:rFonts w:hint="eastAsia" w:ascii="宋体" w:hAnsi="宋体" w:cs="宋体"/>
          <w:color w:val="auto"/>
          <w:szCs w:val="21"/>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0BB2F812">
      <w:pPr>
        <w:pStyle w:val="88"/>
        <w:numPr>
          <w:ilvl w:val="0"/>
          <w:numId w:val="0"/>
        </w:numPr>
        <w:spacing w:after="156"/>
        <w:rPr>
          <w:rFonts w:hint="eastAsia" w:cs="宋体"/>
          <w:color w:val="auto"/>
          <w:sz w:val="21"/>
          <w:highlight w:val="none"/>
        </w:rPr>
      </w:pPr>
      <w:bookmarkStart w:id="1458" w:name="_Ref531953918"/>
      <w:r>
        <w:rPr>
          <w:rFonts w:hint="eastAsia" w:cs="宋体"/>
          <w:color w:val="auto"/>
          <w:sz w:val="21"/>
          <w:highlight w:val="none"/>
        </w:rPr>
        <w:t>6.2.2 承包人提供的材料和工程设备</w:t>
      </w:r>
      <w:bookmarkEnd w:id="1458"/>
    </w:p>
    <w:p w14:paraId="4D6D85D2">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3BD56ED9">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3C572B05">
      <w:pPr>
        <w:ind w:firstLine="600"/>
        <w:rPr>
          <w:rFonts w:hint="eastAsia" w:ascii="宋体" w:hAnsi="宋体" w:cs="宋体"/>
          <w:color w:val="auto"/>
          <w:szCs w:val="21"/>
          <w:highlight w:val="none"/>
        </w:rPr>
      </w:pPr>
      <w:r>
        <w:rPr>
          <w:rFonts w:hint="eastAsia" w:ascii="宋体" w:hAnsi="宋体" w:cs="宋体"/>
          <w:color w:val="auto"/>
          <w:szCs w:val="21"/>
          <w:highlight w:val="none"/>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5169CE9E">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03DF8E81">
      <w:pPr>
        <w:pStyle w:val="88"/>
        <w:numPr>
          <w:ilvl w:val="0"/>
          <w:numId w:val="0"/>
        </w:numPr>
        <w:spacing w:after="156"/>
        <w:rPr>
          <w:rFonts w:hint="eastAsia" w:cs="宋体"/>
          <w:color w:val="auto"/>
          <w:sz w:val="21"/>
          <w:highlight w:val="none"/>
        </w:rPr>
      </w:pPr>
      <w:bookmarkStart w:id="1459" w:name="_Ref531953991"/>
      <w:bookmarkStart w:id="1460" w:name="_Ref531953999"/>
      <w:r>
        <w:rPr>
          <w:rFonts w:hint="eastAsia" w:cs="宋体"/>
          <w:color w:val="auto"/>
          <w:sz w:val="21"/>
          <w:highlight w:val="none"/>
        </w:rPr>
        <w:t>6.2.3 材料和工程设备的保管</w:t>
      </w:r>
      <w:bookmarkEnd w:id="1459"/>
      <w:bookmarkEnd w:id="1460"/>
      <w:r>
        <w:rPr>
          <w:rFonts w:hint="eastAsia" w:cs="宋体"/>
          <w:color w:val="auto"/>
          <w:sz w:val="21"/>
          <w:highlight w:val="none"/>
        </w:rPr>
        <w:t xml:space="preserve"> </w:t>
      </w:r>
    </w:p>
    <w:p w14:paraId="7082D334">
      <w:pPr>
        <w:ind w:firstLine="600"/>
        <w:rPr>
          <w:rFonts w:hint="eastAsia" w:ascii="宋体" w:hAnsi="宋体" w:cs="宋体"/>
          <w:color w:val="auto"/>
          <w:szCs w:val="21"/>
          <w:highlight w:val="none"/>
        </w:rPr>
      </w:pPr>
      <w:r>
        <w:rPr>
          <w:rFonts w:hint="eastAsia" w:ascii="宋体" w:hAnsi="宋体" w:cs="宋体"/>
          <w:color w:val="auto"/>
          <w:szCs w:val="21"/>
          <w:highlight w:val="none"/>
        </w:rPr>
        <w:t>（1） 发包人供应材料与工程设备的保管与使用</w:t>
      </w:r>
    </w:p>
    <w:p w14:paraId="3FBCCD7A">
      <w:pPr>
        <w:ind w:firstLine="600"/>
        <w:rPr>
          <w:rFonts w:hint="eastAsia" w:ascii="宋体" w:hAnsi="宋体" w:cs="宋体"/>
          <w:color w:val="auto"/>
          <w:szCs w:val="21"/>
          <w:highlight w:val="none"/>
        </w:rPr>
      </w:pPr>
      <w:r>
        <w:rPr>
          <w:rFonts w:hint="eastAsia" w:ascii="宋体" w:hAnsi="宋体" w:cs="宋体"/>
          <w:color w:val="auto"/>
          <w:szCs w:val="21"/>
          <w:highlight w:val="none"/>
        </w:rPr>
        <w:t>发包人供应的材料和工程设备，承包人清点并接收后由承包人妥善保管，保管费用由承包人承担，但专用合同条件另有约定除外。因承包人原因发生丢失毁损的，由承包人负责赔偿。</w:t>
      </w:r>
    </w:p>
    <w:p w14:paraId="55B9981A">
      <w:pPr>
        <w:ind w:firstLine="600"/>
        <w:rPr>
          <w:rFonts w:hint="eastAsia" w:ascii="宋体" w:hAnsi="宋体" w:cs="宋体"/>
          <w:color w:val="auto"/>
          <w:szCs w:val="21"/>
          <w:highlight w:val="none"/>
        </w:rPr>
      </w:pPr>
      <w:r>
        <w:rPr>
          <w:rFonts w:hint="eastAsia" w:ascii="宋体" w:hAnsi="宋体" w:cs="宋体"/>
          <w:color w:val="auto"/>
          <w:szCs w:val="21"/>
          <w:highlight w:val="none"/>
        </w:rPr>
        <w:t>发包人供应的材料和工程设备使用前，由承包人负责必要的检验，检验费用由发包人承担，不合格的不得使用。</w:t>
      </w:r>
    </w:p>
    <w:p w14:paraId="264BE057">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承包人采购材料与工程设备的保管与使用</w:t>
      </w:r>
    </w:p>
    <w:p w14:paraId="72C138C4">
      <w:pPr>
        <w:ind w:firstLine="600"/>
        <w:rPr>
          <w:rFonts w:hint="eastAsia" w:ascii="宋体" w:hAnsi="宋体" w:cs="宋体"/>
          <w:color w:val="auto"/>
          <w:szCs w:val="21"/>
          <w:highlight w:val="none"/>
        </w:rPr>
      </w:pPr>
      <w:r>
        <w:rPr>
          <w:rFonts w:hint="eastAsia" w:ascii="宋体" w:hAnsi="宋体" w:cs="宋体"/>
          <w:color w:val="auto"/>
          <w:szCs w:val="21"/>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1F733485">
      <w:pPr>
        <w:ind w:firstLine="600"/>
        <w:rPr>
          <w:rFonts w:hint="eastAsia" w:ascii="宋体" w:hAnsi="宋体" w:cs="宋体"/>
          <w:color w:val="auto"/>
          <w:szCs w:val="21"/>
          <w:highlight w:val="none"/>
        </w:rPr>
      </w:pPr>
      <w:r>
        <w:rPr>
          <w:rFonts w:hint="eastAsia" w:ascii="宋体" w:hAnsi="宋体" w:cs="宋体"/>
          <w:color w:val="auto"/>
          <w:szCs w:val="21"/>
          <w:highlight w:val="none"/>
        </w:rPr>
        <w:t>工程师发现承包人使用不符合设计或有关标准要求的材料和工程设备时，有权要求承包人进行修复、拆除或重新采购，由此增加的费用和（或）延误的工期，由承包人承担。</w:t>
      </w:r>
    </w:p>
    <w:p w14:paraId="7C75B2D3">
      <w:pPr>
        <w:pStyle w:val="88"/>
        <w:numPr>
          <w:ilvl w:val="0"/>
          <w:numId w:val="0"/>
        </w:numPr>
        <w:spacing w:after="156"/>
        <w:rPr>
          <w:rFonts w:hint="eastAsia" w:cs="宋体"/>
          <w:color w:val="auto"/>
          <w:sz w:val="21"/>
          <w:highlight w:val="none"/>
        </w:rPr>
      </w:pPr>
      <w:r>
        <w:rPr>
          <w:rFonts w:hint="eastAsia" w:cs="宋体"/>
          <w:color w:val="auto"/>
          <w:sz w:val="21"/>
          <w:highlight w:val="none"/>
        </w:rPr>
        <w:t>6.2.4 材料和工程设备的所有权</w:t>
      </w:r>
    </w:p>
    <w:p w14:paraId="4A40CC6E">
      <w:pPr>
        <w:ind w:firstLine="600"/>
        <w:rPr>
          <w:rFonts w:hint="eastAsia" w:ascii="宋体" w:hAnsi="宋体" w:cs="宋体"/>
          <w:color w:val="auto"/>
          <w:szCs w:val="21"/>
          <w:highlight w:val="none"/>
        </w:rPr>
      </w:pPr>
      <w:r>
        <w:rPr>
          <w:rFonts w:hint="eastAsia" w:ascii="宋体" w:hAnsi="宋体" w:cs="宋体"/>
          <w:color w:val="auto"/>
          <w:szCs w:val="21"/>
          <w:highlight w:val="none"/>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14:paraId="10DEF301">
      <w:pPr>
        <w:ind w:firstLine="600"/>
        <w:rPr>
          <w:rFonts w:hint="eastAsia" w:ascii="宋体" w:hAnsi="宋体" w:cs="宋体"/>
          <w:color w:val="auto"/>
          <w:szCs w:val="21"/>
          <w:highlight w:val="none"/>
        </w:rPr>
      </w:pPr>
      <w:r>
        <w:rPr>
          <w:rFonts w:hint="eastAsia" w:ascii="宋体" w:hAnsi="宋体" w:cs="宋体"/>
          <w:color w:val="auto"/>
          <w:szCs w:val="21"/>
          <w:highlight w:val="none"/>
        </w:rPr>
        <w:t>承包人按第6.2.2项提供的材料和工程设备，承包人应确保发包人取得无权利负担的材料及工程设备所有权，因承包人与第三人的物权争议导致的增加的费用和（或）延误的工期，由承包人承担。</w:t>
      </w:r>
    </w:p>
    <w:p w14:paraId="7BB3C4DB">
      <w:pPr>
        <w:pStyle w:val="87"/>
        <w:widowControl/>
        <w:numPr>
          <w:ilvl w:val="0"/>
          <w:numId w:val="0"/>
        </w:numPr>
        <w:spacing w:after="156"/>
        <w:rPr>
          <w:rFonts w:hint="eastAsia" w:ascii="宋体" w:hAnsi="宋体" w:eastAsia="宋体" w:cs="宋体"/>
          <w:b w:val="0"/>
          <w:bCs/>
          <w:color w:val="auto"/>
          <w:sz w:val="21"/>
          <w:szCs w:val="21"/>
          <w:highlight w:val="none"/>
        </w:rPr>
      </w:pPr>
      <w:bookmarkStart w:id="1461" w:name="_Toc32190"/>
      <w:bookmarkStart w:id="1462" w:name="_Toc42"/>
      <w:bookmarkStart w:id="1463" w:name="_Toc103175705"/>
      <w:bookmarkStart w:id="1464" w:name="_Toc16206"/>
      <w:bookmarkStart w:id="1465" w:name="_Ref4428239"/>
      <w:bookmarkStart w:id="1466" w:name="_Toc29128"/>
      <w:bookmarkStart w:id="1467" w:name="_Toc29286"/>
      <w:bookmarkStart w:id="1468" w:name="_Toc20189"/>
      <w:bookmarkStart w:id="1469" w:name="_Toc18740"/>
      <w:bookmarkStart w:id="1470" w:name="_Toc13948"/>
      <w:bookmarkStart w:id="1471" w:name="_Toc351203565"/>
      <w:bookmarkStart w:id="1472" w:name="_Toc337558785"/>
      <w:r>
        <w:rPr>
          <w:rFonts w:hint="eastAsia" w:ascii="宋体" w:hAnsi="宋体" w:eastAsia="宋体" w:cs="宋体"/>
          <w:b w:val="0"/>
          <w:bCs/>
          <w:color w:val="auto"/>
          <w:sz w:val="21"/>
          <w:szCs w:val="21"/>
          <w:highlight w:val="none"/>
        </w:rPr>
        <w:t>6.3 样品</w:t>
      </w:r>
      <w:bookmarkEnd w:id="1461"/>
      <w:bookmarkEnd w:id="1462"/>
      <w:bookmarkEnd w:id="1463"/>
      <w:bookmarkEnd w:id="1464"/>
      <w:bookmarkEnd w:id="1465"/>
      <w:bookmarkEnd w:id="1466"/>
      <w:bookmarkEnd w:id="1467"/>
      <w:bookmarkEnd w:id="1468"/>
      <w:bookmarkEnd w:id="1469"/>
      <w:bookmarkEnd w:id="1470"/>
    </w:p>
    <w:p w14:paraId="5ED10A5F">
      <w:pPr>
        <w:pStyle w:val="88"/>
        <w:numPr>
          <w:ilvl w:val="0"/>
          <w:numId w:val="0"/>
        </w:numPr>
        <w:spacing w:after="156"/>
        <w:rPr>
          <w:rFonts w:hint="eastAsia" w:cs="宋体"/>
          <w:color w:val="auto"/>
          <w:sz w:val="21"/>
          <w:highlight w:val="none"/>
        </w:rPr>
      </w:pPr>
      <w:r>
        <w:rPr>
          <w:rFonts w:hint="eastAsia" w:cs="宋体"/>
          <w:color w:val="auto"/>
          <w:sz w:val="21"/>
          <w:highlight w:val="none"/>
        </w:rPr>
        <w:t>6.3.1 样品的报送与封存</w:t>
      </w:r>
    </w:p>
    <w:p w14:paraId="454FC140">
      <w:pPr>
        <w:ind w:firstLine="600"/>
        <w:rPr>
          <w:rFonts w:hint="eastAsia" w:ascii="宋体" w:hAnsi="宋体" w:cs="宋体"/>
          <w:color w:val="auto"/>
          <w:szCs w:val="21"/>
          <w:highlight w:val="none"/>
        </w:rPr>
      </w:pPr>
      <w:r>
        <w:rPr>
          <w:rFonts w:hint="eastAsia" w:ascii="宋体" w:hAnsi="宋体" w:cs="宋体"/>
          <w:color w:val="auto"/>
          <w:szCs w:val="21"/>
          <w:highlight w:val="none"/>
        </w:rPr>
        <w:t>需要承包人报送样品的材料或工程设备，样品的种类、名称、规格、数量等要求均应在专用合同条件中约定。样品的报送程序如下：</w:t>
      </w:r>
    </w:p>
    <w:p w14:paraId="55434EE0">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6D260957">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317BC4CB">
      <w:pPr>
        <w:ind w:firstLine="600"/>
        <w:rPr>
          <w:rFonts w:hint="eastAsia" w:ascii="宋体" w:hAnsi="宋体" w:cs="宋体"/>
          <w:color w:val="auto"/>
          <w:szCs w:val="21"/>
          <w:highlight w:val="none"/>
        </w:rPr>
      </w:pPr>
      <w:r>
        <w:rPr>
          <w:rFonts w:hint="eastAsia" w:ascii="宋体" w:hAnsi="宋体" w:cs="宋体"/>
          <w:color w:val="auto"/>
          <w:szCs w:val="21"/>
          <w:highlight w:val="none"/>
        </w:rPr>
        <w:t>（3） 经工程师审批确认的样品应按约定的方法封样，封存的样品作为检验工程相关部分的标准之一。承包人在施工过程中不得使用与样品不符的材料或工程设备。</w:t>
      </w:r>
    </w:p>
    <w:p w14:paraId="60B123D6">
      <w:pPr>
        <w:ind w:firstLine="600"/>
        <w:rPr>
          <w:rFonts w:hint="eastAsia" w:ascii="宋体" w:hAnsi="宋体" w:cs="宋体"/>
          <w:color w:val="auto"/>
          <w:szCs w:val="21"/>
          <w:highlight w:val="none"/>
        </w:rPr>
      </w:pPr>
      <w:r>
        <w:rPr>
          <w:rFonts w:hint="eastAsia" w:ascii="宋体" w:hAnsi="宋体" w:cs="宋体"/>
          <w:color w:val="auto"/>
          <w:szCs w:val="21"/>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8CC87F8">
      <w:pPr>
        <w:pStyle w:val="88"/>
        <w:numPr>
          <w:ilvl w:val="0"/>
          <w:numId w:val="0"/>
        </w:numPr>
        <w:spacing w:after="156"/>
        <w:rPr>
          <w:rFonts w:hint="eastAsia" w:cs="宋体"/>
          <w:color w:val="auto"/>
          <w:sz w:val="21"/>
          <w:highlight w:val="none"/>
        </w:rPr>
      </w:pPr>
      <w:r>
        <w:rPr>
          <w:rFonts w:hint="eastAsia" w:cs="宋体"/>
          <w:color w:val="auto"/>
          <w:sz w:val="21"/>
          <w:highlight w:val="none"/>
        </w:rPr>
        <w:t>6.3.2 样品的保管</w:t>
      </w:r>
    </w:p>
    <w:p w14:paraId="62424160">
      <w:pPr>
        <w:ind w:firstLine="600"/>
        <w:rPr>
          <w:rFonts w:hint="eastAsia" w:ascii="宋体" w:hAnsi="宋体" w:cs="宋体"/>
          <w:color w:val="auto"/>
          <w:szCs w:val="21"/>
          <w:highlight w:val="none"/>
        </w:rPr>
      </w:pPr>
      <w:r>
        <w:rPr>
          <w:rFonts w:hint="eastAsia" w:ascii="宋体" w:hAnsi="宋体" w:cs="宋体"/>
          <w:color w:val="auto"/>
          <w:szCs w:val="21"/>
          <w:highlight w:val="none"/>
        </w:rPr>
        <w:t>经批准的样品应由工程师负责封存于现场，承包人应在现场为保存样品提供适当和固定的场所并保持适当和良好的存储环境条件。</w:t>
      </w:r>
    </w:p>
    <w:p w14:paraId="6C636CA4">
      <w:pPr>
        <w:pStyle w:val="87"/>
        <w:widowControl/>
        <w:numPr>
          <w:ilvl w:val="0"/>
          <w:numId w:val="0"/>
        </w:numPr>
        <w:spacing w:after="156"/>
        <w:rPr>
          <w:rFonts w:hint="eastAsia" w:ascii="宋体" w:hAnsi="宋体" w:eastAsia="宋体" w:cs="宋体"/>
          <w:b w:val="0"/>
          <w:bCs/>
          <w:color w:val="auto"/>
          <w:sz w:val="21"/>
          <w:szCs w:val="21"/>
          <w:highlight w:val="none"/>
        </w:rPr>
      </w:pPr>
      <w:bookmarkStart w:id="1473" w:name="_Toc103175706"/>
      <w:bookmarkStart w:id="1474" w:name="_Toc29832"/>
      <w:bookmarkStart w:id="1475" w:name="_Ref11959204"/>
      <w:bookmarkStart w:id="1476" w:name="_Ref11959210"/>
      <w:bookmarkStart w:id="1477" w:name="_Toc8055"/>
      <w:bookmarkStart w:id="1478" w:name="_Toc17851"/>
      <w:bookmarkStart w:id="1479" w:name="_Toc21218"/>
      <w:bookmarkStart w:id="1480" w:name="_Toc17807"/>
      <w:bookmarkStart w:id="1481" w:name="_Toc20310"/>
      <w:bookmarkStart w:id="1482" w:name="_Toc9783"/>
      <w:bookmarkStart w:id="1483" w:name="_Toc164"/>
      <w:r>
        <w:rPr>
          <w:rFonts w:hint="eastAsia" w:ascii="宋体" w:hAnsi="宋体" w:eastAsia="宋体" w:cs="宋体"/>
          <w:b w:val="0"/>
          <w:bCs/>
          <w:color w:val="auto"/>
          <w:sz w:val="21"/>
          <w:szCs w:val="21"/>
          <w:highlight w:val="none"/>
        </w:rPr>
        <w:t>6.4 质量检查</w:t>
      </w:r>
      <w:bookmarkEnd w:id="1473"/>
      <w:bookmarkEnd w:id="1474"/>
      <w:bookmarkEnd w:id="1475"/>
      <w:bookmarkEnd w:id="1476"/>
      <w:bookmarkEnd w:id="1477"/>
      <w:bookmarkEnd w:id="1478"/>
      <w:bookmarkEnd w:id="1479"/>
      <w:bookmarkEnd w:id="1480"/>
      <w:bookmarkEnd w:id="1481"/>
      <w:bookmarkEnd w:id="1482"/>
      <w:bookmarkEnd w:id="1483"/>
    </w:p>
    <w:p w14:paraId="09597E83">
      <w:pPr>
        <w:pStyle w:val="88"/>
        <w:numPr>
          <w:ilvl w:val="0"/>
          <w:numId w:val="0"/>
        </w:numPr>
        <w:spacing w:after="156"/>
        <w:rPr>
          <w:rFonts w:hint="eastAsia" w:cs="宋体"/>
          <w:color w:val="auto"/>
          <w:sz w:val="21"/>
          <w:highlight w:val="none"/>
        </w:rPr>
      </w:pPr>
      <w:bookmarkStart w:id="1484" w:name="_Ref18990699"/>
      <w:r>
        <w:rPr>
          <w:rFonts w:hint="eastAsia" w:cs="宋体"/>
          <w:color w:val="auto"/>
          <w:sz w:val="21"/>
          <w:highlight w:val="none"/>
        </w:rPr>
        <w:t>6.4.1 工程质量要求</w:t>
      </w:r>
      <w:bookmarkEnd w:id="1484"/>
    </w:p>
    <w:p w14:paraId="4770533E">
      <w:pPr>
        <w:ind w:firstLine="600"/>
        <w:rPr>
          <w:rFonts w:hint="eastAsia" w:ascii="宋体" w:hAnsi="宋体" w:cs="宋体"/>
          <w:color w:val="auto"/>
          <w:szCs w:val="21"/>
          <w:highlight w:val="none"/>
        </w:rPr>
      </w:pPr>
      <w:r>
        <w:rPr>
          <w:rFonts w:hint="eastAsia" w:ascii="宋体" w:hAnsi="宋体" w:cs="宋体"/>
          <w:color w:val="auto"/>
          <w:szCs w:val="21"/>
          <w:highlight w:val="none"/>
        </w:rPr>
        <w:t>工程质量标准必须符合现行国家有关工程施工质量验收规范和标准的要求。有关工程质量的特殊标准或要求由合同当事人在专用合同条件中约定。</w:t>
      </w:r>
    </w:p>
    <w:p w14:paraId="76912E3B">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42214C08">
      <w:pPr>
        <w:pStyle w:val="88"/>
        <w:numPr>
          <w:ilvl w:val="0"/>
          <w:numId w:val="0"/>
        </w:numPr>
        <w:spacing w:after="156"/>
        <w:rPr>
          <w:rFonts w:hint="eastAsia" w:cs="宋体"/>
          <w:color w:val="auto"/>
          <w:sz w:val="21"/>
          <w:highlight w:val="none"/>
        </w:rPr>
      </w:pPr>
      <w:bookmarkStart w:id="1485" w:name="_Ref18990717"/>
      <w:r>
        <w:rPr>
          <w:rFonts w:hint="eastAsia" w:cs="宋体"/>
          <w:color w:val="auto"/>
          <w:sz w:val="21"/>
          <w:highlight w:val="none"/>
        </w:rPr>
        <w:t>6.4.2 质量检查</w:t>
      </w:r>
      <w:bookmarkEnd w:id="1485"/>
    </w:p>
    <w:p w14:paraId="2038264E">
      <w:pPr>
        <w:ind w:firstLine="600"/>
        <w:rPr>
          <w:rFonts w:hint="eastAsia" w:ascii="宋体" w:hAnsi="宋体" w:cs="宋体"/>
          <w:color w:val="auto"/>
          <w:szCs w:val="21"/>
          <w:highlight w:val="none"/>
        </w:rPr>
      </w:pPr>
      <w:r>
        <w:rPr>
          <w:rFonts w:hint="eastAsia" w:ascii="宋体" w:hAnsi="宋体" w:cs="宋体"/>
          <w:color w:val="auto"/>
          <w:szCs w:val="21"/>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56ED775C">
      <w:pPr>
        <w:pStyle w:val="88"/>
        <w:numPr>
          <w:ilvl w:val="0"/>
          <w:numId w:val="0"/>
        </w:numPr>
        <w:spacing w:after="156"/>
        <w:rPr>
          <w:rFonts w:hint="eastAsia" w:cs="宋体"/>
          <w:color w:val="auto"/>
          <w:sz w:val="21"/>
          <w:highlight w:val="none"/>
        </w:rPr>
      </w:pPr>
      <w:bookmarkStart w:id="1486" w:name="_Ref11959222"/>
      <w:r>
        <w:rPr>
          <w:rFonts w:hint="eastAsia" w:cs="宋体"/>
          <w:color w:val="auto"/>
          <w:sz w:val="21"/>
          <w:highlight w:val="none"/>
        </w:rPr>
        <w:t>6.4.3 隐蔽工程检查</w:t>
      </w:r>
      <w:bookmarkEnd w:id="1486"/>
    </w:p>
    <w:p w14:paraId="09D783E6">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6242C581">
      <w:pPr>
        <w:ind w:firstLine="600"/>
        <w:rPr>
          <w:rFonts w:hint="eastAsia" w:ascii="宋体" w:hAnsi="宋体" w:cs="宋体"/>
          <w:color w:val="auto"/>
          <w:szCs w:val="21"/>
          <w:highlight w:val="none"/>
        </w:rPr>
      </w:pPr>
      <w:r>
        <w:rPr>
          <w:rFonts w:hint="eastAsia" w:ascii="宋体" w:hAnsi="宋体" w:cs="宋体"/>
          <w:color w:val="auto"/>
          <w:szCs w:val="21"/>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752EF40C">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14:paraId="6E94F5C5">
      <w:pPr>
        <w:ind w:firstLine="600"/>
        <w:rPr>
          <w:rFonts w:hint="eastAsia" w:ascii="宋体" w:hAnsi="宋体" w:cs="宋体"/>
          <w:color w:val="auto"/>
          <w:szCs w:val="21"/>
          <w:highlight w:val="none"/>
        </w:rPr>
      </w:pPr>
      <w:r>
        <w:rPr>
          <w:rFonts w:hint="eastAsia" w:ascii="宋体" w:hAnsi="宋体" w:cs="宋体"/>
          <w:color w:val="auto"/>
          <w:szCs w:val="21"/>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6FC4FC9">
      <w:pPr>
        <w:ind w:firstLine="600"/>
        <w:rPr>
          <w:rFonts w:hint="eastAsia" w:ascii="宋体" w:hAnsi="宋体" w:cs="宋体"/>
          <w:color w:val="auto"/>
          <w:szCs w:val="21"/>
          <w:highlight w:val="none"/>
        </w:rPr>
      </w:pPr>
      <w:r>
        <w:rPr>
          <w:rFonts w:hint="eastAsia" w:ascii="宋体" w:hAnsi="宋体" w:cs="宋体"/>
          <w:color w:val="auto"/>
          <w:szCs w:val="21"/>
          <w:highlight w:val="none"/>
        </w:rPr>
        <w:t>承包人未通知工程师到场检查，私自将工程隐蔽部位覆盖的，工程师有权指示承包人钻孔探测或揭开检查，无论工程隐蔽部位质量是否合格，由此增加的费用和（或）延误的工期均由承包人承担。</w:t>
      </w:r>
    </w:p>
    <w:bookmarkEnd w:id="1471"/>
    <w:p w14:paraId="6692FFDF">
      <w:pPr>
        <w:pStyle w:val="87"/>
        <w:widowControl/>
        <w:numPr>
          <w:ilvl w:val="0"/>
          <w:numId w:val="0"/>
        </w:numPr>
        <w:spacing w:after="156"/>
        <w:rPr>
          <w:rFonts w:hint="eastAsia" w:ascii="宋体" w:hAnsi="宋体" w:eastAsia="宋体" w:cs="宋体"/>
          <w:b w:val="0"/>
          <w:bCs/>
          <w:color w:val="auto"/>
          <w:sz w:val="21"/>
          <w:szCs w:val="21"/>
          <w:highlight w:val="none"/>
        </w:rPr>
      </w:pPr>
      <w:bookmarkStart w:id="1487" w:name="_Ref11927403"/>
      <w:bookmarkStart w:id="1488" w:name="_Ref11927398"/>
      <w:bookmarkStart w:id="1489" w:name="_Ref11927389"/>
      <w:bookmarkStart w:id="1490" w:name="_Toc103175707"/>
      <w:bookmarkStart w:id="1491" w:name="_Ref11959175"/>
      <w:bookmarkStart w:id="1492" w:name="_Toc21292"/>
      <w:bookmarkStart w:id="1493" w:name="_Toc7866"/>
      <w:bookmarkStart w:id="1494" w:name="_Ref11959158"/>
      <w:bookmarkStart w:id="1495" w:name="_Toc16726"/>
      <w:bookmarkStart w:id="1496" w:name="_Toc28823"/>
      <w:bookmarkStart w:id="1497" w:name="_Toc28154"/>
      <w:bookmarkStart w:id="1498" w:name="_Toc6774"/>
      <w:bookmarkStart w:id="1499" w:name="_Toc21793"/>
      <w:bookmarkStart w:id="1500" w:name="_Toc30363"/>
      <w:r>
        <w:rPr>
          <w:rFonts w:hint="eastAsia" w:ascii="宋体" w:hAnsi="宋体" w:eastAsia="宋体" w:cs="宋体"/>
          <w:b w:val="0"/>
          <w:bCs/>
          <w:color w:val="auto"/>
          <w:sz w:val="21"/>
          <w:szCs w:val="21"/>
          <w:highlight w:val="none"/>
        </w:rPr>
        <w:t>6.5 由承包人试验</w:t>
      </w:r>
      <w:bookmarkEnd w:id="1487"/>
      <w:bookmarkEnd w:id="1488"/>
      <w:bookmarkEnd w:id="1489"/>
      <w:r>
        <w:rPr>
          <w:rFonts w:hint="eastAsia" w:ascii="宋体" w:hAnsi="宋体" w:eastAsia="宋体" w:cs="宋体"/>
          <w:b w:val="0"/>
          <w:bCs/>
          <w:color w:val="auto"/>
          <w:sz w:val="21"/>
          <w:szCs w:val="21"/>
          <w:highlight w:val="none"/>
        </w:rPr>
        <w:t>和检验</w:t>
      </w:r>
      <w:bookmarkEnd w:id="1490"/>
      <w:bookmarkEnd w:id="1491"/>
      <w:bookmarkEnd w:id="1492"/>
      <w:bookmarkEnd w:id="1493"/>
      <w:bookmarkEnd w:id="1494"/>
      <w:bookmarkEnd w:id="1495"/>
      <w:bookmarkEnd w:id="1496"/>
      <w:bookmarkEnd w:id="1497"/>
      <w:bookmarkEnd w:id="1498"/>
      <w:bookmarkEnd w:id="1499"/>
      <w:bookmarkEnd w:id="1500"/>
    </w:p>
    <w:bookmarkEnd w:id="1472"/>
    <w:p w14:paraId="44536955">
      <w:pPr>
        <w:pStyle w:val="88"/>
        <w:numPr>
          <w:ilvl w:val="0"/>
          <w:numId w:val="0"/>
        </w:numPr>
        <w:spacing w:after="156"/>
        <w:rPr>
          <w:rFonts w:hint="eastAsia" w:cs="宋体"/>
          <w:color w:val="auto"/>
          <w:sz w:val="21"/>
          <w:highlight w:val="none"/>
        </w:rPr>
      </w:pPr>
      <w:r>
        <w:rPr>
          <w:rFonts w:hint="eastAsia" w:cs="宋体"/>
          <w:color w:val="auto"/>
          <w:sz w:val="21"/>
          <w:highlight w:val="none"/>
        </w:rPr>
        <w:t>6.5.1 试验设备与试验人员</w:t>
      </w:r>
    </w:p>
    <w:p w14:paraId="663F68F1">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1A2633F6">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承包人应按专用合同条件约定的试验内容、时间和地点提供试验设备、取样装置、试验场所和试验条件，并向工程师提交相应进场计划表。</w:t>
      </w:r>
    </w:p>
    <w:p w14:paraId="58958C14">
      <w:pPr>
        <w:ind w:firstLine="600"/>
        <w:rPr>
          <w:rFonts w:hint="eastAsia" w:ascii="宋体" w:hAnsi="宋体" w:cs="宋体"/>
          <w:color w:val="auto"/>
          <w:szCs w:val="21"/>
          <w:highlight w:val="none"/>
        </w:rPr>
      </w:pPr>
      <w:r>
        <w:rPr>
          <w:rFonts w:hint="eastAsia" w:ascii="宋体" w:hAnsi="宋体" w:cs="宋体"/>
          <w:color w:val="auto"/>
          <w:szCs w:val="21"/>
          <w:highlight w:val="none"/>
        </w:rPr>
        <w:t>承包人配置的试验设备要符合相应试验规程的要求并经过具有资质的检测单位检测，且在正式使用该试验设备前，需要经过工程师与承包人共同校定。</w:t>
      </w:r>
    </w:p>
    <w:p w14:paraId="7B897051">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承包人应向工程师提交试验人员的名单及其岗位、资格等证明资料，试验人员必须能够熟练进行相应的检测试验，承包人对试验人员的试验程序和试验结果的正确性负责。</w:t>
      </w:r>
    </w:p>
    <w:p w14:paraId="5B001E67">
      <w:pPr>
        <w:pStyle w:val="88"/>
        <w:numPr>
          <w:ilvl w:val="0"/>
          <w:numId w:val="0"/>
        </w:numPr>
        <w:spacing w:after="156"/>
        <w:rPr>
          <w:rFonts w:hint="eastAsia" w:cs="宋体"/>
          <w:color w:val="auto"/>
          <w:sz w:val="21"/>
          <w:highlight w:val="none"/>
        </w:rPr>
      </w:pPr>
      <w:r>
        <w:rPr>
          <w:rFonts w:hint="eastAsia" w:cs="宋体"/>
          <w:color w:val="auto"/>
          <w:sz w:val="21"/>
          <w:highlight w:val="none"/>
        </w:rPr>
        <w:t>6.5.2 取样</w:t>
      </w:r>
    </w:p>
    <w:p w14:paraId="144F4642">
      <w:pPr>
        <w:ind w:firstLine="600"/>
        <w:rPr>
          <w:rFonts w:hint="eastAsia" w:ascii="宋体" w:hAnsi="宋体" w:cs="宋体"/>
          <w:color w:val="auto"/>
          <w:szCs w:val="21"/>
          <w:highlight w:val="none"/>
        </w:rPr>
      </w:pPr>
      <w:r>
        <w:rPr>
          <w:rFonts w:hint="eastAsia" w:ascii="宋体" w:hAnsi="宋体" w:cs="宋体"/>
          <w:color w:val="auto"/>
          <w:szCs w:val="21"/>
          <w:highlight w:val="none"/>
        </w:rPr>
        <w:t>试验属于自检性质的，承包人可以单独取样。试验属于工程师抽检性质的，可由工程师取样，也可由承包人的试验人员在工程师的监督下取样。</w:t>
      </w:r>
    </w:p>
    <w:p w14:paraId="4D63BEFA">
      <w:pPr>
        <w:pStyle w:val="88"/>
        <w:numPr>
          <w:ilvl w:val="0"/>
          <w:numId w:val="0"/>
        </w:numPr>
        <w:spacing w:after="156"/>
        <w:rPr>
          <w:rFonts w:hint="eastAsia" w:cs="宋体"/>
          <w:color w:val="auto"/>
          <w:sz w:val="21"/>
          <w:highlight w:val="none"/>
        </w:rPr>
      </w:pPr>
      <w:r>
        <w:rPr>
          <w:rFonts w:hint="eastAsia" w:cs="宋体"/>
          <w:color w:val="auto"/>
          <w:sz w:val="21"/>
          <w:highlight w:val="none"/>
        </w:rPr>
        <w:t>6.5.3 材料、工程设备和工程的试验和检验</w:t>
      </w:r>
    </w:p>
    <w:p w14:paraId="5A741A1C">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61BAAE34">
      <w:pPr>
        <w:ind w:firstLine="600"/>
        <w:rPr>
          <w:rFonts w:hint="eastAsia" w:ascii="宋体" w:hAnsi="宋体" w:cs="宋体"/>
          <w:color w:val="auto"/>
          <w:szCs w:val="21"/>
          <w:highlight w:val="none"/>
        </w:rPr>
      </w:pPr>
      <w:r>
        <w:rPr>
          <w:rFonts w:hint="eastAsia" w:ascii="宋体" w:hAnsi="宋体" w:cs="宋体"/>
          <w:color w:val="auto"/>
          <w:szCs w:val="21"/>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10ACEE38">
      <w:pPr>
        <w:ind w:firstLine="600"/>
        <w:rPr>
          <w:rFonts w:hint="eastAsia" w:ascii="宋体" w:hAnsi="宋体" w:cs="宋体"/>
          <w:color w:val="auto"/>
          <w:szCs w:val="21"/>
          <w:highlight w:val="none"/>
        </w:rPr>
      </w:pPr>
      <w:r>
        <w:rPr>
          <w:rFonts w:hint="eastAsia" w:ascii="宋体" w:hAnsi="宋体" w:cs="宋体"/>
          <w:color w:val="auto"/>
          <w:szCs w:val="21"/>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9129ADD">
      <w:pPr>
        <w:pStyle w:val="88"/>
        <w:numPr>
          <w:ilvl w:val="0"/>
          <w:numId w:val="0"/>
        </w:numPr>
        <w:spacing w:after="156"/>
        <w:rPr>
          <w:rFonts w:hint="eastAsia" w:cs="宋体"/>
          <w:color w:val="auto"/>
          <w:sz w:val="21"/>
          <w:highlight w:val="none"/>
        </w:rPr>
      </w:pPr>
      <w:bookmarkStart w:id="1501" w:name="_Toc351203566"/>
      <w:bookmarkStart w:id="1502" w:name="_Toc337558786"/>
      <w:r>
        <w:rPr>
          <w:rFonts w:hint="eastAsia" w:cs="宋体"/>
          <w:color w:val="auto"/>
          <w:sz w:val="21"/>
          <w:highlight w:val="none"/>
        </w:rPr>
        <w:t>6.5.4 现场工艺试验</w:t>
      </w:r>
      <w:bookmarkEnd w:id="1501"/>
    </w:p>
    <w:bookmarkEnd w:id="1502"/>
    <w:p w14:paraId="2CAC15C6">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承包人应按合同约定进行现场工艺试验。对大型的现场工艺试验，发包人认为必要时，承包人应根据发包人提出的工艺试验要求，编制工艺试验措施计划，报送发包人审查。</w:t>
      </w:r>
    </w:p>
    <w:p w14:paraId="6267A224">
      <w:pPr>
        <w:pStyle w:val="87"/>
        <w:widowControl/>
        <w:numPr>
          <w:ilvl w:val="0"/>
          <w:numId w:val="0"/>
        </w:numPr>
        <w:spacing w:after="156"/>
        <w:rPr>
          <w:rFonts w:hint="eastAsia" w:ascii="宋体" w:hAnsi="宋体" w:eastAsia="宋体" w:cs="宋体"/>
          <w:b w:val="0"/>
          <w:bCs/>
          <w:color w:val="auto"/>
          <w:sz w:val="21"/>
          <w:szCs w:val="21"/>
          <w:highlight w:val="none"/>
        </w:rPr>
      </w:pPr>
      <w:bookmarkStart w:id="1503" w:name="_Toc30554"/>
      <w:bookmarkStart w:id="1504" w:name="_Toc28612"/>
      <w:bookmarkStart w:id="1505" w:name="_Toc32257"/>
      <w:bookmarkStart w:id="1506" w:name="_Toc6254"/>
      <w:bookmarkStart w:id="1507" w:name="_Ref532592787"/>
      <w:bookmarkStart w:id="1508" w:name="_Toc103175708"/>
      <w:bookmarkStart w:id="1509" w:name="_Ref532592784"/>
      <w:bookmarkStart w:id="1510" w:name="_Toc11208"/>
      <w:bookmarkStart w:id="1511" w:name="_Toc6912"/>
      <w:bookmarkStart w:id="1512" w:name="_Toc31869"/>
      <w:bookmarkStart w:id="1513" w:name="_Toc27035"/>
      <w:r>
        <w:rPr>
          <w:rFonts w:hint="eastAsia" w:ascii="宋体" w:hAnsi="宋体" w:eastAsia="宋体" w:cs="宋体"/>
          <w:b w:val="0"/>
          <w:bCs/>
          <w:color w:val="auto"/>
          <w:sz w:val="21"/>
          <w:szCs w:val="21"/>
          <w:highlight w:val="none"/>
        </w:rPr>
        <w:t>6.6 缺陷和修补</w:t>
      </w:r>
      <w:bookmarkEnd w:id="1503"/>
      <w:bookmarkEnd w:id="1504"/>
      <w:bookmarkEnd w:id="1505"/>
      <w:bookmarkEnd w:id="1506"/>
      <w:bookmarkEnd w:id="1507"/>
      <w:bookmarkEnd w:id="1508"/>
      <w:bookmarkEnd w:id="1509"/>
      <w:bookmarkEnd w:id="1510"/>
      <w:bookmarkEnd w:id="1511"/>
      <w:bookmarkEnd w:id="1512"/>
      <w:bookmarkEnd w:id="1513"/>
    </w:p>
    <w:p w14:paraId="5BA34595">
      <w:pPr>
        <w:pStyle w:val="88"/>
        <w:numPr>
          <w:ilvl w:val="0"/>
          <w:numId w:val="0"/>
        </w:numPr>
        <w:spacing w:after="156"/>
        <w:rPr>
          <w:rFonts w:hint="eastAsia" w:cs="宋体"/>
          <w:color w:val="auto"/>
          <w:sz w:val="21"/>
          <w:highlight w:val="none"/>
        </w:rPr>
      </w:pPr>
      <w:bookmarkStart w:id="1514" w:name="_Ref16875551"/>
      <w:r>
        <w:rPr>
          <w:rFonts w:hint="eastAsia" w:cs="宋体"/>
          <w:color w:val="auto"/>
          <w:sz w:val="21"/>
          <w:highlight w:val="none"/>
        </w:rPr>
        <w:t>6.6.1 发包人可在颁发接收证书前随时指示承包人：</w:t>
      </w:r>
      <w:bookmarkEnd w:id="1514"/>
    </w:p>
    <w:p w14:paraId="19108BD7">
      <w:pPr>
        <w:ind w:firstLine="600"/>
        <w:rPr>
          <w:rFonts w:hint="eastAsia" w:ascii="宋体" w:hAnsi="宋体" w:cs="宋体"/>
          <w:color w:val="auto"/>
          <w:szCs w:val="21"/>
          <w:highlight w:val="none"/>
        </w:rPr>
      </w:pPr>
      <w:r>
        <w:rPr>
          <w:rFonts w:hint="eastAsia" w:ascii="宋体" w:hAnsi="宋体" w:cs="宋体"/>
          <w:color w:val="auto"/>
          <w:szCs w:val="21"/>
          <w:highlight w:val="none"/>
        </w:rPr>
        <w:t>（1） 对不符合合同要求的任何工程设备或材料进行修补，或者将其移出现场并进行更换；</w:t>
      </w:r>
    </w:p>
    <w:p w14:paraId="285A1875">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（2） 对不符合合同的其他工作进行修补，或者将其去除并重新实施； </w:t>
      </w:r>
    </w:p>
    <w:p w14:paraId="60944F4E">
      <w:pPr>
        <w:ind w:firstLine="600"/>
        <w:rPr>
          <w:rFonts w:hint="eastAsia" w:ascii="宋体" w:hAnsi="宋体" w:cs="宋体"/>
          <w:color w:val="auto"/>
          <w:szCs w:val="21"/>
          <w:highlight w:val="none"/>
        </w:rPr>
      </w:pPr>
      <w:bookmarkStart w:id="1515" w:name="_Ref4708991"/>
      <w:r>
        <w:rPr>
          <w:rFonts w:hint="eastAsia" w:ascii="宋体" w:hAnsi="宋体" w:cs="宋体"/>
          <w:color w:val="auto"/>
          <w:szCs w:val="21"/>
          <w:highlight w:val="none"/>
        </w:rPr>
        <w:t>（3） 实施因意外、不可预见的事件或其他原因引起的、为工程的安全迫切需要的任何修补工作。</w:t>
      </w:r>
      <w:bookmarkEnd w:id="1515"/>
    </w:p>
    <w:p w14:paraId="584EB789">
      <w:pPr>
        <w:pStyle w:val="88"/>
        <w:numPr>
          <w:ilvl w:val="0"/>
          <w:numId w:val="0"/>
        </w:numPr>
        <w:spacing w:after="156"/>
        <w:rPr>
          <w:rFonts w:hint="eastAsia" w:cs="宋体"/>
          <w:color w:val="auto"/>
          <w:sz w:val="21"/>
          <w:highlight w:val="none"/>
        </w:rPr>
      </w:pPr>
      <w:bookmarkStart w:id="1516" w:name="_Ref11956964"/>
      <w:r>
        <w:rPr>
          <w:rFonts w:hint="eastAsia" w:cs="宋体"/>
          <w:color w:val="auto"/>
          <w:sz w:val="21"/>
          <w:highlight w:val="none"/>
        </w:rPr>
        <w:t>6.6.2 承包人应遵守第6.6.1项下指示，并在合理可行的情况下，根据上述指示中规定的时间完成修补工作。除因下列原因引起的第6.6.1项第（3）目下的情形外，承包人应承担所有修补工作的费用：</w:t>
      </w:r>
      <w:bookmarkEnd w:id="1516"/>
    </w:p>
    <w:p w14:paraId="6FC15176">
      <w:pPr>
        <w:ind w:firstLine="600"/>
        <w:rPr>
          <w:rFonts w:hint="eastAsia" w:ascii="宋体" w:hAnsi="宋体" w:cs="宋体"/>
          <w:color w:val="auto"/>
          <w:szCs w:val="21"/>
          <w:highlight w:val="none"/>
        </w:rPr>
      </w:pPr>
      <w:r>
        <w:rPr>
          <w:rFonts w:hint="eastAsia" w:ascii="宋体" w:hAnsi="宋体" w:cs="宋体"/>
          <w:color w:val="auto"/>
          <w:szCs w:val="21"/>
          <w:highlight w:val="none"/>
        </w:rPr>
        <w:t>（1） 因发包人或其人员的任何行为导致的情形，且在此情况下发包人应承担因此引起的工期延误和承包人费用损失，并向承包人支付合理的利润。</w:t>
      </w:r>
    </w:p>
    <w:p w14:paraId="27261970">
      <w:pPr>
        <w:ind w:firstLine="600"/>
        <w:rPr>
          <w:rFonts w:hint="eastAsia" w:ascii="宋体" w:hAnsi="宋体" w:cs="宋体"/>
          <w:color w:val="auto"/>
          <w:szCs w:val="21"/>
          <w:highlight w:val="none"/>
        </w:rPr>
      </w:pPr>
      <w:r>
        <w:rPr>
          <w:rFonts w:hint="eastAsia" w:ascii="宋体" w:hAnsi="宋体" w:cs="宋体"/>
          <w:color w:val="auto"/>
          <w:szCs w:val="21"/>
          <w:highlight w:val="none"/>
        </w:rPr>
        <w:t>（2） 第17.4款[不可抗力后果的承担]中适用的不可抗力事件的情形。</w:t>
      </w:r>
    </w:p>
    <w:p w14:paraId="432AC8C6">
      <w:pPr>
        <w:pStyle w:val="88"/>
        <w:numPr>
          <w:ilvl w:val="0"/>
          <w:numId w:val="0"/>
        </w:numPr>
        <w:spacing w:after="156"/>
        <w:rPr>
          <w:rFonts w:hint="eastAsia" w:cs="宋体"/>
          <w:color w:val="auto"/>
          <w:sz w:val="21"/>
          <w:highlight w:val="none"/>
        </w:rPr>
      </w:pPr>
      <w:r>
        <w:rPr>
          <w:rFonts w:hint="eastAsia" w:cs="宋体"/>
          <w:color w:val="auto"/>
          <w:sz w:val="21"/>
          <w:highlight w:val="none"/>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14:paraId="72D02F6B">
      <w:pPr>
        <w:pStyle w:val="86"/>
        <w:numPr>
          <w:ilvl w:val="0"/>
          <w:numId w:val="0"/>
        </w:numPr>
        <w:rPr>
          <w:rFonts w:hint="eastAsia" w:ascii="宋体" w:hAnsi="宋体" w:eastAsia="宋体" w:cs="宋体"/>
          <w:b w:val="0"/>
          <w:color w:val="auto"/>
          <w:sz w:val="21"/>
          <w:szCs w:val="21"/>
          <w:highlight w:val="none"/>
        </w:rPr>
      </w:pPr>
      <w:bookmarkStart w:id="1517" w:name="_Toc6060"/>
      <w:bookmarkStart w:id="1518" w:name="_Toc1807"/>
      <w:bookmarkStart w:id="1519" w:name="_Toc8886"/>
      <w:bookmarkStart w:id="1520" w:name="_Toc11179"/>
      <w:bookmarkStart w:id="1521" w:name="_Toc19149"/>
      <w:bookmarkStart w:id="1522" w:name="_Toc5874"/>
      <w:bookmarkStart w:id="1523" w:name="_Toc23594"/>
      <w:bookmarkStart w:id="1524" w:name="_Toc9229"/>
      <w:bookmarkStart w:id="1525" w:name="_Toc5257"/>
      <w:bookmarkStart w:id="1526" w:name="_Toc24710"/>
      <w:bookmarkStart w:id="1527" w:name="_Ref531954214"/>
      <w:bookmarkStart w:id="1528" w:name="_Toc103175709"/>
      <w:r>
        <w:rPr>
          <w:rFonts w:hint="eastAsia" w:ascii="宋体" w:hAnsi="宋体" w:eastAsia="宋体" w:cs="宋体"/>
          <w:b w:val="0"/>
          <w:color w:val="auto"/>
          <w:sz w:val="21"/>
          <w:szCs w:val="21"/>
          <w:highlight w:val="none"/>
        </w:rPr>
        <w:t>第7条 施工</w:t>
      </w:r>
      <w:bookmarkEnd w:id="1517"/>
      <w:bookmarkEnd w:id="1518"/>
      <w:bookmarkEnd w:id="1519"/>
      <w:bookmarkEnd w:id="1520"/>
      <w:bookmarkEnd w:id="1521"/>
      <w:bookmarkEnd w:id="1522"/>
      <w:bookmarkEnd w:id="1523"/>
      <w:bookmarkEnd w:id="1524"/>
      <w:bookmarkEnd w:id="1525"/>
      <w:bookmarkEnd w:id="1526"/>
      <w:bookmarkEnd w:id="1527"/>
      <w:bookmarkEnd w:id="1528"/>
    </w:p>
    <w:p w14:paraId="7160EB2C">
      <w:pPr>
        <w:pStyle w:val="87"/>
        <w:widowControl/>
        <w:numPr>
          <w:ilvl w:val="0"/>
          <w:numId w:val="0"/>
        </w:numPr>
        <w:spacing w:after="156"/>
        <w:rPr>
          <w:rFonts w:hint="eastAsia" w:ascii="宋体" w:hAnsi="宋体" w:eastAsia="宋体" w:cs="宋体"/>
          <w:b w:val="0"/>
          <w:bCs/>
          <w:color w:val="auto"/>
          <w:sz w:val="21"/>
          <w:szCs w:val="21"/>
          <w:highlight w:val="none"/>
        </w:rPr>
      </w:pPr>
      <w:bookmarkStart w:id="1529" w:name="_Toc24979"/>
      <w:bookmarkStart w:id="1530" w:name="_Toc2567"/>
      <w:bookmarkStart w:id="1531" w:name="_Toc11659"/>
      <w:bookmarkStart w:id="1532" w:name="_Toc103175710"/>
      <w:bookmarkStart w:id="1533" w:name="_Toc20924"/>
      <w:bookmarkStart w:id="1534" w:name="_Toc17411"/>
      <w:bookmarkStart w:id="1535" w:name="_Toc2166"/>
      <w:bookmarkStart w:id="1536" w:name="_Toc31330"/>
      <w:bookmarkStart w:id="1537" w:name="_Toc8569"/>
      <w:bookmarkStart w:id="1538" w:name="_Ref531954272"/>
      <w:bookmarkStart w:id="1539" w:name="_Ref531954276"/>
      <w:bookmarkStart w:id="1540" w:name="_Ref531954246"/>
      <w:bookmarkStart w:id="1541" w:name="_Ref531954260"/>
      <w:r>
        <w:rPr>
          <w:rFonts w:hint="eastAsia" w:ascii="宋体" w:hAnsi="宋体" w:eastAsia="宋体" w:cs="宋体"/>
          <w:b w:val="0"/>
          <w:bCs/>
          <w:color w:val="auto"/>
          <w:sz w:val="21"/>
          <w:szCs w:val="21"/>
          <w:highlight w:val="none"/>
        </w:rPr>
        <w:t>7.1 交通运输</w:t>
      </w:r>
      <w:bookmarkEnd w:id="1529"/>
      <w:bookmarkEnd w:id="1530"/>
      <w:bookmarkEnd w:id="1531"/>
      <w:bookmarkEnd w:id="1532"/>
      <w:bookmarkEnd w:id="1533"/>
      <w:bookmarkEnd w:id="1534"/>
      <w:bookmarkEnd w:id="1535"/>
      <w:bookmarkEnd w:id="1536"/>
      <w:bookmarkEnd w:id="1537"/>
      <w:bookmarkEnd w:id="1538"/>
      <w:bookmarkEnd w:id="1539"/>
      <w:r>
        <w:rPr>
          <w:rFonts w:hint="eastAsia" w:ascii="宋体" w:hAnsi="宋体" w:eastAsia="宋体" w:cs="宋体"/>
          <w:b w:val="0"/>
          <w:bCs/>
          <w:color w:val="auto"/>
          <w:sz w:val="21"/>
          <w:szCs w:val="21"/>
          <w:highlight w:val="none"/>
        </w:rPr>
        <w:t xml:space="preserve"> </w:t>
      </w:r>
    </w:p>
    <w:p w14:paraId="07CF79DE">
      <w:pPr>
        <w:pStyle w:val="88"/>
        <w:numPr>
          <w:ilvl w:val="0"/>
          <w:numId w:val="0"/>
        </w:numPr>
        <w:spacing w:after="156"/>
        <w:rPr>
          <w:rFonts w:hint="eastAsia" w:cs="宋体"/>
          <w:color w:val="auto"/>
          <w:sz w:val="21"/>
          <w:highlight w:val="none"/>
        </w:rPr>
      </w:pPr>
      <w:bookmarkStart w:id="1542" w:name="_Ref4422645"/>
      <w:r>
        <w:rPr>
          <w:rFonts w:hint="eastAsia" w:cs="宋体"/>
          <w:color w:val="auto"/>
          <w:sz w:val="21"/>
          <w:highlight w:val="none"/>
        </w:rPr>
        <w:t>7.1.1 出入现场的权利</w:t>
      </w:r>
      <w:bookmarkEnd w:id="1542"/>
    </w:p>
    <w:p w14:paraId="149480C8">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287C03C8">
      <w:pPr>
        <w:pStyle w:val="88"/>
        <w:numPr>
          <w:ilvl w:val="0"/>
          <w:numId w:val="0"/>
        </w:numPr>
        <w:spacing w:after="156"/>
        <w:rPr>
          <w:rFonts w:hint="eastAsia" w:cs="宋体"/>
          <w:color w:val="auto"/>
          <w:sz w:val="21"/>
          <w:highlight w:val="none"/>
        </w:rPr>
      </w:pPr>
      <w:bookmarkStart w:id="1543" w:name="_Ref18957045"/>
      <w:r>
        <w:rPr>
          <w:rFonts w:hint="eastAsia" w:cs="宋体"/>
          <w:color w:val="auto"/>
          <w:sz w:val="21"/>
          <w:highlight w:val="none"/>
        </w:rPr>
        <w:t>7.1.2 场外交通</w:t>
      </w:r>
      <w:bookmarkEnd w:id="1543"/>
    </w:p>
    <w:p w14:paraId="089D0BE0">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76FE6634">
      <w:pPr>
        <w:pStyle w:val="88"/>
        <w:numPr>
          <w:ilvl w:val="0"/>
          <w:numId w:val="0"/>
        </w:numPr>
        <w:spacing w:after="156"/>
        <w:rPr>
          <w:rFonts w:hint="eastAsia" w:cs="宋体"/>
          <w:color w:val="auto"/>
          <w:sz w:val="21"/>
          <w:highlight w:val="none"/>
        </w:rPr>
      </w:pPr>
      <w:bookmarkStart w:id="1544" w:name="_Ref4622358"/>
      <w:r>
        <w:rPr>
          <w:rFonts w:hint="eastAsia" w:cs="宋体"/>
          <w:color w:val="auto"/>
          <w:sz w:val="21"/>
          <w:highlight w:val="none"/>
        </w:rPr>
        <w:t>7.1.3 场内交通</w:t>
      </w:r>
      <w:bookmarkEnd w:id="1544"/>
    </w:p>
    <w:p w14:paraId="7E25B2DF">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6B1B311F">
      <w:pPr>
        <w:pStyle w:val="88"/>
        <w:numPr>
          <w:ilvl w:val="0"/>
          <w:numId w:val="0"/>
        </w:numPr>
        <w:spacing w:after="156"/>
        <w:rPr>
          <w:rFonts w:hint="eastAsia" w:cs="宋体"/>
          <w:color w:val="auto"/>
          <w:sz w:val="21"/>
          <w:highlight w:val="none"/>
        </w:rPr>
      </w:pPr>
      <w:bookmarkStart w:id="1545" w:name="_Ref4622376"/>
      <w:r>
        <w:rPr>
          <w:rFonts w:hint="eastAsia" w:cs="宋体"/>
          <w:color w:val="auto"/>
          <w:sz w:val="21"/>
          <w:highlight w:val="none"/>
        </w:rPr>
        <w:t>7.1.4 超大件和超重件的运输</w:t>
      </w:r>
      <w:bookmarkEnd w:id="1545"/>
    </w:p>
    <w:p w14:paraId="66EA9756">
      <w:pPr>
        <w:ind w:firstLine="600"/>
        <w:rPr>
          <w:rFonts w:hint="eastAsia" w:ascii="宋体" w:hAnsi="宋体" w:cs="宋体"/>
          <w:color w:val="auto"/>
          <w:szCs w:val="21"/>
          <w:highlight w:val="none"/>
        </w:rPr>
      </w:pPr>
      <w:r>
        <w:rPr>
          <w:rFonts w:hint="eastAsia" w:ascii="宋体" w:hAnsi="宋体" w:cs="宋体"/>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3D0D20C6">
      <w:pPr>
        <w:pStyle w:val="88"/>
        <w:numPr>
          <w:ilvl w:val="0"/>
          <w:numId w:val="0"/>
        </w:numPr>
        <w:spacing w:after="156"/>
        <w:rPr>
          <w:rFonts w:hint="eastAsia" w:cs="宋体"/>
          <w:color w:val="auto"/>
          <w:sz w:val="21"/>
          <w:highlight w:val="none"/>
        </w:rPr>
      </w:pPr>
      <w:r>
        <w:rPr>
          <w:rFonts w:hint="eastAsia" w:cs="宋体"/>
          <w:color w:val="auto"/>
          <w:sz w:val="21"/>
          <w:highlight w:val="none"/>
        </w:rPr>
        <w:t>7.1.5 道路和桥梁的损坏责任</w:t>
      </w:r>
    </w:p>
    <w:p w14:paraId="02904742">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因承包人运输造成施工现场内外公共道路和桥梁损坏的，由承包人承担修复损坏的全部费用和可能引起的赔偿。</w:t>
      </w:r>
    </w:p>
    <w:p w14:paraId="133CFD49">
      <w:pPr>
        <w:pStyle w:val="88"/>
        <w:numPr>
          <w:ilvl w:val="0"/>
          <w:numId w:val="0"/>
        </w:numPr>
        <w:spacing w:after="156"/>
        <w:rPr>
          <w:rFonts w:hint="eastAsia" w:cs="宋体"/>
          <w:color w:val="auto"/>
          <w:sz w:val="21"/>
          <w:highlight w:val="none"/>
        </w:rPr>
      </w:pPr>
      <w:r>
        <w:rPr>
          <w:rFonts w:hint="eastAsia" w:cs="宋体"/>
          <w:color w:val="auto"/>
          <w:sz w:val="21"/>
          <w:highlight w:val="none"/>
        </w:rPr>
        <w:t>7.1.6 水路和航空运输</w:t>
      </w:r>
    </w:p>
    <w:p w14:paraId="3C0AB3E6">
      <w:pPr>
        <w:ind w:firstLine="600"/>
        <w:rPr>
          <w:rFonts w:hint="eastAsia" w:ascii="宋体" w:hAnsi="宋体" w:cs="宋体"/>
          <w:color w:val="auto"/>
          <w:szCs w:val="21"/>
          <w:highlight w:val="none"/>
        </w:rPr>
      </w:pPr>
      <w:r>
        <w:rPr>
          <w:rFonts w:hint="eastAsia" w:ascii="宋体" w:hAnsi="宋体" w:cs="宋体"/>
          <w:color w:val="auto"/>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14:paraId="3E727233">
      <w:pPr>
        <w:pStyle w:val="87"/>
        <w:widowControl/>
        <w:numPr>
          <w:ilvl w:val="0"/>
          <w:numId w:val="0"/>
        </w:numPr>
        <w:spacing w:after="156"/>
        <w:rPr>
          <w:rFonts w:hint="eastAsia" w:ascii="宋体" w:hAnsi="宋体" w:eastAsia="宋体" w:cs="宋体"/>
          <w:b w:val="0"/>
          <w:bCs/>
          <w:color w:val="auto"/>
          <w:sz w:val="21"/>
          <w:szCs w:val="21"/>
          <w:highlight w:val="none"/>
        </w:rPr>
      </w:pPr>
      <w:bookmarkStart w:id="1546" w:name="_Toc6478"/>
      <w:bookmarkStart w:id="1547" w:name="_Ref11919459"/>
      <w:bookmarkStart w:id="1548" w:name="_Toc103175711"/>
      <w:bookmarkStart w:id="1549" w:name="_Toc4459"/>
      <w:bookmarkStart w:id="1550" w:name="_Toc27079"/>
      <w:bookmarkStart w:id="1551" w:name="_Toc938"/>
      <w:bookmarkStart w:id="1552" w:name="_Toc23550"/>
      <w:bookmarkStart w:id="1553" w:name="_Toc6013"/>
      <w:bookmarkStart w:id="1554" w:name="_Toc18382"/>
      <w:bookmarkStart w:id="1555" w:name="_Ref11919294"/>
      <w:bookmarkStart w:id="1556" w:name="_Toc15213"/>
      <w:r>
        <w:rPr>
          <w:rFonts w:hint="eastAsia" w:ascii="宋体" w:hAnsi="宋体" w:eastAsia="宋体" w:cs="宋体"/>
          <w:b w:val="0"/>
          <w:bCs/>
          <w:color w:val="auto"/>
          <w:sz w:val="21"/>
          <w:szCs w:val="21"/>
          <w:highlight w:val="none"/>
        </w:rPr>
        <w:t>7.2 施工设备和临时设施</w:t>
      </w:r>
      <w:bookmarkEnd w:id="1540"/>
      <w:bookmarkEnd w:id="1541"/>
      <w:bookmarkEnd w:id="1546"/>
      <w:bookmarkEnd w:id="1547"/>
      <w:bookmarkEnd w:id="1548"/>
      <w:bookmarkEnd w:id="1549"/>
      <w:bookmarkEnd w:id="1550"/>
      <w:bookmarkEnd w:id="1551"/>
      <w:bookmarkEnd w:id="1552"/>
      <w:bookmarkEnd w:id="1553"/>
      <w:bookmarkEnd w:id="1554"/>
      <w:bookmarkEnd w:id="1555"/>
      <w:bookmarkEnd w:id="1556"/>
      <w:r>
        <w:rPr>
          <w:rFonts w:hint="eastAsia" w:ascii="宋体" w:hAnsi="宋体" w:eastAsia="宋体" w:cs="宋体"/>
          <w:b w:val="0"/>
          <w:bCs/>
          <w:color w:val="auto"/>
          <w:sz w:val="21"/>
          <w:szCs w:val="21"/>
          <w:highlight w:val="none"/>
        </w:rPr>
        <w:t xml:space="preserve"> </w:t>
      </w:r>
    </w:p>
    <w:p w14:paraId="5C666303">
      <w:pPr>
        <w:pStyle w:val="88"/>
        <w:numPr>
          <w:ilvl w:val="0"/>
          <w:numId w:val="0"/>
        </w:numPr>
        <w:spacing w:after="156"/>
        <w:rPr>
          <w:rFonts w:hint="eastAsia" w:cs="宋体"/>
          <w:color w:val="auto"/>
          <w:sz w:val="21"/>
          <w:highlight w:val="none"/>
        </w:rPr>
      </w:pPr>
      <w:bookmarkStart w:id="1557" w:name="_Ref18990767"/>
      <w:bookmarkStart w:id="1558" w:name="_Ref509043186"/>
      <w:r>
        <w:rPr>
          <w:rFonts w:hint="eastAsia" w:cs="宋体"/>
          <w:color w:val="auto"/>
          <w:sz w:val="21"/>
          <w:highlight w:val="none"/>
        </w:rPr>
        <w:t>7.2.1 承包人提供的施工设备和临时设施</w:t>
      </w:r>
      <w:bookmarkEnd w:id="1557"/>
    </w:p>
    <w:p w14:paraId="32B394BE">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72ECD17B">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1558"/>
    <w:p w14:paraId="12CC9129">
      <w:pPr>
        <w:pStyle w:val="88"/>
        <w:numPr>
          <w:ilvl w:val="0"/>
          <w:numId w:val="0"/>
        </w:numPr>
        <w:spacing w:after="156"/>
        <w:rPr>
          <w:rFonts w:hint="eastAsia" w:cs="宋体"/>
          <w:color w:val="auto"/>
          <w:sz w:val="21"/>
          <w:highlight w:val="none"/>
        </w:rPr>
      </w:pPr>
      <w:bookmarkStart w:id="1559" w:name="_Ref18990784"/>
      <w:r>
        <w:rPr>
          <w:rFonts w:hint="eastAsia" w:cs="宋体"/>
          <w:color w:val="auto"/>
          <w:sz w:val="21"/>
          <w:highlight w:val="none"/>
        </w:rPr>
        <w:t>7.2.2 发包人提供的施工设备和临时设施</w:t>
      </w:r>
      <w:bookmarkEnd w:id="1559"/>
    </w:p>
    <w:p w14:paraId="42401261">
      <w:pPr>
        <w:ind w:firstLine="600"/>
        <w:rPr>
          <w:rFonts w:hint="eastAsia" w:ascii="宋体" w:hAnsi="宋体" w:cs="宋体"/>
          <w:color w:val="auto"/>
          <w:szCs w:val="21"/>
          <w:highlight w:val="none"/>
        </w:rPr>
      </w:pPr>
      <w:r>
        <w:rPr>
          <w:rFonts w:hint="eastAsia" w:ascii="宋体" w:hAnsi="宋体" w:cs="宋体"/>
          <w:color w:val="auto"/>
          <w:szCs w:val="21"/>
          <w:highlight w:val="none"/>
        </w:rPr>
        <w:t>发包人提供的施工设备或临时设施在专用合同条件中约定。</w:t>
      </w:r>
    </w:p>
    <w:p w14:paraId="6CBCF921">
      <w:pPr>
        <w:pStyle w:val="88"/>
        <w:numPr>
          <w:ilvl w:val="0"/>
          <w:numId w:val="0"/>
        </w:numPr>
        <w:spacing w:after="156"/>
        <w:rPr>
          <w:rFonts w:hint="eastAsia" w:cs="宋体"/>
          <w:color w:val="auto"/>
          <w:sz w:val="21"/>
          <w:highlight w:val="none"/>
        </w:rPr>
      </w:pPr>
      <w:r>
        <w:rPr>
          <w:rFonts w:hint="eastAsia" w:cs="宋体"/>
          <w:color w:val="auto"/>
          <w:sz w:val="21"/>
          <w:highlight w:val="none"/>
        </w:rPr>
        <w:t>7.2.3 要求承包人增加或更换施工设备</w:t>
      </w:r>
    </w:p>
    <w:p w14:paraId="3603B269">
      <w:pPr>
        <w:ind w:firstLine="600"/>
        <w:rPr>
          <w:rFonts w:hint="eastAsia" w:ascii="宋体" w:hAnsi="宋体" w:cs="宋体"/>
          <w:color w:val="auto"/>
          <w:szCs w:val="21"/>
          <w:highlight w:val="none"/>
        </w:rPr>
      </w:pPr>
      <w:r>
        <w:rPr>
          <w:rFonts w:hint="eastAsia" w:ascii="宋体" w:hAnsi="宋体" w:cs="宋体"/>
          <w:color w:val="auto"/>
          <w:szCs w:val="21"/>
          <w:highlight w:val="none"/>
        </w:rPr>
        <w:t>承包人使用的施工设备不能满足项目进度计划和（或）质量要求时，工程师有权要求承包人增加或更换施工设备，承包人应及时增加或更换，由此增加的费用和（或）延误的工期由承包人承担。</w:t>
      </w:r>
    </w:p>
    <w:p w14:paraId="4960865D">
      <w:pPr>
        <w:pStyle w:val="88"/>
        <w:numPr>
          <w:ilvl w:val="0"/>
          <w:numId w:val="0"/>
        </w:numPr>
        <w:spacing w:after="156"/>
        <w:rPr>
          <w:rFonts w:hint="eastAsia" w:cs="宋体"/>
          <w:color w:val="auto"/>
          <w:sz w:val="21"/>
          <w:highlight w:val="none"/>
        </w:rPr>
      </w:pPr>
      <w:r>
        <w:rPr>
          <w:rFonts w:hint="eastAsia" w:cs="宋体"/>
          <w:color w:val="auto"/>
          <w:sz w:val="21"/>
          <w:highlight w:val="none"/>
        </w:rPr>
        <w:t>7.2.4 施工设备和临时设施专用于合同工程</w:t>
      </w:r>
    </w:p>
    <w:p w14:paraId="33DB00C3">
      <w:pPr>
        <w:ind w:firstLine="600"/>
        <w:rPr>
          <w:rFonts w:hint="eastAsia" w:ascii="宋体" w:hAnsi="宋体" w:cs="宋体"/>
          <w:color w:val="auto"/>
          <w:szCs w:val="21"/>
          <w:highlight w:val="none"/>
        </w:rPr>
      </w:pPr>
      <w:r>
        <w:rPr>
          <w:rFonts w:hint="eastAsia" w:ascii="宋体" w:hAnsi="宋体" w:cs="宋体"/>
          <w:color w:val="auto"/>
          <w:szCs w:val="21"/>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14E07F9E">
      <w:pPr>
        <w:pStyle w:val="87"/>
        <w:widowControl/>
        <w:numPr>
          <w:ilvl w:val="0"/>
          <w:numId w:val="0"/>
        </w:numPr>
        <w:spacing w:after="156"/>
        <w:rPr>
          <w:rFonts w:hint="eastAsia" w:ascii="宋体" w:hAnsi="宋体" w:eastAsia="宋体" w:cs="宋体"/>
          <w:b w:val="0"/>
          <w:bCs/>
          <w:color w:val="auto"/>
          <w:sz w:val="21"/>
          <w:szCs w:val="21"/>
          <w:highlight w:val="none"/>
        </w:rPr>
      </w:pPr>
      <w:bookmarkStart w:id="1560" w:name="_Toc15427"/>
      <w:bookmarkStart w:id="1561" w:name="_Toc10364"/>
      <w:bookmarkStart w:id="1562" w:name="_Ref11874352"/>
      <w:bookmarkStart w:id="1563" w:name="_Toc13405"/>
      <w:bookmarkStart w:id="1564" w:name="_Toc22714"/>
      <w:bookmarkStart w:id="1565" w:name="_Toc25664"/>
      <w:bookmarkStart w:id="1566" w:name="_Toc103175712"/>
      <w:bookmarkStart w:id="1567" w:name="_Toc6580"/>
      <w:bookmarkStart w:id="1568" w:name="_Toc4041"/>
      <w:bookmarkStart w:id="1569" w:name="_Toc24912"/>
      <w:r>
        <w:rPr>
          <w:rFonts w:hint="eastAsia" w:ascii="宋体" w:hAnsi="宋体" w:eastAsia="宋体" w:cs="宋体"/>
          <w:b w:val="0"/>
          <w:bCs/>
          <w:color w:val="auto"/>
          <w:sz w:val="21"/>
          <w:szCs w:val="21"/>
          <w:highlight w:val="none"/>
        </w:rPr>
        <w:t>7.3 现场合作</w:t>
      </w:r>
      <w:bookmarkEnd w:id="1560"/>
      <w:bookmarkEnd w:id="1561"/>
      <w:bookmarkEnd w:id="1562"/>
      <w:bookmarkEnd w:id="1563"/>
      <w:bookmarkEnd w:id="1564"/>
      <w:bookmarkEnd w:id="1565"/>
      <w:bookmarkEnd w:id="1566"/>
      <w:bookmarkEnd w:id="1567"/>
      <w:bookmarkEnd w:id="1568"/>
      <w:bookmarkEnd w:id="1569"/>
    </w:p>
    <w:p w14:paraId="2A3C33BB">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14:paraId="16191988">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承包人应对其在现场的施工活动负责，并应尽合理努力按合同约定或发包人的指示，协调自身与发包人人员、发包人的其他承包人等人员的活动。</w:t>
      </w:r>
    </w:p>
    <w:p w14:paraId="658B02A8">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14:paraId="3F0F486C">
      <w:pPr>
        <w:pStyle w:val="87"/>
        <w:widowControl/>
        <w:numPr>
          <w:ilvl w:val="0"/>
          <w:numId w:val="0"/>
        </w:numPr>
        <w:spacing w:after="156"/>
        <w:rPr>
          <w:rFonts w:hint="eastAsia" w:ascii="宋体" w:hAnsi="宋体" w:eastAsia="宋体" w:cs="宋体"/>
          <w:b w:val="0"/>
          <w:bCs/>
          <w:color w:val="auto"/>
          <w:sz w:val="21"/>
          <w:szCs w:val="21"/>
          <w:highlight w:val="none"/>
        </w:rPr>
      </w:pPr>
      <w:bookmarkStart w:id="1570" w:name="_Toc11143"/>
      <w:bookmarkStart w:id="1571" w:name="_Toc29354"/>
      <w:bookmarkStart w:id="1572" w:name="_Toc16299"/>
      <w:bookmarkStart w:id="1573" w:name="_Ref531954285"/>
      <w:bookmarkStart w:id="1574" w:name="_Toc103175713"/>
      <w:bookmarkStart w:id="1575" w:name="_Toc21752"/>
      <w:bookmarkStart w:id="1576" w:name="_Toc27527"/>
      <w:bookmarkStart w:id="1577" w:name="_Toc21920"/>
      <w:bookmarkStart w:id="1578" w:name="_Toc20594"/>
      <w:bookmarkStart w:id="1579" w:name="_Toc18470"/>
      <w:bookmarkStart w:id="1580" w:name="_Ref531954287"/>
      <w:r>
        <w:rPr>
          <w:rFonts w:hint="eastAsia" w:ascii="宋体" w:hAnsi="宋体" w:eastAsia="宋体" w:cs="宋体"/>
          <w:b w:val="0"/>
          <w:bCs/>
          <w:color w:val="auto"/>
          <w:sz w:val="21"/>
          <w:szCs w:val="21"/>
          <w:highlight w:val="none"/>
        </w:rPr>
        <w:t>7.4 测量放线</w:t>
      </w:r>
      <w:bookmarkEnd w:id="1570"/>
      <w:bookmarkEnd w:id="1571"/>
      <w:bookmarkEnd w:id="1572"/>
      <w:bookmarkEnd w:id="1573"/>
      <w:bookmarkEnd w:id="1574"/>
      <w:bookmarkEnd w:id="1575"/>
      <w:bookmarkEnd w:id="1576"/>
      <w:bookmarkEnd w:id="1577"/>
      <w:bookmarkEnd w:id="1578"/>
      <w:bookmarkEnd w:id="1579"/>
      <w:bookmarkEnd w:id="1580"/>
    </w:p>
    <w:p w14:paraId="5EFA9706">
      <w:pPr>
        <w:pStyle w:val="88"/>
        <w:numPr>
          <w:ilvl w:val="0"/>
          <w:numId w:val="0"/>
        </w:numPr>
        <w:spacing w:after="156"/>
        <w:rPr>
          <w:rFonts w:hint="eastAsia" w:cs="宋体"/>
          <w:color w:val="auto"/>
          <w:sz w:val="21"/>
          <w:highlight w:val="none"/>
        </w:rPr>
      </w:pPr>
      <w:r>
        <w:rPr>
          <w:rFonts w:hint="eastAsia" w:cs="宋体"/>
          <w:color w:val="auto"/>
          <w:sz w:val="21"/>
          <w:highlight w:val="none"/>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14:paraId="4860C4BE">
      <w:pPr>
        <w:pStyle w:val="88"/>
        <w:numPr>
          <w:ilvl w:val="0"/>
          <w:numId w:val="0"/>
        </w:numPr>
        <w:spacing w:after="156"/>
        <w:rPr>
          <w:rFonts w:hint="eastAsia" w:cs="宋体"/>
          <w:color w:val="auto"/>
          <w:sz w:val="21"/>
          <w:highlight w:val="none"/>
        </w:rPr>
      </w:pPr>
      <w:r>
        <w:rPr>
          <w:rFonts w:hint="eastAsia" w:cs="宋体"/>
          <w:color w:val="auto"/>
          <w:sz w:val="21"/>
          <w:highlight w:val="none"/>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5ABC1B24">
      <w:pPr>
        <w:pStyle w:val="88"/>
        <w:numPr>
          <w:ilvl w:val="0"/>
          <w:numId w:val="0"/>
        </w:numPr>
        <w:spacing w:after="156"/>
        <w:rPr>
          <w:rFonts w:hint="eastAsia" w:cs="宋体"/>
          <w:color w:val="auto"/>
          <w:sz w:val="21"/>
          <w:highlight w:val="none"/>
        </w:rPr>
      </w:pPr>
      <w:r>
        <w:rPr>
          <w:rFonts w:hint="eastAsia" w:cs="宋体"/>
          <w:color w:val="auto"/>
          <w:sz w:val="21"/>
          <w:highlight w:val="none"/>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52753781">
      <w:pPr>
        <w:pStyle w:val="87"/>
        <w:widowControl/>
        <w:numPr>
          <w:ilvl w:val="0"/>
          <w:numId w:val="0"/>
        </w:numPr>
        <w:spacing w:after="156"/>
        <w:rPr>
          <w:rFonts w:hint="eastAsia" w:ascii="宋体" w:hAnsi="宋体" w:eastAsia="宋体" w:cs="宋体"/>
          <w:b w:val="0"/>
          <w:bCs/>
          <w:color w:val="auto"/>
          <w:sz w:val="21"/>
          <w:szCs w:val="21"/>
          <w:highlight w:val="none"/>
        </w:rPr>
      </w:pPr>
      <w:bookmarkStart w:id="1581" w:name="_Toc28445"/>
      <w:bookmarkStart w:id="1582" w:name="_Toc13920"/>
      <w:bookmarkStart w:id="1583" w:name="_Toc22190"/>
      <w:bookmarkStart w:id="1584" w:name="_Toc27500"/>
      <w:bookmarkStart w:id="1585" w:name="_Toc22395"/>
      <w:bookmarkStart w:id="1586" w:name="_Toc103175714"/>
      <w:bookmarkStart w:id="1587" w:name="_Toc3853"/>
      <w:bookmarkStart w:id="1588" w:name="_Toc9020"/>
      <w:bookmarkStart w:id="1589" w:name="_Toc980"/>
      <w:bookmarkStart w:id="1590" w:name="_Ref531954329"/>
      <w:bookmarkStart w:id="1591" w:name="_Ref531954323"/>
      <w:bookmarkStart w:id="1592" w:name="_Ref4770992"/>
      <w:r>
        <w:rPr>
          <w:rFonts w:hint="eastAsia" w:ascii="宋体" w:hAnsi="宋体" w:eastAsia="宋体" w:cs="宋体"/>
          <w:b w:val="0"/>
          <w:bCs/>
          <w:color w:val="auto"/>
          <w:sz w:val="21"/>
          <w:szCs w:val="21"/>
          <w:highlight w:val="none"/>
        </w:rPr>
        <w:t>7.5 现场劳动用工</w:t>
      </w:r>
      <w:bookmarkEnd w:id="1581"/>
      <w:bookmarkEnd w:id="1582"/>
      <w:bookmarkEnd w:id="1583"/>
      <w:bookmarkEnd w:id="1584"/>
      <w:bookmarkEnd w:id="1585"/>
      <w:bookmarkEnd w:id="1586"/>
      <w:bookmarkEnd w:id="1587"/>
      <w:bookmarkEnd w:id="1588"/>
      <w:bookmarkEnd w:id="1589"/>
    </w:p>
    <w:p w14:paraId="55A0F88A">
      <w:pPr>
        <w:pStyle w:val="88"/>
        <w:numPr>
          <w:ilvl w:val="0"/>
          <w:numId w:val="0"/>
        </w:numPr>
        <w:spacing w:after="156"/>
        <w:rPr>
          <w:rFonts w:hint="eastAsia" w:cs="宋体"/>
          <w:color w:val="auto"/>
          <w:sz w:val="21"/>
          <w:highlight w:val="none"/>
        </w:rPr>
      </w:pPr>
      <w:r>
        <w:rPr>
          <w:rFonts w:hint="eastAsia" w:cs="宋体"/>
          <w:color w:val="auto"/>
          <w:sz w:val="21"/>
          <w:highlight w:val="none"/>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14:paraId="5A7A9241">
      <w:pPr>
        <w:pStyle w:val="88"/>
        <w:numPr>
          <w:ilvl w:val="0"/>
          <w:numId w:val="0"/>
        </w:numPr>
        <w:spacing w:after="156"/>
        <w:rPr>
          <w:rFonts w:hint="eastAsia" w:cs="宋体"/>
          <w:color w:val="auto"/>
          <w:sz w:val="21"/>
          <w:highlight w:val="none"/>
        </w:rPr>
      </w:pPr>
      <w:r>
        <w:rPr>
          <w:rFonts w:hint="eastAsia" w:cs="宋体"/>
          <w:color w:val="auto"/>
          <w:sz w:val="21"/>
          <w:highlight w:val="none"/>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14:paraId="3411D341">
      <w:pPr>
        <w:pStyle w:val="88"/>
        <w:numPr>
          <w:ilvl w:val="0"/>
          <w:numId w:val="0"/>
        </w:numPr>
        <w:spacing w:after="156"/>
        <w:rPr>
          <w:rFonts w:hint="eastAsia" w:cs="宋体"/>
          <w:color w:val="auto"/>
          <w:sz w:val="21"/>
          <w:highlight w:val="none"/>
        </w:rPr>
      </w:pPr>
      <w:r>
        <w:rPr>
          <w:rFonts w:hint="eastAsia" w:cs="宋体"/>
          <w:color w:val="auto"/>
          <w:sz w:val="21"/>
          <w:highlight w:val="none"/>
        </w:rPr>
        <w:t>7.5.3 承包人应当按照相关法律法规的要求，进行劳动用工管理和建筑工人工资支付。</w:t>
      </w:r>
    </w:p>
    <w:p w14:paraId="74148D69">
      <w:pPr>
        <w:pStyle w:val="87"/>
        <w:widowControl/>
        <w:numPr>
          <w:ilvl w:val="0"/>
          <w:numId w:val="0"/>
        </w:numPr>
        <w:spacing w:after="156"/>
        <w:rPr>
          <w:rFonts w:hint="eastAsia" w:ascii="宋体" w:hAnsi="宋体" w:eastAsia="宋体" w:cs="宋体"/>
          <w:b w:val="0"/>
          <w:bCs/>
          <w:color w:val="auto"/>
          <w:sz w:val="21"/>
          <w:szCs w:val="21"/>
          <w:highlight w:val="none"/>
        </w:rPr>
      </w:pPr>
      <w:bookmarkStart w:id="1593" w:name="_Toc25644"/>
      <w:bookmarkStart w:id="1594" w:name="_Toc30517"/>
      <w:bookmarkStart w:id="1595" w:name="_Toc14863"/>
      <w:bookmarkStart w:id="1596" w:name="_Toc16256"/>
      <w:bookmarkStart w:id="1597" w:name="_Toc103175715"/>
      <w:bookmarkStart w:id="1598" w:name="_Toc29343"/>
      <w:bookmarkStart w:id="1599" w:name="_Ref41554059"/>
      <w:bookmarkStart w:id="1600" w:name="_Toc24557"/>
      <w:bookmarkStart w:id="1601" w:name="_Toc27621"/>
      <w:bookmarkStart w:id="1602" w:name="_Toc23669"/>
      <w:r>
        <w:rPr>
          <w:rFonts w:hint="eastAsia" w:ascii="宋体" w:hAnsi="宋体" w:eastAsia="宋体" w:cs="宋体"/>
          <w:b w:val="0"/>
          <w:bCs/>
          <w:color w:val="auto"/>
          <w:sz w:val="21"/>
          <w:szCs w:val="21"/>
          <w:highlight w:val="none"/>
        </w:rPr>
        <w:t>7.6 安全文明施工</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1F23C9B7">
      <w:pPr>
        <w:pStyle w:val="88"/>
        <w:numPr>
          <w:ilvl w:val="0"/>
          <w:numId w:val="0"/>
        </w:numPr>
        <w:spacing w:after="156"/>
        <w:rPr>
          <w:rFonts w:hint="eastAsia" w:cs="宋体"/>
          <w:color w:val="auto"/>
          <w:sz w:val="21"/>
          <w:highlight w:val="none"/>
        </w:rPr>
      </w:pPr>
      <w:bookmarkStart w:id="1603" w:name="_Ref18990822"/>
      <w:r>
        <w:rPr>
          <w:rFonts w:hint="eastAsia" w:cs="宋体"/>
          <w:color w:val="auto"/>
          <w:sz w:val="21"/>
          <w:highlight w:val="none"/>
        </w:rPr>
        <w:t>7.6.1 安全生产要求</w:t>
      </w:r>
      <w:bookmarkEnd w:id="1603"/>
    </w:p>
    <w:p w14:paraId="662AF76E">
      <w:pPr>
        <w:ind w:firstLine="600"/>
        <w:rPr>
          <w:rFonts w:hint="eastAsia" w:ascii="宋体" w:hAnsi="宋体" w:cs="宋体"/>
          <w:color w:val="auto"/>
          <w:szCs w:val="21"/>
          <w:highlight w:val="none"/>
        </w:rPr>
      </w:pPr>
      <w:r>
        <w:rPr>
          <w:rFonts w:hint="eastAsia" w:ascii="宋体" w:hAnsi="宋体" w:cs="宋体"/>
          <w:color w:val="auto"/>
          <w:szCs w:val="21"/>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55B0B833">
      <w:pPr>
        <w:ind w:firstLine="600"/>
        <w:rPr>
          <w:rFonts w:hint="eastAsia" w:ascii="宋体" w:hAnsi="宋体" w:cs="宋体"/>
          <w:color w:val="auto"/>
          <w:szCs w:val="21"/>
          <w:highlight w:val="none"/>
        </w:rPr>
      </w:pPr>
      <w:r>
        <w:rPr>
          <w:rFonts w:hint="eastAsia" w:ascii="宋体" w:hAnsi="宋体" w:cs="宋体"/>
          <w:color w:val="auto"/>
          <w:szCs w:val="21"/>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5DC4E125">
      <w:pPr>
        <w:ind w:firstLine="600"/>
        <w:rPr>
          <w:rFonts w:hint="eastAsia" w:ascii="宋体" w:hAnsi="宋体" w:cs="宋体"/>
          <w:color w:val="auto"/>
          <w:szCs w:val="21"/>
          <w:highlight w:val="none"/>
        </w:rPr>
      </w:pPr>
      <w:r>
        <w:rPr>
          <w:rFonts w:hint="eastAsia" w:ascii="宋体" w:hAnsi="宋体" w:cs="宋体"/>
          <w:color w:val="auto"/>
          <w:szCs w:val="21"/>
          <w:highlight w:val="none"/>
        </w:rPr>
        <w:t>因安全生产需要暂停施工的，按照第8.9款[暂停工作]的约定执行。</w:t>
      </w:r>
    </w:p>
    <w:p w14:paraId="4E777F5E">
      <w:pPr>
        <w:pStyle w:val="88"/>
        <w:numPr>
          <w:ilvl w:val="0"/>
          <w:numId w:val="0"/>
        </w:numPr>
        <w:spacing w:after="156"/>
        <w:rPr>
          <w:rFonts w:hint="eastAsia" w:cs="宋体"/>
          <w:color w:val="auto"/>
          <w:sz w:val="21"/>
          <w:highlight w:val="none"/>
        </w:rPr>
      </w:pPr>
      <w:r>
        <w:rPr>
          <w:rFonts w:hint="eastAsia" w:cs="宋体"/>
          <w:color w:val="auto"/>
          <w:sz w:val="21"/>
          <w:highlight w:val="none"/>
        </w:rPr>
        <w:t>7.6.2 安全生产保证措施</w:t>
      </w:r>
    </w:p>
    <w:p w14:paraId="1A6549D8">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2BBB32F3">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34E2EEA3">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1CD0A59F">
      <w:pPr>
        <w:pStyle w:val="88"/>
        <w:numPr>
          <w:ilvl w:val="0"/>
          <w:numId w:val="0"/>
        </w:numPr>
        <w:spacing w:after="156"/>
        <w:rPr>
          <w:rFonts w:hint="eastAsia" w:cs="宋体"/>
          <w:color w:val="auto"/>
          <w:sz w:val="21"/>
          <w:highlight w:val="none"/>
        </w:rPr>
      </w:pPr>
      <w:bookmarkStart w:id="1604" w:name="_Ref18990840"/>
      <w:r>
        <w:rPr>
          <w:rFonts w:hint="eastAsia" w:cs="宋体"/>
          <w:color w:val="auto"/>
          <w:sz w:val="21"/>
          <w:highlight w:val="none"/>
        </w:rPr>
        <w:t>7.6.3 文明施工</w:t>
      </w:r>
      <w:bookmarkEnd w:id="1604"/>
    </w:p>
    <w:p w14:paraId="41AC08DF">
      <w:pPr>
        <w:ind w:firstLine="600"/>
        <w:rPr>
          <w:rFonts w:hint="eastAsia" w:ascii="宋体" w:hAnsi="宋体" w:cs="宋体"/>
          <w:color w:val="auto"/>
          <w:szCs w:val="21"/>
          <w:highlight w:val="none"/>
        </w:rPr>
      </w:pPr>
      <w:r>
        <w:rPr>
          <w:rFonts w:hint="eastAsia" w:ascii="宋体" w:hAnsi="宋体" w:cs="宋体"/>
          <w:color w:val="auto"/>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0C787989">
      <w:pPr>
        <w:ind w:firstLine="600"/>
        <w:rPr>
          <w:rFonts w:hint="eastAsia" w:ascii="宋体" w:hAnsi="宋体" w:cs="宋体"/>
          <w:color w:val="auto"/>
          <w:szCs w:val="21"/>
          <w:highlight w:val="none"/>
        </w:rPr>
      </w:pPr>
      <w:r>
        <w:rPr>
          <w:rFonts w:hint="eastAsia" w:ascii="宋体" w:hAnsi="宋体" w:cs="宋体"/>
          <w:color w:val="auto"/>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9060D9B">
      <w:pPr>
        <w:pStyle w:val="88"/>
        <w:numPr>
          <w:ilvl w:val="0"/>
          <w:numId w:val="0"/>
        </w:numPr>
        <w:spacing w:after="156"/>
        <w:rPr>
          <w:rFonts w:hint="eastAsia" w:cs="宋体"/>
          <w:color w:val="auto"/>
          <w:sz w:val="21"/>
          <w:highlight w:val="none"/>
        </w:rPr>
      </w:pPr>
      <w:r>
        <w:rPr>
          <w:rFonts w:hint="eastAsia" w:cs="宋体"/>
          <w:color w:val="auto"/>
          <w:sz w:val="21"/>
          <w:highlight w:val="none"/>
        </w:rPr>
        <w:t>7.6.4 事故处理</w:t>
      </w:r>
    </w:p>
    <w:p w14:paraId="5A426F4C">
      <w:pPr>
        <w:ind w:firstLine="600"/>
        <w:rPr>
          <w:rFonts w:hint="eastAsia" w:ascii="宋体" w:hAnsi="宋体" w:cs="宋体"/>
          <w:color w:val="auto"/>
          <w:szCs w:val="21"/>
          <w:highlight w:val="none"/>
        </w:rPr>
      </w:pPr>
      <w:r>
        <w:rPr>
          <w:rFonts w:hint="eastAsia" w:ascii="宋体" w:hAnsi="宋体" w:cs="宋体"/>
          <w:color w:val="auto"/>
          <w:szCs w:val="21"/>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8E0533E">
      <w:pPr>
        <w:ind w:firstLine="600"/>
        <w:rPr>
          <w:rFonts w:hint="eastAsia" w:ascii="宋体" w:hAnsi="宋体" w:cs="宋体"/>
          <w:color w:val="auto"/>
          <w:szCs w:val="21"/>
          <w:highlight w:val="none"/>
        </w:rPr>
      </w:pPr>
      <w:r>
        <w:rPr>
          <w:rFonts w:hint="eastAsia" w:ascii="宋体" w:hAnsi="宋体" w:cs="宋体"/>
          <w:color w:val="auto"/>
          <w:szCs w:val="21"/>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14:paraId="25F10E06">
      <w:pPr>
        <w:pStyle w:val="88"/>
        <w:numPr>
          <w:ilvl w:val="0"/>
          <w:numId w:val="0"/>
        </w:numPr>
        <w:spacing w:after="156"/>
        <w:rPr>
          <w:rFonts w:hint="eastAsia" w:cs="宋体"/>
          <w:color w:val="auto"/>
          <w:sz w:val="21"/>
          <w:highlight w:val="none"/>
        </w:rPr>
      </w:pPr>
      <w:r>
        <w:rPr>
          <w:rFonts w:hint="eastAsia" w:cs="宋体"/>
          <w:color w:val="auto"/>
          <w:sz w:val="21"/>
          <w:highlight w:val="none"/>
        </w:rPr>
        <w:t>7.6.5 安全生产责任</w:t>
      </w:r>
    </w:p>
    <w:p w14:paraId="507BC8ED">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发包人应负责赔偿以下各种情况造成的损失：</w:t>
      </w:r>
    </w:p>
    <w:p w14:paraId="4545DB50">
      <w:pPr>
        <w:ind w:firstLine="600"/>
        <w:rPr>
          <w:rFonts w:hint="eastAsia" w:ascii="宋体" w:hAnsi="宋体" w:cs="宋体"/>
          <w:color w:val="auto"/>
          <w:szCs w:val="21"/>
          <w:highlight w:val="none"/>
        </w:rPr>
      </w:pPr>
      <w:r>
        <w:rPr>
          <w:rFonts w:hint="eastAsia" w:ascii="宋体" w:hAnsi="宋体" w:cs="宋体"/>
          <w:color w:val="auto"/>
          <w:szCs w:val="21"/>
          <w:highlight w:val="none"/>
        </w:rPr>
        <w:t>（1） 工程或工程的任何部分对土地的占用所造成的第三者财产损失；</w:t>
      </w:r>
    </w:p>
    <w:p w14:paraId="1ECC98A1">
      <w:pPr>
        <w:ind w:firstLine="600"/>
        <w:rPr>
          <w:rFonts w:hint="eastAsia" w:ascii="宋体" w:hAnsi="宋体" w:cs="宋体"/>
          <w:color w:val="auto"/>
          <w:szCs w:val="21"/>
          <w:highlight w:val="none"/>
        </w:rPr>
      </w:pPr>
      <w:r>
        <w:rPr>
          <w:rFonts w:hint="eastAsia" w:ascii="宋体" w:hAnsi="宋体" w:cs="宋体"/>
          <w:color w:val="auto"/>
          <w:szCs w:val="21"/>
          <w:highlight w:val="none"/>
        </w:rPr>
        <w:t>（2） 由于发包人原因在施工现场及其毗邻地带、履行合同工作中造成的第三者人身伤亡和财产损失；</w:t>
      </w:r>
    </w:p>
    <w:p w14:paraId="77669F3A">
      <w:pPr>
        <w:ind w:firstLine="600"/>
        <w:rPr>
          <w:rFonts w:hint="eastAsia" w:ascii="宋体" w:hAnsi="宋体" w:cs="宋体"/>
          <w:color w:val="auto"/>
          <w:szCs w:val="21"/>
          <w:highlight w:val="none"/>
        </w:rPr>
      </w:pPr>
      <w:r>
        <w:rPr>
          <w:rFonts w:hint="eastAsia" w:ascii="宋体" w:hAnsi="宋体" w:cs="宋体"/>
          <w:color w:val="auto"/>
          <w:szCs w:val="21"/>
          <w:highlight w:val="none"/>
        </w:rPr>
        <w:t>（3） 由于发包人原因对发包人自身、承包人、工程师造成的人身伤害和财产损失。</w:t>
      </w:r>
    </w:p>
    <w:p w14:paraId="76C98023">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承包人应负责赔偿由于承包人原因在施工现场及其毗邻地带、履行合同工作中造成的第三者人身伤亡和财产损失。</w:t>
      </w:r>
    </w:p>
    <w:p w14:paraId="6F20FF93">
      <w:pPr>
        <w:ind w:firstLine="600"/>
        <w:rPr>
          <w:rFonts w:hint="eastAsia" w:ascii="宋体" w:hAnsi="宋体" w:cs="宋体"/>
          <w:color w:val="auto"/>
          <w:szCs w:val="21"/>
          <w:highlight w:val="none"/>
        </w:rPr>
      </w:pPr>
      <w:r>
        <w:rPr>
          <w:rFonts w:hint="eastAsia" w:ascii="宋体" w:hAnsi="宋体" w:cs="宋体"/>
          <w:color w:val="auto"/>
          <w:szCs w:val="21"/>
          <w:highlight w:val="none"/>
        </w:rPr>
        <w:t>如果上述损失是由于发包人和承包人共同原因导致的，则双方应根据过错情况按比例承担。</w:t>
      </w:r>
    </w:p>
    <w:p w14:paraId="28DA1FE7">
      <w:pPr>
        <w:pStyle w:val="87"/>
        <w:widowControl/>
        <w:numPr>
          <w:ilvl w:val="0"/>
          <w:numId w:val="0"/>
        </w:numPr>
        <w:spacing w:after="156"/>
        <w:rPr>
          <w:rFonts w:hint="eastAsia" w:ascii="宋体" w:hAnsi="宋体" w:eastAsia="宋体" w:cs="宋体"/>
          <w:b w:val="0"/>
          <w:bCs/>
          <w:color w:val="auto"/>
          <w:sz w:val="21"/>
          <w:szCs w:val="21"/>
          <w:highlight w:val="none"/>
        </w:rPr>
      </w:pPr>
      <w:bookmarkStart w:id="1605" w:name="_Toc11667"/>
      <w:bookmarkStart w:id="1606" w:name="_Toc13031"/>
      <w:bookmarkStart w:id="1607" w:name="_Toc28457"/>
      <w:bookmarkStart w:id="1608" w:name="_Toc15723"/>
      <w:bookmarkStart w:id="1609" w:name="_Toc13905"/>
      <w:bookmarkStart w:id="1610" w:name="_Toc28202"/>
      <w:bookmarkStart w:id="1611" w:name="_Toc3661"/>
      <w:bookmarkStart w:id="1612" w:name="_Ref41554069"/>
      <w:bookmarkStart w:id="1613" w:name="_Toc103175716"/>
      <w:bookmarkStart w:id="1614" w:name="_Ref11874562"/>
      <w:bookmarkStart w:id="1615" w:name="_Toc4642"/>
      <w:r>
        <w:rPr>
          <w:rFonts w:hint="eastAsia" w:ascii="宋体" w:hAnsi="宋体" w:eastAsia="宋体" w:cs="宋体"/>
          <w:b w:val="0"/>
          <w:bCs/>
          <w:color w:val="auto"/>
          <w:sz w:val="21"/>
          <w:szCs w:val="21"/>
          <w:highlight w:val="none"/>
        </w:rPr>
        <w:t>7.7 职业健康</w:t>
      </w:r>
      <w:bookmarkEnd w:id="1605"/>
      <w:bookmarkEnd w:id="1606"/>
      <w:bookmarkEnd w:id="1607"/>
      <w:bookmarkEnd w:id="1608"/>
      <w:bookmarkEnd w:id="1609"/>
      <w:bookmarkEnd w:id="1610"/>
      <w:bookmarkEnd w:id="1611"/>
      <w:bookmarkEnd w:id="1612"/>
      <w:bookmarkEnd w:id="1613"/>
      <w:bookmarkEnd w:id="1614"/>
      <w:bookmarkEnd w:id="1615"/>
    </w:p>
    <w:p w14:paraId="7CBBB4FA">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承包人应遵守适用的职业健康的法律和合同约定（包括对雇用、职业健康、安全、福利等方面的规定），负责现场实施过程中其人员的职业健康和保护，包括：</w:t>
      </w:r>
    </w:p>
    <w:p w14:paraId="031100F7">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2B844BE0">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承包人应依法为承包人</w:t>
      </w:r>
      <w:bookmarkStart w:id="1616" w:name="_Hlk46339538"/>
      <w:r>
        <w:rPr>
          <w:rFonts w:hint="eastAsia" w:ascii="宋体" w:hAnsi="宋体" w:cs="宋体"/>
          <w:color w:val="auto"/>
          <w:szCs w:val="21"/>
          <w:highlight w:val="none"/>
        </w:rPr>
        <w:t>员工及承包人聘用的第三方人员</w:t>
      </w:r>
      <w:bookmarkEnd w:id="1616"/>
      <w:r>
        <w:rPr>
          <w:rFonts w:hint="eastAsia" w:ascii="宋体" w:hAnsi="宋体" w:cs="宋体"/>
          <w:color w:val="auto"/>
          <w:szCs w:val="21"/>
          <w:highlight w:val="none"/>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2B63B1C2">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373C7ECC">
      <w:pPr>
        <w:ind w:firstLine="600"/>
        <w:rPr>
          <w:rFonts w:hint="eastAsia" w:ascii="宋体" w:hAnsi="宋体" w:cs="宋体"/>
          <w:color w:val="auto"/>
          <w:szCs w:val="21"/>
          <w:highlight w:val="none"/>
        </w:rPr>
      </w:pPr>
      <w:r>
        <w:rPr>
          <w:rFonts w:hint="eastAsia" w:ascii="宋体" w:hAnsi="宋体" w:cs="宋体"/>
          <w:color w:val="auto"/>
          <w:szCs w:val="21"/>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43FD6DB9">
      <w:pPr>
        <w:ind w:firstLine="600"/>
        <w:rPr>
          <w:rFonts w:hint="eastAsia" w:ascii="宋体" w:hAnsi="宋体" w:cs="宋体"/>
          <w:color w:val="auto"/>
          <w:szCs w:val="21"/>
          <w:highlight w:val="none"/>
        </w:rPr>
      </w:pPr>
      <w:r>
        <w:rPr>
          <w:rFonts w:hint="eastAsia" w:ascii="宋体" w:hAnsi="宋体" w:cs="宋体"/>
          <w:color w:val="auto"/>
          <w:szCs w:val="21"/>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757CC621">
      <w:pPr>
        <w:pStyle w:val="87"/>
        <w:widowControl/>
        <w:numPr>
          <w:ilvl w:val="0"/>
          <w:numId w:val="0"/>
        </w:numPr>
        <w:spacing w:after="156"/>
        <w:rPr>
          <w:rFonts w:hint="eastAsia" w:ascii="宋体" w:hAnsi="宋体" w:eastAsia="宋体" w:cs="宋体"/>
          <w:b w:val="0"/>
          <w:bCs/>
          <w:color w:val="auto"/>
          <w:sz w:val="21"/>
          <w:szCs w:val="21"/>
          <w:highlight w:val="none"/>
        </w:rPr>
      </w:pPr>
      <w:bookmarkStart w:id="1617" w:name="_Toc15406"/>
      <w:bookmarkStart w:id="1618" w:name="_Toc19118"/>
      <w:bookmarkStart w:id="1619" w:name="_Toc30364"/>
      <w:bookmarkStart w:id="1620" w:name="_Toc21657"/>
      <w:bookmarkStart w:id="1621" w:name="_Ref11874570"/>
      <w:bookmarkStart w:id="1622" w:name="_Toc103175717"/>
      <w:bookmarkStart w:id="1623" w:name="_Toc519"/>
      <w:bookmarkStart w:id="1624" w:name="_Toc14940"/>
      <w:bookmarkStart w:id="1625" w:name="_Toc13206"/>
      <w:bookmarkStart w:id="1626" w:name="_Toc9983"/>
      <w:r>
        <w:rPr>
          <w:rFonts w:hint="eastAsia" w:ascii="宋体" w:hAnsi="宋体" w:eastAsia="宋体" w:cs="宋体"/>
          <w:b w:val="0"/>
          <w:bCs/>
          <w:color w:val="auto"/>
          <w:sz w:val="21"/>
          <w:szCs w:val="21"/>
          <w:highlight w:val="none"/>
        </w:rPr>
        <w:t>7.8 环境保护</w:t>
      </w:r>
      <w:bookmarkEnd w:id="1617"/>
      <w:bookmarkEnd w:id="1618"/>
      <w:bookmarkEnd w:id="1619"/>
      <w:bookmarkEnd w:id="1620"/>
      <w:bookmarkEnd w:id="1621"/>
      <w:bookmarkEnd w:id="1622"/>
      <w:bookmarkEnd w:id="1623"/>
      <w:bookmarkEnd w:id="1624"/>
      <w:bookmarkEnd w:id="1625"/>
      <w:bookmarkEnd w:id="1626"/>
    </w:p>
    <w:p w14:paraId="42144958">
      <w:pPr>
        <w:pStyle w:val="88"/>
        <w:numPr>
          <w:ilvl w:val="0"/>
          <w:numId w:val="0"/>
        </w:numPr>
        <w:spacing w:after="156"/>
        <w:rPr>
          <w:rFonts w:hint="eastAsia" w:cs="宋体"/>
          <w:color w:val="auto"/>
          <w:sz w:val="21"/>
          <w:highlight w:val="none"/>
        </w:rPr>
      </w:pPr>
      <w:r>
        <w:rPr>
          <w:rFonts w:hint="eastAsia" w:cs="宋体"/>
          <w:color w:val="auto"/>
          <w:sz w:val="21"/>
          <w:highlight w:val="none"/>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1396960A">
      <w:pPr>
        <w:pStyle w:val="88"/>
        <w:numPr>
          <w:ilvl w:val="0"/>
          <w:numId w:val="0"/>
        </w:numPr>
        <w:spacing w:after="156"/>
        <w:rPr>
          <w:rFonts w:hint="eastAsia" w:cs="宋体"/>
          <w:color w:val="auto"/>
          <w:sz w:val="21"/>
          <w:highlight w:val="none"/>
        </w:rPr>
      </w:pPr>
      <w:r>
        <w:rPr>
          <w:rFonts w:hint="eastAsia" w:cs="宋体"/>
          <w:color w:val="auto"/>
          <w:sz w:val="21"/>
          <w:highlight w:val="none"/>
        </w:rPr>
        <w:t>7.8.2 承包人应采取措施，并负责控制和（或）处理现场的粉尘、废气、废水、固体废物和噪声对环境的污染和危害。因此发生的伤害、赔偿、罚款等费用增加，和（或）竣工日期延误，由承包人负责。</w:t>
      </w:r>
    </w:p>
    <w:p w14:paraId="2CE98373">
      <w:pPr>
        <w:pStyle w:val="88"/>
        <w:numPr>
          <w:ilvl w:val="0"/>
          <w:numId w:val="0"/>
        </w:numPr>
        <w:spacing w:after="156"/>
        <w:rPr>
          <w:rFonts w:hint="eastAsia" w:cs="宋体"/>
          <w:color w:val="auto"/>
          <w:sz w:val="21"/>
          <w:highlight w:val="none"/>
        </w:rPr>
      </w:pPr>
      <w:r>
        <w:rPr>
          <w:rFonts w:hint="eastAsia" w:cs="宋体"/>
          <w:color w:val="auto"/>
          <w:sz w:val="21"/>
          <w:highlight w:val="none"/>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459E43C1">
      <w:pPr>
        <w:pStyle w:val="87"/>
        <w:widowControl/>
        <w:numPr>
          <w:ilvl w:val="0"/>
          <w:numId w:val="0"/>
        </w:numPr>
        <w:spacing w:after="156"/>
        <w:rPr>
          <w:rFonts w:hint="eastAsia" w:ascii="宋体" w:hAnsi="宋体" w:eastAsia="宋体" w:cs="宋体"/>
          <w:b w:val="0"/>
          <w:bCs/>
          <w:color w:val="auto"/>
          <w:sz w:val="21"/>
          <w:szCs w:val="21"/>
          <w:highlight w:val="none"/>
        </w:rPr>
      </w:pPr>
      <w:bookmarkStart w:id="1627" w:name="_Toc2280"/>
      <w:bookmarkStart w:id="1628" w:name="_Ref531954344"/>
      <w:bookmarkStart w:id="1629" w:name="_Toc32072"/>
      <w:bookmarkStart w:id="1630" w:name="_Toc22448"/>
      <w:bookmarkStart w:id="1631" w:name="_Toc22940"/>
      <w:bookmarkStart w:id="1632" w:name="_Toc103175718"/>
      <w:bookmarkStart w:id="1633" w:name="_Toc23419"/>
      <w:bookmarkStart w:id="1634" w:name="_Toc8429"/>
      <w:bookmarkStart w:id="1635" w:name="_Toc23622"/>
      <w:bookmarkStart w:id="1636" w:name="_Ref531954340"/>
      <w:bookmarkStart w:id="1637" w:name="_Toc16409"/>
      <w:bookmarkStart w:id="1638" w:name="_Ref4771116"/>
      <w:r>
        <w:rPr>
          <w:rFonts w:hint="eastAsia" w:ascii="宋体" w:hAnsi="宋体" w:eastAsia="宋体" w:cs="宋体"/>
          <w:b w:val="0"/>
          <w:bCs/>
          <w:color w:val="auto"/>
          <w:sz w:val="21"/>
          <w:szCs w:val="21"/>
          <w:highlight w:val="none"/>
        </w:rPr>
        <w:t>7.9 临时性公用设施</w:t>
      </w:r>
      <w:bookmarkEnd w:id="1627"/>
      <w:bookmarkEnd w:id="1628"/>
      <w:bookmarkEnd w:id="1629"/>
      <w:bookmarkEnd w:id="1630"/>
      <w:bookmarkEnd w:id="1631"/>
      <w:bookmarkEnd w:id="1632"/>
      <w:bookmarkEnd w:id="1633"/>
      <w:bookmarkEnd w:id="1634"/>
      <w:bookmarkEnd w:id="1635"/>
      <w:bookmarkEnd w:id="1636"/>
      <w:bookmarkEnd w:id="1637"/>
      <w:r>
        <w:rPr>
          <w:rFonts w:hint="eastAsia" w:ascii="宋体" w:hAnsi="宋体" w:eastAsia="宋体" w:cs="宋体"/>
          <w:b w:val="0"/>
          <w:bCs/>
          <w:color w:val="auto"/>
          <w:sz w:val="21"/>
          <w:szCs w:val="21"/>
          <w:highlight w:val="none"/>
        </w:rPr>
        <w:t xml:space="preserve"> </w:t>
      </w:r>
      <w:bookmarkEnd w:id="1638"/>
    </w:p>
    <w:p w14:paraId="22F27FC1">
      <w:pPr>
        <w:pStyle w:val="88"/>
        <w:numPr>
          <w:ilvl w:val="0"/>
          <w:numId w:val="0"/>
        </w:numPr>
        <w:spacing w:after="156"/>
        <w:rPr>
          <w:rFonts w:hint="eastAsia" w:cs="宋体"/>
          <w:color w:val="auto"/>
          <w:sz w:val="21"/>
          <w:highlight w:val="none"/>
        </w:rPr>
      </w:pPr>
      <w:r>
        <w:rPr>
          <w:rFonts w:hint="eastAsia" w:cs="宋体"/>
          <w:color w:val="auto"/>
          <w:sz w:val="21"/>
          <w:highlight w:val="none"/>
        </w:rPr>
        <w:t>7.9.1 提供临时用水、用电等和节点铺设</w:t>
      </w:r>
    </w:p>
    <w:p w14:paraId="422D663A">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5167F95F">
      <w:pPr>
        <w:ind w:firstLine="600"/>
        <w:rPr>
          <w:rFonts w:hint="eastAsia" w:ascii="宋体" w:hAnsi="宋体" w:cs="宋体"/>
          <w:color w:val="auto"/>
          <w:szCs w:val="21"/>
          <w:highlight w:val="none"/>
        </w:rPr>
      </w:pPr>
      <w:r>
        <w:rPr>
          <w:rFonts w:hint="eastAsia" w:ascii="宋体" w:hAnsi="宋体" w:cs="宋体"/>
          <w:color w:val="auto"/>
          <w:szCs w:val="21"/>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65E1A51B">
      <w:pPr>
        <w:pStyle w:val="88"/>
        <w:numPr>
          <w:ilvl w:val="0"/>
          <w:numId w:val="0"/>
        </w:numPr>
        <w:spacing w:after="156"/>
        <w:rPr>
          <w:rFonts w:hint="eastAsia" w:cs="宋体"/>
          <w:color w:val="auto"/>
          <w:sz w:val="21"/>
          <w:highlight w:val="none"/>
        </w:rPr>
      </w:pPr>
      <w:r>
        <w:rPr>
          <w:rFonts w:hint="eastAsia" w:cs="宋体"/>
          <w:color w:val="auto"/>
          <w:sz w:val="21"/>
          <w:highlight w:val="none"/>
        </w:rPr>
        <w:t>7.9.2 临时用水、用电等</w:t>
      </w:r>
    </w:p>
    <w:p w14:paraId="56016842">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0A7C603C">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因承包人未能按合同约定提交上述资料，造成发包人费用增加和竣工日期延误时，由承包人负责。</w:t>
      </w:r>
      <w:bookmarkStart w:id="1639" w:name="_Ref508893743"/>
    </w:p>
    <w:p w14:paraId="77F6821F">
      <w:pPr>
        <w:pStyle w:val="87"/>
        <w:widowControl/>
        <w:numPr>
          <w:ilvl w:val="0"/>
          <w:numId w:val="0"/>
        </w:numPr>
        <w:spacing w:after="156"/>
        <w:rPr>
          <w:rFonts w:hint="eastAsia" w:ascii="宋体" w:hAnsi="宋体" w:eastAsia="宋体" w:cs="宋体"/>
          <w:b w:val="0"/>
          <w:bCs/>
          <w:color w:val="auto"/>
          <w:sz w:val="21"/>
          <w:szCs w:val="21"/>
          <w:highlight w:val="none"/>
        </w:rPr>
      </w:pPr>
      <w:bookmarkStart w:id="1640" w:name="_Toc24057"/>
      <w:bookmarkStart w:id="1641" w:name="_Toc15258"/>
      <w:bookmarkStart w:id="1642" w:name="_Toc18574"/>
      <w:bookmarkStart w:id="1643" w:name="_Toc31755"/>
      <w:bookmarkStart w:id="1644" w:name="_Ref531952248"/>
      <w:bookmarkStart w:id="1645" w:name="_Toc27328"/>
      <w:bookmarkStart w:id="1646" w:name="_Toc17449"/>
      <w:bookmarkStart w:id="1647" w:name="_Toc319"/>
      <w:bookmarkStart w:id="1648" w:name="_Toc103175719"/>
      <w:bookmarkStart w:id="1649" w:name="_Ref531952239"/>
      <w:r>
        <w:rPr>
          <w:rFonts w:hint="eastAsia" w:ascii="宋体" w:hAnsi="宋体" w:eastAsia="宋体" w:cs="宋体"/>
          <w:b w:val="0"/>
          <w:bCs/>
          <w:color w:val="auto"/>
          <w:sz w:val="21"/>
          <w:szCs w:val="21"/>
          <w:highlight w:val="none"/>
        </w:rPr>
        <w:t>7.10 现场安保</w:t>
      </w:r>
      <w:bookmarkEnd w:id="1640"/>
      <w:bookmarkEnd w:id="1641"/>
      <w:bookmarkEnd w:id="1642"/>
      <w:bookmarkEnd w:id="1643"/>
      <w:bookmarkEnd w:id="1644"/>
      <w:bookmarkEnd w:id="1645"/>
      <w:bookmarkEnd w:id="1646"/>
      <w:bookmarkEnd w:id="1647"/>
      <w:bookmarkEnd w:id="1648"/>
      <w:bookmarkEnd w:id="1649"/>
    </w:p>
    <w:p w14:paraId="421EFB23">
      <w:pPr>
        <w:ind w:firstLine="600"/>
        <w:rPr>
          <w:rFonts w:hint="eastAsia" w:ascii="宋体" w:hAnsi="宋体" w:cs="宋体"/>
          <w:color w:val="auto"/>
          <w:szCs w:val="21"/>
          <w:highlight w:val="none"/>
        </w:rPr>
      </w:pPr>
      <w:r>
        <w:rPr>
          <w:rFonts w:hint="eastAsia" w:ascii="宋体" w:hAnsi="宋体" w:cs="宋体"/>
          <w:color w:val="auto"/>
          <w:szCs w:val="21"/>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0D71C471">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承包人应将其作业限制在现场区域、合同约定的区域或为履行合同所需的区域内。承包人应采取一切必要的预防措施，以保持承包人的设备和人员处于现场区域内，避免其进入邻近地区。</w:t>
      </w:r>
    </w:p>
    <w:p w14:paraId="70EFAF10">
      <w:pPr>
        <w:ind w:firstLine="600"/>
        <w:rPr>
          <w:rFonts w:hint="eastAsia" w:ascii="宋体" w:hAnsi="宋体" w:cs="宋体"/>
          <w:color w:val="auto"/>
          <w:szCs w:val="21"/>
          <w:highlight w:val="none"/>
        </w:rPr>
      </w:pPr>
      <w:r>
        <w:rPr>
          <w:rFonts w:hint="eastAsia" w:ascii="宋体" w:hAnsi="宋体" w:cs="宋体"/>
          <w:color w:val="auto"/>
          <w:szCs w:val="21"/>
          <w:highlight w:val="none"/>
        </w:rPr>
        <w:t>承包人为履行合同义务而占用的其他场所（如预制加工场所、办公及生活营区） 的安保适用本款前述关于现场安保的规定。</w:t>
      </w:r>
    </w:p>
    <w:p w14:paraId="624B8B9B">
      <w:pPr>
        <w:pStyle w:val="87"/>
        <w:widowControl/>
        <w:numPr>
          <w:ilvl w:val="0"/>
          <w:numId w:val="0"/>
        </w:numPr>
        <w:spacing w:after="156"/>
        <w:rPr>
          <w:rFonts w:hint="eastAsia" w:ascii="宋体" w:hAnsi="宋体" w:eastAsia="宋体" w:cs="宋体"/>
          <w:b w:val="0"/>
          <w:bCs/>
          <w:color w:val="auto"/>
          <w:sz w:val="21"/>
          <w:szCs w:val="21"/>
          <w:highlight w:val="none"/>
        </w:rPr>
      </w:pPr>
      <w:bookmarkStart w:id="1650" w:name="_Toc17578"/>
      <w:bookmarkStart w:id="1651" w:name="_Toc19697"/>
      <w:bookmarkStart w:id="1652" w:name="_Toc1084"/>
      <w:bookmarkStart w:id="1653" w:name="_Toc5032"/>
      <w:bookmarkStart w:id="1654" w:name="_Toc7724"/>
      <w:bookmarkStart w:id="1655" w:name="_Toc103175720"/>
      <w:bookmarkStart w:id="1656" w:name="_Toc15581"/>
      <w:bookmarkStart w:id="1657" w:name="_Toc25501"/>
      <w:bookmarkStart w:id="1658" w:name="_Toc24488"/>
      <w:r>
        <w:rPr>
          <w:rFonts w:hint="eastAsia" w:ascii="宋体" w:hAnsi="宋体" w:eastAsia="宋体" w:cs="宋体"/>
          <w:b w:val="0"/>
          <w:bCs/>
          <w:color w:val="auto"/>
          <w:sz w:val="21"/>
          <w:szCs w:val="21"/>
          <w:highlight w:val="none"/>
        </w:rPr>
        <w:t>7.11 工程照管</w:t>
      </w:r>
      <w:bookmarkEnd w:id="1650"/>
      <w:bookmarkEnd w:id="1651"/>
      <w:bookmarkEnd w:id="1652"/>
      <w:bookmarkEnd w:id="1653"/>
      <w:bookmarkEnd w:id="1654"/>
      <w:bookmarkEnd w:id="1655"/>
      <w:bookmarkEnd w:id="1656"/>
      <w:bookmarkEnd w:id="1657"/>
      <w:bookmarkEnd w:id="1658"/>
    </w:p>
    <w:p w14:paraId="43C250A5">
      <w:pPr>
        <w:ind w:firstLine="600"/>
        <w:rPr>
          <w:rFonts w:hint="eastAsia" w:ascii="宋体" w:hAnsi="宋体" w:cs="宋体"/>
          <w:color w:val="auto"/>
          <w:szCs w:val="21"/>
          <w:highlight w:val="none"/>
        </w:rPr>
      </w:pPr>
      <w:r>
        <w:rPr>
          <w:rFonts w:hint="eastAsia" w:ascii="宋体" w:hAnsi="宋体" w:cs="宋体"/>
          <w:color w:val="auto"/>
          <w:szCs w:val="21"/>
          <w:highlight w:val="none"/>
        </w:rPr>
        <w:t>自开始现场施工日期起至发包人应当接收工程之日止，承包人应承担工程现场、材料、设备及承包人文件的照管和维护工作。</w:t>
      </w:r>
    </w:p>
    <w:p w14:paraId="5C4CD21E">
      <w:pPr>
        <w:ind w:firstLine="600"/>
        <w:rPr>
          <w:rFonts w:hint="eastAsia" w:ascii="宋体" w:hAnsi="宋体" w:cs="宋体"/>
          <w:color w:val="auto"/>
          <w:szCs w:val="21"/>
          <w:highlight w:val="none"/>
        </w:rPr>
      </w:pPr>
      <w:r>
        <w:rPr>
          <w:rFonts w:hint="eastAsia" w:ascii="宋体" w:hAnsi="宋体" w:cs="宋体"/>
          <w:color w:val="auto"/>
          <w:szCs w:val="21"/>
          <w:highlight w:val="none"/>
        </w:rPr>
        <w:t>如部分工程于竣工验收前提前交付发包人的，则自交付之日起，该部分工程照管及维护职责由发包人承担。</w:t>
      </w:r>
    </w:p>
    <w:p w14:paraId="4E338FAF">
      <w:pPr>
        <w:ind w:firstLine="600"/>
        <w:rPr>
          <w:rFonts w:hint="eastAsia" w:ascii="宋体" w:hAnsi="宋体" w:cs="宋体"/>
          <w:color w:val="auto"/>
          <w:szCs w:val="21"/>
          <w:highlight w:val="none"/>
        </w:rPr>
      </w:pPr>
      <w:r>
        <w:rPr>
          <w:rFonts w:hint="eastAsia" w:ascii="宋体" w:hAnsi="宋体" w:cs="宋体"/>
          <w:color w:val="auto"/>
          <w:szCs w:val="21"/>
          <w:highlight w:val="none"/>
        </w:rPr>
        <w:t>如发包人及承包人进行竣工验收时尚有部分未竣工工程的，承包人应负责该未竣工工程的照管和维护工作，直至竣工后移交给发包人。</w:t>
      </w:r>
    </w:p>
    <w:p w14:paraId="3E06FFB6">
      <w:pPr>
        <w:ind w:firstLine="600"/>
        <w:rPr>
          <w:rFonts w:hint="eastAsia" w:ascii="宋体" w:hAnsi="宋体" w:cs="宋体"/>
          <w:color w:val="auto"/>
          <w:szCs w:val="21"/>
          <w:highlight w:val="none"/>
        </w:rPr>
      </w:pPr>
      <w:r>
        <w:rPr>
          <w:rFonts w:hint="eastAsia" w:ascii="宋体" w:hAnsi="宋体" w:cs="宋体"/>
          <w:color w:val="auto"/>
          <w:szCs w:val="21"/>
          <w:highlight w:val="none"/>
        </w:rPr>
        <w:t>如合同解除或终止的，承包人自合同解除或终止之日起不再对工程承担照管和维护义务。</w:t>
      </w:r>
    </w:p>
    <w:p w14:paraId="18273537">
      <w:pPr>
        <w:pStyle w:val="86"/>
        <w:numPr>
          <w:ilvl w:val="0"/>
          <w:numId w:val="0"/>
        </w:numPr>
        <w:rPr>
          <w:rFonts w:hint="eastAsia" w:ascii="宋体" w:hAnsi="宋体" w:eastAsia="宋体" w:cs="宋体"/>
          <w:b w:val="0"/>
          <w:color w:val="auto"/>
          <w:sz w:val="21"/>
          <w:szCs w:val="21"/>
          <w:highlight w:val="none"/>
        </w:rPr>
      </w:pPr>
      <w:bookmarkStart w:id="1659" w:name="_Toc7654"/>
      <w:bookmarkStart w:id="1660" w:name="_Toc11968"/>
      <w:bookmarkStart w:id="1661" w:name="_Toc2509"/>
      <w:bookmarkStart w:id="1662" w:name="_Toc6178"/>
      <w:bookmarkStart w:id="1663" w:name="_Toc103175721"/>
      <w:bookmarkStart w:id="1664" w:name="_Toc31214"/>
      <w:bookmarkStart w:id="1665" w:name="_Toc3433"/>
      <w:bookmarkStart w:id="1666" w:name="_Toc25276"/>
      <w:bookmarkStart w:id="1667" w:name="_Ref508998009"/>
      <w:bookmarkStart w:id="1668" w:name="_Toc28637"/>
      <w:bookmarkStart w:id="1669" w:name="_Toc5965"/>
      <w:bookmarkStart w:id="1670" w:name="_Toc6639"/>
      <w:bookmarkStart w:id="1671" w:name="_Ref531954505"/>
      <w:bookmarkStart w:id="1672" w:name="_Ref531954518"/>
      <w:r>
        <w:rPr>
          <w:rFonts w:hint="eastAsia" w:ascii="宋体" w:hAnsi="宋体" w:eastAsia="宋体" w:cs="宋体"/>
          <w:b w:val="0"/>
          <w:color w:val="auto"/>
          <w:sz w:val="21"/>
          <w:szCs w:val="21"/>
          <w:highlight w:val="none"/>
        </w:rPr>
        <w:t>第8条 工期和进度</w:t>
      </w:r>
      <w:bookmarkEnd w:id="1659"/>
      <w:bookmarkEnd w:id="1660"/>
      <w:bookmarkEnd w:id="1661"/>
      <w:bookmarkEnd w:id="1662"/>
      <w:bookmarkEnd w:id="1663"/>
      <w:bookmarkEnd w:id="1664"/>
      <w:bookmarkEnd w:id="1665"/>
      <w:bookmarkEnd w:id="1666"/>
      <w:bookmarkEnd w:id="1667"/>
      <w:bookmarkEnd w:id="1668"/>
      <w:bookmarkEnd w:id="1669"/>
      <w:bookmarkEnd w:id="1670"/>
    </w:p>
    <w:p w14:paraId="4BA617D5">
      <w:pPr>
        <w:pStyle w:val="87"/>
        <w:widowControl/>
        <w:numPr>
          <w:ilvl w:val="0"/>
          <w:numId w:val="0"/>
        </w:numPr>
        <w:spacing w:after="156"/>
        <w:rPr>
          <w:rFonts w:hint="eastAsia" w:ascii="宋体" w:hAnsi="宋体" w:eastAsia="宋体" w:cs="宋体"/>
          <w:b w:val="0"/>
          <w:bCs/>
          <w:color w:val="auto"/>
          <w:sz w:val="21"/>
          <w:szCs w:val="21"/>
          <w:highlight w:val="none"/>
        </w:rPr>
      </w:pPr>
      <w:bookmarkStart w:id="1673" w:name="_Toc22668"/>
      <w:bookmarkStart w:id="1674" w:name="_Ref532362777"/>
      <w:bookmarkStart w:id="1675" w:name="_Ref532362774"/>
      <w:bookmarkStart w:id="1676" w:name="_Toc2354"/>
      <w:bookmarkStart w:id="1677" w:name="_Toc103175722"/>
      <w:bookmarkStart w:id="1678" w:name="_Toc18328"/>
      <w:bookmarkStart w:id="1679" w:name="_Ref532362072"/>
      <w:bookmarkStart w:id="1680" w:name="_Toc17047"/>
      <w:bookmarkStart w:id="1681" w:name="_Toc12823"/>
      <w:bookmarkStart w:id="1682" w:name="_Ref532362075"/>
      <w:bookmarkStart w:id="1683" w:name="_Toc30959"/>
      <w:bookmarkStart w:id="1684" w:name="_Toc4123"/>
      <w:r>
        <w:rPr>
          <w:rFonts w:hint="eastAsia" w:ascii="宋体" w:hAnsi="宋体" w:eastAsia="宋体" w:cs="宋体"/>
          <w:b w:val="0"/>
          <w:bCs/>
          <w:color w:val="auto"/>
          <w:sz w:val="21"/>
          <w:szCs w:val="21"/>
          <w:highlight w:val="none"/>
        </w:rPr>
        <w:t>8.1 开始工作</w:t>
      </w:r>
      <w:bookmarkEnd w:id="1673"/>
      <w:bookmarkEnd w:id="1674"/>
      <w:bookmarkEnd w:id="1675"/>
      <w:bookmarkEnd w:id="1676"/>
      <w:bookmarkEnd w:id="1677"/>
      <w:bookmarkEnd w:id="1678"/>
      <w:bookmarkEnd w:id="1679"/>
      <w:bookmarkEnd w:id="1680"/>
      <w:bookmarkEnd w:id="1681"/>
      <w:bookmarkEnd w:id="1682"/>
      <w:bookmarkEnd w:id="1683"/>
      <w:bookmarkEnd w:id="1684"/>
    </w:p>
    <w:p w14:paraId="5E4BEE9C">
      <w:pPr>
        <w:pStyle w:val="88"/>
        <w:numPr>
          <w:ilvl w:val="0"/>
          <w:numId w:val="0"/>
        </w:numPr>
        <w:spacing w:after="156"/>
        <w:rPr>
          <w:rFonts w:hint="eastAsia" w:cs="宋体"/>
          <w:color w:val="auto"/>
          <w:sz w:val="21"/>
          <w:highlight w:val="none"/>
        </w:rPr>
      </w:pPr>
      <w:bookmarkStart w:id="1685" w:name="_Ref4428890"/>
      <w:r>
        <w:rPr>
          <w:rFonts w:hint="eastAsia" w:cs="宋体"/>
          <w:color w:val="auto"/>
          <w:sz w:val="21"/>
          <w:highlight w:val="none"/>
        </w:rPr>
        <w:t>8.1.1 开始工作准备</w:t>
      </w:r>
      <w:bookmarkEnd w:id="1685"/>
    </w:p>
    <w:p w14:paraId="1E00B2C3">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合同当事人应按专用合同条件约定完成开始工作准备工作。</w:t>
      </w:r>
    </w:p>
    <w:p w14:paraId="224EC4F5">
      <w:pPr>
        <w:pStyle w:val="88"/>
        <w:numPr>
          <w:ilvl w:val="0"/>
          <w:numId w:val="0"/>
        </w:numPr>
        <w:spacing w:after="156"/>
        <w:rPr>
          <w:rFonts w:hint="eastAsia" w:cs="宋体"/>
          <w:color w:val="auto"/>
          <w:sz w:val="21"/>
          <w:highlight w:val="none"/>
        </w:rPr>
      </w:pPr>
      <w:bookmarkStart w:id="1686" w:name="_Ref536790534"/>
      <w:bookmarkStart w:id="1687" w:name="_Hlk51506490"/>
      <w:r>
        <w:rPr>
          <w:rFonts w:hint="eastAsia" w:cs="宋体"/>
          <w:color w:val="auto"/>
          <w:sz w:val="21"/>
          <w:highlight w:val="none"/>
        </w:rPr>
        <w:t>8.1.2 开始工作通知</w:t>
      </w:r>
      <w:bookmarkEnd w:id="1686"/>
    </w:p>
    <w:bookmarkEnd w:id="1687"/>
    <w:p w14:paraId="666D1E9C">
      <w:pPr>
        <w:ind w:firstLine="600"/>
        <w:rPr>
          <w:rFonts w:hint="eastAsia" w:ascii="宋体" w:hAnsi="宋体" w:cs="宋体"/>
          <w:color w:val="auto"/>
          <w:szCs w:val="21"/>
          <w:highlight w:val="none"/>
        </w:rPr>
      </w:pPr>
      <w:r>
        <w:rPr>
          <w:rFonts w:hint="eastAsia" w:ascii="宋体" w:hAnsi="宋体" w:cs="宋体"/>
          <w:color w:val="auto"/>
          <w:szCs w:val="21"/>
          <w:highlight w:val="none"/>
        </w:rPr>
        <w:t>经发包人同意后，工程师应提前7天向承包人发出经发包人签认的开始工作通知，工期自开始工作通知中载明的开始工作日期起算。</w:t>
      </w:r>
    </w:p>
    <w:p w14:paraId="298CCB93">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除专用合同条件另有约定外，因发包人原因造成实际开始现场施工日期迟于</w:t>
      </w:r>
      <w:bookmarkStart w:id="1688" w:name="_Hlk51506566"/>
      <w:r>
        <w:rPr>
          <w:rFonts w:hint="eastAsia" w:ascii="宋体" w:hAnsi="宋体" w:cs="宋体"/>
          <w:color w:val="auto"/>
          <w:szCs w:val="21"/>
          <w:highlight w:val="none"/>
        </w:rPr>
        <w:t>计划开始现场施工日期</w:t>
      </w:r>
      <w:bookmarkEnd w:id="1688"/>
      <w:r>
        <w:rPr>
          <w:rFonts w:hint="eastAsia" w:ascii="宋体" w:hAnsi="宋体" w:cs="宋体"/>
          <w:color w:val="auto"/>
          <w:szCs w:val="21"/>
          <w:highlight w:val="none"/>
        </w:rPr>
        <w:t>后第84天的，承包人有权提出价格调整要求，或者解除合同。发包人应当承担由此增加的费用和（或）延误的工期，并向承包人支付合理利润。</w:t>
      </w:r>
    </w:p>
    <w:p w14:paraId="59605910">
      <w:pPr>
        <w:pStyle w:val="87"/>
        <w:widowControl/>
        <w:numPr>
          <w:ilvl w:val="0"/>
          <w:numId w:val="0"/>
        </w:numPr>
        <w:spacing w:after="156"/>
        <w:rPr>
          <w:rFonts w:hint="eastAsia" w:ascii="宋体" w:hAnsi="宋体" w:eastAsia="宋体" w:cs="宋体"/>
          <w:b w:val="0"/>
          <w:bCs/>
          <w:color w:val="auto"/>
          <w:sz w:val="21"/>
          <w:szCs w:val="21"/>
          <w:highlight w:val="none"/>
        </w:rPr>
      </w:pPr>
      <w:bookmarkStart w:id="1689" w:name="_Toc103175723"/>
      <w:bookmarkStart w:id="1690" w:name="_Toc9657"/>
      <w:bookmarkStart w:id="1691" w:name="_Toc20077"/>
      <w:bookmarkStart w:id="1692" w:name="_Toc20123"/>
      <w:bookmarkStart w:id="1693" w:name="_Toc29933"/>
      <w:bookmarkStart w:id="1694" w:name="_Toc17085"/>
      <w:bookmarkStart w:id="1695" w:name="_Toc1753"/>
      <w:bookmarkStart w:id="1696" w:name="_Ref532362124"/>
      <w:bookmarkStart w:id="1697" w:name="_Toc18793"/>
      <w:bookmarkStart w:id="1698" w:name="_Toc25490"/>
      <w:r>
        <w:rPr>
          <w:rFonts w:hint="eastAsia" w:ascii="宋体" w:hAnsi="宋体" w:eastAsia="宋体" w:cs="宋体"/>
          <w:b w:val="0"/>
          <w:bCs/>
          <w:color w:val="auto"/>
          <w:sz w:val="21"/>
          <w:szCs w:val="21"/>
          <w:highlight w:val="none"/>
        </w:rPr>
        <w:t>8.2 竣工日期</w:t>
      </w:r>
      <w:bookmarkEnd w:id="1689"/>
      <w:bookmarkEnd w:id="1690"/>
      <w:bookmarkEnd w:id="1691"/>
      <w:bookmarkEnd w:id="1692"/>
      <w:bookmarkEnd w:id="1693"/>
      <w:bookmarkEnd w:id="1694"/>
      <w:bookmarkEnd w:id="1695"/>
      <w:bookmarkEnd w:id="1696"/>
      <w:bookmarkEnd w:id="1697"/>
      <w:bookmarkEnd w:id="1698"/>
      <w:r>
        <w:rPr>
          <w:rFonts w:hint="eastAsia" w:ascii="宋体" w:hAnsi="宋体" w:eastAsia="宋体" w:cs="宋体"/>
          <w:b w:val="0"/>
          <w:bCs/>
          <w:color w:val="auto"/>
          <w:sz w:val="21"/>
          <w:szCs w:val="21"/>
          <w:highlight w:val="none"/>
        </w:rPr>
        <w:t xml:space="preserve"> </w:t>
      </w:r>
    </w:p>
    <w:p w14:paraId="150F8206">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承包人应在合同协议书约定的工期内完成合同工作。除专用合同条件另有约定外，工程的竣工日期以第10.1条[竣工验收]的约定为准，并在工程接收证书中写明。</w:t>
      </w:r>
    </w:p>
    <w:p w14:paraId="6369FC5A">
      <w:pPr>
        <w:ind w:firstLine="600"/>
        <w:rPr>
          <w:rFonts w:hint="eastAsia" w:ascii="宋体" w:hAnsi="宋体" w:cs="宋体"/>
          <w:color w:val="auto"/>
          <w:szCs w:val="21"/>
          <w:highlight w:val="none"/>
        </w:rPr>
      </w:pPr>
      <w:r>
        <w:rPr>
          <w:rFonts w:hint="eastAsia" w:ascii="宋体" w:hAnsi="宋体" w:cs="宋体"/>
          <w:color w:val="auto"/>
          <w:szCs w:val="21"/>
          <w:highlight w:val="none"/>
        </w:rPr>
        <w:t>因发包人原因，在工程师收到承包人竣工验收申请报告42天后未进行验收的，视为验收合格，实际竣工日期以提交竣工验收申请报告的日期为准，但发包人由于不可抗力不能进行验收的除外。</w:t>
      </w:r>
    </w:p>
    <w:p w14:paraId="200739B6">
      <w:pPr>
        <w:pStyle w:val="87"/>
        <w:widowControl/>
        <w:numPr>
          <w:ilvl w:val="0"/>
          <w:numId w:val="0"/>
        </w:numPr>
        <w:spacing w:after="156"/>
        <w:rPr>
          <w:rFonts w:hint="eastAsia" w:ascii="宋体" w:hAnsi="宋体" w:eastAsia="宋体" w:cs="宋体"/>
          <w:b w:val="0"/>
          <w:bCs/>
          <w:color w:val="auto"/>
          <w:sz w:val="21"/>
          <w:szCs w:val="21"/>
          <w:highlight w:val="none"/>
        </w:rPr>
      </w:pPr>
      <w:bookmarkStart w:id="1699" w:name="_Toc26186"/>
      <w:bookmarkStart w:id="1700" w:name="_Toc3636"/>
      <w:bookmarkStart w:id="1701" w:name="_Toc103175724"/>
      <w:bookmarkStart w:id="1702" w:name="_Toc14720"/>
      <w:bookmarkStart w:id="1703" w:name="_Ref11863334"/>
      <w:bookmarkStart w:id="1704" w:name="_Toc15437"/>
      <w:bookmarkStart w:id="1705" w:name="_Toc10223"/>
      <w:bookmarkStart w:id="1706" w:name="_Toc16750"/>
      <w:bookmarkStart w:id="1707" w:name="_Toc3460"/>
      <w:bookmarkStart w:id="1708" w:name="_Toc9636"/>
      <w:bookmarkStart w:id="1709" w:name="_Ref532352856"/>
      <w:bookmarkStart w:id="1710" w:name="_Ref532362207"/>
      <w:bookmarkStart w:id="1711" w:name="_Ref532352853"/>
      <w:bookmarkStart w:id="1712" w:name="_Ref532362204"/>
      <w:r>
        <w:rPr>
          <w:rFonts w:hint="eastAsia" w:ascii="宋体" w:hAnsi="宋体" w:eastAsia="宋体" w:cs="宋体"/>
          <w:b w:val="0"/>
          <w:bCs/>
          <w:color w:val="auto"/>
          <w:sz w:val="21"/>
          <w:szCs w:val="21"/>
          <w:highlight w:val="none"/>
        </w:rPr>
        <w:t>8.3 项目实施计划</w:t>
      </w:r>
      <w:bookmarkEnd w:id="1699"/>
      <w:bookmarkEnd w:id="1700"/>
      <w:bookmarkEnd w:id="1701"/>
      <w:bookmarkEnd w:id="1702"/>
      <w:bookmarkEnd w:id="1703"/>
      <w:bookmarkEnd w:id="1704"/>
      <w:bookmarkEnd w:id="1705"/>
      <w:bookmarkEnd w:id="1706"/>
      <w:bookmarkEnd w:id="1707"/>
      <w:bookmarkEnd w:id="1708"/>
    </w:p>
    <w:p w14:paraId="27DD2388">
      <w:pPr>
        <w:pStyle w:val="88"/>
        <w:numPr>
          <w:ilvl w:val="0"/>
          <w:numId w:val="0"/>
        </w:numPr>
        <w:spacing w:after="156"/>
        <w:rPr>
          <w:rFonts w:hint="eastAsia" w:cs="宋体"/>
          <w:color w:val="auto"/>
          <w:sz w:val="21"/>
          <w:highlight w:val="none"/>
        </w:rPr>
      </w:pPr>
      <w:bookmarkStart w:id="1713" w:name="_Ref18990904"/>
      <w:r>
        <w:rPr>
          <w:rFonts w:hint="eastAsia" w:cs="宋体"/>
          <w:color w:val="auto"/>
          <w:sz w:val="21"/>
          <w:highlight w:val="none"/>
        </w:rPr>
        <w:t>8.3.1 项目实施计划的内容</w:t>
      </w:r>
      <w:bookmarkEnd w:id="1713"/>
    </w:p>
    <w:p w14:paraId="13C365B7">
      <w:pPr>
        <w:ind w:firstLine="600"/>
        <w:rPr>
          <w:rFonts w:hint="eastAsia" w:ascii="宋体" w:hAnsi="宋体" w:cs="宋体"/>
          <w:color w:val="auto"/>
          <w:szCs w:val="21"/>
          <w:highlight w:val="none"/>
        </w:rPr>
      </w:pPr>
      <w:r>
        <w:rPr>
          <w:rFonts w:hint="eastAsia" w:ascii="宋体" w:hAnsi="宋体" w:cs="宋体"/>
          <w:color w:val="auto"/>
          <w:szCs w:val="21"/>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72E077F7">
      <w:pPr>
        <w:pStyle w:val="88"/>
        <w:numPr>
          <w:ilvl w:val="0"/>
          <w:numId w:val="0"/>
        </w:numPr>
        <w:spacing w:after="156"/>
        <w:rPr>
          <w:rFonts w:hint="eastAsia" w:cs="宋体"/>
          <w:color w:val="auto"/>
          <w:sz w:val="21"/>
          <w:highlight w:val="none"/>
        </w:rPr>
      </w:pPr>
      <w:bookmarkStart w:id="1714" w:name="_Ref18990921"/>
      <w:r>
        <w:rPr>
          <w:rFonts w:hint="eastAsia" w:cs="宋体"/>
          <w:color w:val="auto"/>
          <w:sz w:val="21"/>
          <w:highlight w:val="none"/>
        </w:rPr>
        <w:t>8.3.2 项目实施计划的提交和修改</w:t>
      </w:r>
      <w:bookmarkEnd w:id="1714"/>
    </w:p>
    <w:p w14:paraId="4E017867">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3C4E5CCF">
      <w:pPr>
        <w:ind w:firstLine="600"/>
        <w:rPr>
          <w:rFonts w:hint="eastAsia" w:ascii="宋体" w:hAnsi="宋体" w:cs="宋体"/>
          <w:color w:val="auto"/>
          <w:szCs w:val="21"/>
          <w:highlight w:val="none"/>
        </w:rPr>
      </w:pPr>
      <w:r>
        <w:rPr>
          <w:rFonts w:hint="eastAsia" w:ascii="宋体" w:hAnsi="宋体" w:cs="宋体"/>
          <w:color w:val="auto"/>
          <w:szCs w:val="21"/>
          <w:highlight w:val="none"/>
        </w:rPr>
        <w:t>项目进度计划的编制和修改按照第8.4款[项目进度计划]执行。</w:t>
      </w:r>
    </w:p>
    <w:p w14:paraId="7F3A3821">
      <w:pPr>
        <w:pStyle w:val="87"/>
        <w:widowControl/>
        <w:numPr>
          <w:ilvl w:val="0"/>
          <w:numId w:val="0"/>
        </w:numPr>
        <w:spacing w:after="156"/>
        <w:rPr>
          <w:rFonts w:hint="eastAsia" w:ascii="宋体" w:hAnsi="宋体" w:eastAsia="宋体" w:cs="宋体"/>
          <w:b w:val="0"/>
          <w:bCs/>
          <w:color w:val="auto"/>
          <w:sz w:val="21"/>
          <w:szCs w:val="21"/>
          <w:highlight w:val="none"/>
        </w:rPr>
      </w:pPr>
      <w:bookmarkStart w:id="1715" w:name="_Toc9231"/>
      <w:bookmarkStart w:id="1716" w:name="_Toc103175725"/>
      <w:bookmarkStart w:id="1717" w:name="_Toc32043"/>
      <w:bookmarkStart w:id="1718" w:name="_Toc17637"/>
      <w:bookmarkStart w:id="1719" w:name="_Toc20076"/>
      <w:bookmarkStart w:id="1720" w:name="_Toc27726"/>
      <w:bookmarkStart w:id="1721" w:name="_Toc13668"/>
      <w:bookmarkStart w:id="1722" w:name="_Toc24379"/>
      <w:bookmarkStart w:id="1723" w:name="_Ref11865507"/>
      <w:bookmarkStart w:id="1724" w:name="_Toc22200"/>
      <w:r>
        <w:rPr>
          <w:rFonts w:hint="eastAsia" w:ascii="宋体" w:hAnsi="宋体" w:eastAsia="宋体" w:cs="宋体"/>
          <w:b w:val="0"/>
          <w:bCs/>
          <w:color w:val="auto"/>
          <w:sz w:val="21"/>
          <w:szCs w:val="21"/>
          <w:highlight w:val="none"/>
        </w:rPr>
        <w:t>8.4 项目进度计划</w:t>
      </w:r>
      <w:bookmarkEnd w:id="1709"/>
      <w:bookmarkEnd w:id="1710"/>
      <w:bookmarkEnd w:id="1711"/>
      <w:bookmarkEnd w:id="1712"/>
      <w:bookmarkEnd w:id="1715"/>
      <w:bookmarkEnd w:id="1716"/>
      <w:bookmarkEnd w:id="1717"/>
      <w:bookmarkEnd w:id="1718"/>
      <w:bookmarkEnd w:id="1719"/>
      <w:bookmarkEnd w:id="1720"/>
      <w:bookmarkEnd w:id="1721"/>
      <w:bookmarkEnd w:id="1722"/>
      <w:bookmarkEnd w:id="1723"/>
      <w:bookmarkEnd w:id="1724"/>
    </w:p>
    <w:p w14:paraId="3E6BE9BB">
      <w:pPr>
        <w:pStyle w:val="88"/>
        <w:numPr>
          <w:ilvl w:val="0"/>
          <w:numId w:val="0"/>
        </w:numPr>
        <w:spacing w:after="156"/>
        <w:rPr>
          <w:rFonts w:hint="eastAsia" w:cs="宋体"/>
          <w:color w:val="auto"/>
          <w:sz w:val="21"/>
          <w:highlight w:val="none"/>
        </w:rPr>
      </w:pPr>
      <w:bookmarkStart w:id="1725" w:name="_Ref4681217"/>
      <w:r>
        <w:rPr>
          <w:rFonts w:hint="eastAsia" w:cs="宋体"/>
          <w:color w:val="auto"/>
          <w:sz w:val="21"/>
          <w:highlight w:val="none"/>
        </w:rPr>
        <w:t>8.4.1 项目进度计划的提交和修改</w:t>
      </w:r>
      <w:bookmarkEnd w:id="1725"/>
    </w:p>
    <w:p w14:paraId="52AFB92A">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14:paraId="3E88A5FE">
      <w:pPr>
        <w:ind w:firstLine="600"/>
        <w:rPr>
          <w:rFonts w:hint="eastAsia" w:ascii="宋体" w:hAnsi="宋体" w:cs="宋体"/>
          <w:color w:val="auto"/>
          <w:szCs w:val="21"/>
          <w:highlight w:val="none"/>
        </w:rPr>
      </w:pPr>
      <w:r>
        <w:rPr>
          <w:rFonts w:hint="eastAsia" w:ascii="宋体" w:hAnsi="宋体" w:cs="宋体"/>
          <w:color w:val="auto"/>
          <w:szCs w:val="21"/>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1F2F7880">
      <w:pPr>
        <w:pStyle w:val="88"/>
        <w:numPr>
          <w:ilvl w:val="0"/>
          <w:numId w:val="0"/>
        </w:numPr>
        <w:spacing w:after="156"/>
        <w:rPr>
          <w:rFonts w:hint="eastAsia" w:cs="宋体"/>
          <w:color w:val="auto"/>
          <w:sz w:val="21"/>
          <w:highlight w:val="none"/>
        </w:rPr>
      </w:pPr>
      <w:bookmarkStart w:id="1726" w:name="_Ref4429079"/>
      <w:r>
        <w:rPr>
          <w:rFonts w:hint="eastAsia" w:cs="宋体"/>
          <w:color w:val="auto"/>
          <w:sz w:val="21"/>
          <w:highlight w:val="none"/>
        </w:rPr>
        <w:t>8.4.2 项目进度计划的内容</w:t>
      </w:r>
      <w:bookmarkEnd w:id="1726"/>
    </w:p>
    <w:p w14:paraId="5886E069">
      <w:pPr>
        <w:ind w:firstLine="600"/>
        <w:rPr>
          <w:rFonts w:hint="eastAsia" w:ascii="宋体" w:hAnsi="宋体" w:cs="宋体"/>
          <w:color w:val="auto"/>
          <w:szCs w:val="21"/>
          <w:highlight w:val="none"/>
        </w:rPr>
      </w:pPr>
      <w:r>
        <w:rPr>
          <w:rFonts w:hint="eastAsia" w:ascii="宋体" w:hAnsi="宋体" w:cs="宋体"/>
          <w:color w:val="auto"/>
          <w:szCs w:val="21"/>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4909A780">
      <w:pPr>
        <w:pStyle w:val="88"/>
        <w:numPr>
          <w:ilvl w:val="0"/>
          <w:numId w:val="0"/>
        </w:numPr>
        <w:spacing w:after="156"/>
        <w:rPr>
          <w:rFonts w:hint="eastAsia" w:cs="宋体"/>
          <w:color w:val="auto"/>
          <w:sz w:val="21"/>
          <w:highlight w:val="none"/>
        </w:rPr>
      </w:pPr>
      <w:bookmarkStart w:id="1727" w:name="_Ref3848203"/>
      <w:r>
        <w:rPr>
          <w:rFonts w:hint="eastAsia" w:cs="宋体"/>
          <w:color w:val="auto"/>
          <w:sz w:val="21"/>
          <w:highlight w:val="none"/>
        </w:rPr>
        <w:t>8.4.3 项目进度计划的修订</w:t>
      </w:r>
      <w:bookmarkEnd w:id="1727"/>
    </w:p>
    <w:p w14:paraId="7D7DBF0C">
      <w:pPr>
        <w:ind w:firstLine="600"/>
        <w:rPr>
          <w:rFonts w:hint="eastAsia" w:ascii="宋体" w:hAnsi="宋体" w:cs="宋体"/>
          <w:color w:val="auto"/>
          <w:szCs w:val="21"/>
          <w:highlight w:val="none"/>
        </w:rPr>
      </w:pPr>
      <w:r>
        <w:rPr>
          <w:rFonts w:hint="eastAsia" w:ascii="宋体" w:hAnsi="宋体" w:cs="宋体"/>
          <w:color w:val="auto"/>
          <w:szCs w:val="21"/>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28371788">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754E465D">
      <w:pPr>
        <w:ind w:firstLine="600"/>
        <w:rPr>
          <w:rFonts w:hint="eastAsia" w:ascii="宋体" w:hAnsi="宋体" w:cs="宋体"/>
          <w:color w:val="auto"/>
          <w:szCs w:val="21"/>
          <w:highlight w:val="none"/>
        </w:rPr>
      </w:pPr>
      <w:r>
        <w:rPr>
          <w:rFonts w:hint="eastAsia" w:ascii="宋体" w:hAnsi="宋体" w:cs="宋体"/>
          <w:color w:val="auto"/>
          <w:szCs w:val="21"/>
          <w:highlight w:val="none"/>
        </w:rPr>
        <w:t>除合同当事人另有约定外，项目进度计划的修订并不能减轻或者免除双方按第8.7款[工期延误]、第8.8款[工期提前]、第8.9款[暂停工作]应承担的合同责任。</w:t>
      </w:r>
    </w:p>
    <w:p w14:paraId="75B5916D">
      <w:pPr>
        <w:pStyle w:val="87"/>
        <w:widowControl/>
        <w:numPr>
          <w:ilvl w:val="0"/>
          <w:numId w:val="0"/>
        </w:numPr>
        <w:spacing w:after="156"/>
        <w:rPr>
          <w:rFonts w:hint="eastAsia" w:ascii="宋体" w:hAnsi="宋体" w:eastAsia="宋体" w:cs="宋体"/>
          <w:b w:val="0"/>
          <w:bCs/>
          <w:color w:val="auto"/>
          <w:sz w:val="21"/>
          <w:szCs w:val="21"/>
          <w:highlight w:val="none"/>
        </w:rPr>
      </w:pPr>
      <w:bookmarkStart w:id="1728" w:name="_Ref532362276"/>
      <w:bookmarkStart w:id="1729" w:name="_Toc22550"/>
      <w:bookmarkStart w:id="1730" w:name="_Toc15457"/>
      <w:bookmarkStart w:id="1731" w:name="_Toc24539"/>
      <w:bookmarkStart w:id="1732" w:name="_Toc23721"/>
      <w:bookmarkStart w:id="1733" w:name="_Toc6032"/>
      <w:bookmarkStart w:id="1734" w:name="_Toc21450"/>
      <w:bookmarkStart w:id="1735" w:name="_Toc22184"/>
      <w:bookmarkStart w:id="1736" w:name="_Ref532362278"/>
      <w:bookmarkStart w:id="1737" w:name="_Toc103175726"/>
      <w:bookmarkStart w:id="1738" w:name="_Toc5025"/>
      <w:r>
        <w:rPr>
          <w:rFonts w:hint="eastAsia" w:ascii="宋体" w:hAnsi="宋体" w:eastAsia="宋体" w:cs="宋体"/>
          <w:b w:val="0"/>
          <w:bCs/>
          <w:color w:val="auto"/>
          <w:sz w:val="21"/>
          <w:szCs w:val="21"/>
          <w:highlight w:val="none"/>
        </w:rPr>
        <w:t>8.5 进度报告</w:t>
      </w:r>
      <w:bookmarkEnd w:id="1728"/>
      <w:bookmarkEnd w:id="1729"/>
      <w:bookmarkEnd w:id="1730"/>
      <w:bookmarkEnd w:id="1731"/>
      <w:bookmarkEnd w:id="1732"/>
      <w:bookmarkEnd w:id="1733"/>
      <w:bookmarkEnd w:id="1734"/>
      <w:bookmarkEnd w:id="1735"/>
      <w:bookmarkEnd w:id="1736"/>
      <w:bookmarkEnd w:id="1737"/>
      <w:bookmarkEnd w:id="1738"/>
    </w:p>
    <w:p w14:paraId="2066E773">
      <w:pPr>
        <w:ind w:firstLine="600"/>
        <w:rPr>
          <w:rFonts w:hint="eastAsia" w:ascii="宋体" w:hAnsi="宋体" w:cs="宋体"/>
          <w:color w:val="auto"/>
          <w:szCs w:val="21"/>
          <w:highlight w:val="none"/>
        </w:rPr>
      </w:pPr>
      <w:r>
        <w:rPr>
          <w:rFonts w:hint="eastAsia" w:ascii="宋体" w:hAnsi="宋体" w:cs="宋体"/>
          <w:color w:val="auto"/>
          <w:szCs w:val="21"/>
          <w:highlight w:val="none"/>
        </w:rPr>
        <w:t>项目实施过程中，承包人应进行实际进度记录，并根据工程师的要求编制月进度报告，并提交给工程师。进度报告应包含以下主要内容：</w:t>
      </w:r>
    </w:p>
    <w:p w14:paraId="559BBBE4">
      <w:pPr>
        <w:ind w:firstLine="600"/>
        <w:rPr>
          <w:rFonts w:hint="eastAsia" w:ascii="宋体" w:hAnsi="宋体" w:cs="宋体"/>
          <w:color w:val="auto"/>
          <w:szCs w:val="21"/>
          <w:highlight w:val="none"/>
        </w:rPr>
      </w:pPr>
      <w:r>
        <w:rPr>
          <w:rFonts w:hint="eastAsia" w:ascii="宋体" w:hAnsi="宋体" w:cs="宋体"/>
          <w:color w:val="auto"/>
          <w:szCs w:val="21"/>
          <w:highlight w:val="none"/>
        </w:rPr>
        <w:t>（1） 工程设计、采购、施工等各个工作内容的进展报告；</w:t>
      </w:r>
    </w:p>
    <w:p w14:paraId="295F51C6">
      <w:pPr>
        <w:ind w:firstLine="600"/>
        <w:rPr>
          <w:rFonts w:hint="eastAsia" w:ascii="宋体" w:hAnsi="宋体" w:cs="宋体"/>
          <w:color w:val="auto"/>
          <w:szCs w:val="21"/>
          <w:highlight w:val="none"/>
        </w:rPr>
      </w:pPr>
      <w:r>
        <w:rPr>
          <w:rFonts w:hint="eastAsia" w:ascii="宋体" w:hAnsi="宋体" w:cs="宋体"/>
          <w:color w:val="auto"/>
          <w:szCs w:val="21"/>
          <w:highlight w:val="none"/>
        </w:rPr>
        <w:t>（2） 工程施工方法的一般说明；</w:t>
      </w:r>
    </w:p>
    <w:p w14:paraId="70F24756">
      <w:pPr>
        <w:ind w:firstLine="600"/>
        <w:rPr>
          <w:rFonts w:hint="eastAsia" w:ascii="宋体" w:hAnsi="宋体" w:cs="宋体"/>
          <w:color w:val="auto"/>
          <w:szCs w:val="21"/>
          <w:highlight w:val="none"/>
        </w:rPr>
      </w:pPr>
      <w:r>
        <w:rPr>
          <w:rFonts w:hint="eastAsia" w:ascii="宋体" w:hAnsi="宋体" w:cs="宋体"/>
          <w:color w:val="auto"/>
          <w:szCs w:val="21"/>
          <w:highlight w:val="none"/>
        </w:rPr>
        <w:t>（3） 当月工程实施介入的项目人员、设备和材料的预估明细报告；</w:t>
      </w:r>
    </w:p>
    <w:p w14:paraId="1D246099">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（4） 当月实际进度与进度计划对比分析，以及提出未来可能引起工期延误的情形，同时提出应对措施；需要修订项目进度计划的，应对项目进度计划的修订部分进行说明； </w:t>
      </w:r>
    </w:p>
    <w:p w14:paraId="59D75023">
      <w:pPr>
        <w:ind w:firstLine="600"/>
        <w:rPr>
          <w:rFonts w:hint="eastAsia" w:ascii="宋体" w:hAnsi="宋体" w:cs="宋体"/>
          <w:color w:val="auto"/>
          <w:szCs w:val="21"/>
          <w:highlight w:val="none"/>
        </w:rPr>
      </w:pPr>
      <w:r>
        <w:rPr>
          <w:rFonts w:hint="eastAsia" w:ascii="宋体" w:hAnsi="宋体" w:cs="宋体"/>
          <w:color w:val="auto"/>
          <w:szCs w:val="21"/>
          <w:highlight w:val="none"/>
        </w:rPr>
        <w:t>（5） 承包人对于解决工期延误所提出的建议；</w:t>
      </w:r>
    </w:p>
    <w:p w14:paraId="02A6AD6C">
      <w:pPr>
        <w:ind w:firstLine="600"/>
        <w:rPr>
          <w:rFonts w:hint="eastAsia" w:ascii="宋体" w:hAnsi="宋体" w:cs="宋体"/>
          <w:color w:val="auto"/>
          <w:szCs w:val="21"/>
          <w:highlight w:val="none"/>
        </w:rPr>
      </w:pPr>
      <w:r>
        <w:rPr>
          <w:rFonts w:hint="eastAsia" w:ascii="宋体" w:hAnsi="宋体" w:cs="宋体"/>
          <w:color w:val="auto"/>
          <w:szCs w:val="21"/>
          <w:highlight w:val="none"/>
        </w:rPr>
        <w:t>（6） 其他与工程有关的重大事项。</w:t>
      </w:r>
    </w:p>
    <w:p w14:paraId="0B9B5B7E">
      <w:pPr>
        <w:ind w:firstLine="600"/>
        <w:rPr>
          <w:rFonts w:hint="eastAsia" w:ascii="宋体" w:hAnsi="宋体" w:cs="宋体"/>
          <w:color w:val="auto"/>
          <w:szCs w:val="21"/>
          <w:highlight w:val="none"/>
        </w:rPr>
      </w:pPr>
      <w:r>
        <w:rPr>
          <w:rFonts w:hint="eastAsia" w:ascii="宋体" w:hAnsi="宋体" w:cs="宋体"/>
          <w:color w:val="auto"/>
          <w:szCs w:val="21"/>
          <w:highlight w:val="none"/>
        </w:rPr>
        <w:t>进度报告的具体要求等，在专用合同条件约定。</w:t>
      </w:r>
    </w:p>
    <w:p w14:paraId="7E139E7F">
      <w:pPr>
        <w:pStyle w:val="87"/>
        <w:widowControl/>
        <w:numPr>
          <w:ilvl w:val="0"/>
          <w:numId w:val="0"/>
        </w:numPr>
        <w:spacing w:after="156"/>
        <w:rPr>
          <w:rFonts w:hint="eastAsia" w:ascii="宋体" w:hAnsi="宋体" w:eastAsia="宋体" w:cs="宋体"/>
          <w:b w:val="0"/>
          <w:bCs/>
          <w:color w:val="auto"/>
          <w:sz w:val="21"/>
          <w:szCs w:val="21"/>
          <w:highlight w:val="none"/>
        </w:rPr>
      </w:pPr>
      <w:bookmarkStart w:id="1739" w:name="_Toc29822"/>
      <w:bookmarkStart w:id="1740" w:name="_Toc3932"/>
      <w:bookmarkStart w:id="1741" w:name="_Toc5123"/>
      <w:bookmarkStart w:id="1742" w:name="_Toc22171"/>
      <w:bookmarkStart w:id="1743" w:name="_Toc5430"/>
      <w:bookmarkStart w:id="1744" w:name="_Toc27310"/>
      <w:bookmarkStart w:id="1745" w:name="_Toc103175727"/>
      <w:bookmarkStart w:id="1746" w:name="_Toc7020"/>
      <w:bookmarkStart w:id="1747" w:name="_Toc24919"/>
      <w:r>
        <w:rPr>
          <w:rFonts w:hint="eastAsia" w:ascii="宋体" w:hAnsi="宋体" w:eastAsia="宋体" w:cs="宋体"/>
          <w:b w:val="0"/>
          <w:bCs/>
          <w:color w:val="auto"/>
          <w:sz w:val="21"/>
          <w:szCs w:val="21"/>
          <w:highlight w:val="none"/>
        </w:rPr>
        <w:t>8.6 提前预警</w:t>
      </w:r>
      <w:bookmarkEnd w:id="1739"/>
      <w:bookmarkEnd w:id="1740"/>
      <w:bookmarkEnd w:id="1741"/>
      <w:bookmarkEnd w:id="1742"/>
      <w:bookmarkEnd w:id="1743"/>
      <w:bookmarkEnd w:id="1744"/>
      <w:bookmarkEnd w:id="1745"/>
      <w:bookmarkEnd w:id="1746"/>
      <w:bookmarkEnd w:id="1747"/>
    </w:p>
    <w:p w14:paraId="246B38E5">
      <w:pPr>
        <w:ind w:firstLine="600"/>
        <w:rPr>
          <w:rFonts w:hint="eastAsia" w:ascii="宋体" w:hAnsi="宋体" w:cs="宋体"/>
          <w:color w:val="auto"/>
          <w:szCs w:val="21"/>
          <w:highlight w:val="none"/>
        </w:rPr>
      </w:pPr>
      <w:r>
        <w:rPr>
          <w:rFonts w:hint="eastAsia" w:ascii="宋体" w:hAnsi="宋体" w:cs="宋体"/>
          <w:color w:val="auto"/>
          <w:szCs w:val="21"/>
          <w:highlight w:val="none"/>
        </w:rPr>
        <w:t>任何一方应当在下列情形发生时尽快书面通知另一方：</w:t>
      </w:r>
    </w:p>
    <w:p w14:paraId="26569E61">
      <w:pPr>
        <w:ind w:firstLine="600"/>
        <w:rPr>
          <w:rFonts w:hint="eastAsia" w:ascii="宋体" w:hAnsi="宋体" w:cs="宋体"/>
          <w:color w:val="auto"/>
          <w:szCs w:val="21"/>
          <w:highlight w:val="none"/>
        </w:rPr>
      </w:pPr>
      <w:r>
        <w:rPr>
          <w:rFonts w:hint="eastAsia" w:ascii="宋体" w:hAnsi="宋体" w:cs="宋体"/>
          <w:color w:val="auto"/>
          <w:szCs w:val="21"/>
          <w:highlight w:val="none"/>
        </w:rPr>
        <w:t>（1） 该情形可能对合同的履行或实现合同目的产生不利影响；</w:t>
      </w:r>
    </w:p>
    <w:p w14:paraId="4046CF11">
      <w:pPr>
        <w:ind w:firstLine="600"/>
        <w:rPr>
          <w:rFonts w:hint="eastAsia" w:ascii="宋体" w:hAnsi="宋体" w:cs="宋体"/>
          <w:color w:val="auto"/>
          <w:szCs w:val="21"/>
          <w:highlight w:val="none"/>
        </w:rPr>
      </w:pPr>
      <w:r>
        <w:rPr>
          <w:rFonts w:hint="eastAsia" w:ascii="宋体" w:hAnsi="宋体" w:cs="宋体"/>
          <w:color w:val="auto"/>
          <w:szCs w:val="21"/>
          <w:highlight w:val="none"/>
        </w:rPr>
        <w:t>（2） 该情形可能对工程完成后的使用产生不利影响；</w:t>
      </w:r>
    </w:p>
    <w:p w14:paraId="3BDB1BA2">
      <w:pPr>
        <w:ind w:firstLine="600"/>
        <w:rPr>
          <w:rFonts w:hint="eastAsia" w:ascii="宋体" w:hAnsi="宋体" w:cs="宋体"/>
          <w:color w:val="auto"/>
          <w:szCs w:val="21"/>
          <w:highlight w:val="none"/>
        </w:rPr>
      </w:pPr>
      <w:r>
        <w:rPr>
          <w:rFonts w:hint="eastAsia" w:ascii="宋体" w:hAnsi="宋体" w:cs="宋体"/>
          <w:color w:val="auto"/>
          <w:szCs w:val="21"/>
          <w:highlight w:val="none"/>
        </w:rPr>
        <w:t>（3） 该情形可能导致合同价款增加；</w:t>
      </w:r>
    </w:p>
    <w:p w14:paraId="05B96686">
      <w:pPr>
        <w:ind w:firstLine="600"/>
        <w:rPr>
          <w:rFonts w:hint="eastAsia" w:ascii="宋体" w:hAnsi="宋体" w:cs="宋体"/>
          <w:color w:val="auto"/>
          <w:szCs w:val="21"/>
          <w:highlight w:val="none"/>
        </w:rPr>
      </w:pPr>
      <w:r>
        <w:rPr>
          <w:rFonts w:hint="eastAsia" w:ascii="宋体" w:hAnsi="宋体" w:cs="宋体"/>
          <w:color w:val="auto"/>
          <w:szCs w:val="21"/>
          <w:highlight w:val="none"/>
        </w:rPr>
        <w:t>（4） 该情形可能导致整个工程或单位/区段工程的工期延长。</w:t>
      </w:r>
    </w:p>
    <w:p w14:paraId="2387CB5A">
      <w:pPr>
        <w:ind w:firstLine="600"/>
        <w:rPr>
          <w:rFonts w:hint="eastAsia" w:ascii="宋体" w:hAnsi="宋体" w:cs="宋体"/>
          <w:color w:val="auto"/>
          <w:szCs w:val="21"/>
          <w:highlight w:val="none"/>
        </w:rPr>
      </w:pPr>
      <w:r>
        <w:rPr>
          <w:rFonts w:hint="eastAsia" w:ascii="宋体" w:hAnsi="宋体" w:cs="宋体"/>
          <w:color w:val="auto"/>
          <w:szCs w:val="21"/>
          <w:highlight w:val="none"/>
        </w:rPr>
        <w:t>发包人有权要求承包人根据第13.2款[承包人的合理化建议]的约定提交变更建议，采取措施尽量避免或最小化上述情形的发生或影响。</w:t>
      </w:r>
    </w:p>
    <w:p w14:paraId="7446D8B5">
      <w:pPr>
        <w:pStyle w:val="87"/>
        <w:widowControl/>
        <w:numPr>
          <w:ilvl w:val="0"/>
          <w:numId w:val="0"/>
        </w:numPr>
        <w:spacing w:after="156"/>
        <w:rPr>
          <w:rFonts w:hint="eastAsia" w:ascii="宋体" w:hAnsi="宋体" w:eastAsia="宋体" w:cs="宋体"/>
          <w:b w:val="0"/>
          <w:bCs/>
          <w:color w:val="auto"/>
          <w:sz w:val="21"/>
          <w:szCs w:val="21"/>
          <w:highlight w:val="none"/>
        </w:rPr>
      </w:pPr>
      <w:bookmarkStart w:id="1748" w:name="_Toc4784171"/>
      <w:bookmarkEnd w:id="1748"/>
      <w:bookmarkStart w:id="1749" w:name="_Toc4784168"/>
      <w:bookmarkEnd w:id="1749"/>
      <w:bookmarkStart w:id="1750" w:name="_Toc4784173"/>
      <w:bookmarkEnd w:id="1750"/>
      <w:bookmarkStart w:id="1751" w:name="_Toc4784169"/>
      <w:bookmarkEnd w:id="1751"/>
      <w:bookmarkStart w:id="1752" w:name="_Toc4784172"/>
      <w:bookmarkEnd w:id="1752"/>
      <w:bookmarkStart w:id="1753" w:name="_Toc4784161"/>
      <w:bookmarkEnd w:id="1753"/>
      <w:bookmarkStart w:id="1754" w:name="_Toc4784170"/>
      <w:bookmarkEnd w:id="1754"/>
      <w:bookmarkStart w:id="1755" w:name="_Toc4784165"/>
      <w:bookmarkEnd w:id="1755"/>
      <w:bookmarkStart w:id="1756" w:name="_Toc4784174"/>
      <w:bookmarkEnd w:id="1756"/>
      <w:bookmarkStart w:id="1757" w:name="_Toc4784156"/>
      <w:bookmarkEnd w:id="1757"/>
      <w:bookmarkStart w:id="1758" w:name="_Toc4784163"/>
      <w:bookmarkEnd w:id="1758"/>
      <w:bookmarkStart w:id="1759" w:name="_Toc4784166"/>
      <w:bookmarkEnd w:id="1759"/>
      <w:bookmarkStart w:id="1760" w:name="_Toc4784158"/>
      <w:bookmarkEnd w:id="1760"/>
      <w:bookmarkStart w:id="1761" w:name="_Toc4784154"/>
      <w:bookmarkEnd w:id="1761"/>
      <w:bookmarkStart w:id="1762" w:name="_Toc4784157"/>
      <w:bookmarkEnd w:id="1762"/>
      <w:bookmarkStart w:id="1763" w:name="_Toc4784162"/>
      <w:bookmarkEnd w:id="1763"/>
      <w:bookmarkStart w:id="1764" w:name="_Toc4784164"/>
      <w:bookmarkEnd w:id="1764"/>
      <w:bookmarkStart w:id="1765" w:name="_Toc4784175"/>
      <w:bookmarkEnd w:id="1765"/>
      <w:bookmarkStart w:id="1766" w:name="_Toc4784167"/>
      <w:bookmarkEnd w:id="1766"/>
      <w:bookmarkStart w:id="1767" w:name="_Toc4784160"/>
      <w:bookmarkEnd w:id="1767"/>
      <w:bookmarkStart w:id="1768" w:name="_Toc4784159"/>
      <w:bookmarkEnd w:id="1768"/>
      <w:bookmarkStart w:id="1769" w:name="_Toc4784155"/>
      <w:bookmarkEnd w:id="1769"/>
      <w:bookmarkStart w:id="1770" w:name="_Toc103175728"/>
      <w:bookmarkStart w:id="1771" w:name="_Toc953"/>
      <w:bookmarkStart w:id="1772" w:name="_Toc23603"/>
      <w:bookmarkStart w:id="1773" w:name="_Toc6092"/>
      <w:bookmarkStart w:id="1774" w:name="_Toc27128"/>
      <w:bookmarkStart w:id="1775" w:name="_Toc29862"/>
      <w:bookmarkStart w:id="1776" w:name="_Toc10618"/>
      <w:bookmarkStart w:id="1777" w:name="_Ref4770106"/>
      <w:bookmarkStart w:id="1778" w:name="_Toc27712"/>
      <w:bookmarkStart w:id="1779" w:name="_Toc5198"/>
      <w:bookmarkStart w:id="1780" w:name="_Ref532362356"/>
      <w:bookmarkStart w:id="1781" w:name="_Ref532362359"/>
      <w:r>
        <w:rPr>
          <w:rFonts w:hint="eastAsia" w:ascii="宋体" w:hAnsi="宋体" w:eastAsia="宋体" w:cs="宋体"/>
          <w:b w:val="0"/>
          <w:bCs/>
          <w:color w:val="auto"/>
          <w:sz w:val="21"/>
          <w:szCs w:val="21"/>
          <w:highlight w:val="none"/>
        </w:rPr>
        <w:t>8.7 工期延误</w:t>
      </w:r>
      <w:bookmarkEnd w:id="1770"/>
      <w:bookmarkEnd w:id="1771"/>
      <w:bookmarkEnd w:id="1772"/>
      <w:bookmarkEnd w:id="1773"/>
      <w:bookmarkEnd w:id="1774"/>
      <w:bookmarkEnd w:id="1775"/>
      <w:bookmarkEnd w:id="1776"/>
      <w:bookmarkEnd w:id="1777"/>
      <w:bookmarkEnd w:id="1778"/>
      <w:bookmarkEnd w:id="1779"/>
    </w:p>
    <w:p w14:paraId="2B2DAC8E">
      <w:pPr>
        <w:pStyle w:val="88"/>
        <w:numPr>
          <w:ilvl w:val="0"/>
          <w:numId w:val="0"/>
        </w:numPr>
        <w:spacing w:after="156"/>
        <w:rPr>
          <w:rFonts w:hint="eastAsia" w:cs="宋体"/>
          <w:color w:val="auto"/>
          <w:sz w:val="21"/>
          <w:highlight w:val="none"/>
        </w:rPr>
      </w:pPr>
      <w:bookmarkStart w:id="1782" w:name="_Ref4796050"/>
      <w:r>
        <w:rPr>
          <w:rFonts w:hint="eastAsia" w:cs="宋体"/>
          <w:color w:val="auto"/>
          <w:sz w:val="21"/>
          <w:highlight w:val="none"/>
        </w:rPr>
        <w:t>8.7.1 因发包人原因导致工期延误</w:t>
      </w:r>
      <w:bookmarkEnd w:id="1782"/>
    </w:p>
    <w:p w14:paraId="09E86A42">
      <w:pPr>
        <w:ind w:firstLine="600"/>
        <w:rPr>
          <w:rFonts w:hint="eastAsia" w:ascii="宋体" w:hAnsi="宋体" w:cs="宋体"/>
          <w:color w:val="auto"/>
          <w:szCs w:val="21"/>
          <w:highlight w:val="none"/>
        </w:rPr>
      </w:pPr>
      <w:r>
        <w:rPr>
          <w:rFonts w:hint="eastAsia" w:ascii="宋体" w:hAnsi="宋体" w:cs="宋体"/>
          <w:color w:val="auto"/>
          <w:szCs w:val="21"/>
          <w:highlight w:val="none"/>
        </w:rPr>
        <w:t>在合同履行过程中，因下列情况导致工期延误和（或）费用增加的，由发包人承担由此延误的工期和（或）增加的费用，且发包人应支付承包人合理的利润：</w:t>
      </w:r>
    </w:p>
    <w:p w14:paraId="230FF1C9">
      <w:pPr>
        <w:ind w:firstLine="600"/>
        <w:rPr>
          <w:rFonts w:hint="eastAsia" w:ascii="宋体" w:hAnsi="宋体" w:cs="宋体"/>
          <w:color w:val="auto"/>
          <w:szCs w:val="21"/>
          <w:highlight w:val="none"/>
        </w:rPr>
      </w:pPr>
      <w:r>
        <w:rPr>
          <w:rFonts w:hint="eastAsia" w:ascii="宋体" w:hAnsi="宋体" w:cs="宋体"/>
          <w:color w:val="auto"/>
          <w:szCs w:val="21"/>
          <w:highlight w:val="none"/>
        </w:rPr>
        <w:t>（1） 根据第13条[变更与调整]的约定构成一项变更的；</w:t>
      </w:r>
    </w:p>
    <w:p w14:paraId="25947B6D">
      <w:pPr>
        <w:ind w:firstLine="600"/>
        <w:rPr>
          <w:rFonts w:hint="eastAsia" w:ascii="宋体" w:hAnsi="宋体" w:cs="宋体"/>
          <w:color w:val="auto"/>
          <w:szCs w:val="21"/>
          <w:highlight w:val="none"/>
        </w:rPr>
      </w:pPr>
      <w:r>
        <w:rPr>
          <w:rFonts w:hint="eastAsia" w:ascii="宋体" w:hAnsi="宋体" w:cs="宋体"/>
          <w:color w:val="auto"/>
          <w:szCs w:val="21"/>
          <w:highlight w:val="none"/>
        </w:rPr>
        <w:t>（2） 发包人违反本合同约定，导致工期延误和（或）费用增加的；</w:t>
      </w:r>
    </w:p>
    <w:p w14:paraId="4AD44663">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发包人、发包人代表、工程师或发包人聘请的任意第三方造成或引起的任何延误、妨碍和阻碍；</w:t>
      </w:r>
    </w:p>
    <w:p w14:paraId="7059BB92">
      <w:pPr>
        <w:ind w:firstLine="600"/>
        <w:rPr>
          <w:rFonts w:hint="eastAsia" w:ascii="宋体" w:hAnsi="宋体" w:cs="宋体"/>
          <w:color w:val="auto"/>
          <w:szCs w:val="21"/>
          <w:highlight w:val="none"/>
        </w:rPr>
      </w:pPr>
      <w:r>
        <w:rPr>
          <w:rFonts w:hint="eastAsia" w:ascii="宋体" w:hAnsi="宋体" w:cs="宋体"/>
          <w:color w:val="auto"/>
          <w:szCs w:val="21"/>
          <w:highlight w:val="none"/>
        </w:rPr>
        <w:t>（4） 发包人未能依据第6.2.1项[发包人提供的材料和工程设备]的约定提供材料和工程设备导致工期延误和（或）费用增加的；</w:t>
      </w:r>
    </w:p>
    <w:p w14:paraId="5D06A8DF">
      <w:pPr>
        <w:ind w:firstLine="600"/>
        <w:rPr>
          <w:rFonts w:hint="eastAsia" w:ascii="宋体" w:hAnsi="宋体" w:cs="宋体"/>
          <w:color w:val="auto"/>
          <w:szCs w:val="21"/>
          <w:highlight w:val="none"/>
        </w:rPr>
      </w:pPr>
      <w:r>
        <w:rPr>
          <w:rFonts w:hint="eastAsia" w:ascii="宋体" w:hAnsi="宋体" w:cs="宋体"/>
          <w:color w:val="auto"/>
          <w:szCs w:val="21"/>
          <w:highlight w:val="none"/>
        </w:rPr>
        <w:t>（5） 因发包人原因导致的暂停施工；</w:t>
      </w:r>
    </w:p>
    <w:p w14:paraId="284BF981">
      <w:pPr>
        <w:ind w:firstLine="600"/>
        <w:rPr>
          <w:rFonts w:hint="eastAsia" w:ascii="宋体" w:hAnsi="宋体" w:cs="宋体"/>
          <w:color w:val="auto"/>
          <w:szCs w:val="21"/>
          <w:highlight w:val="none"/>
        </w:rPr>
      </w:pPr>
      <w:r>
        <w:rPr>
          <w:rFonts w:hint="eastAsia" w:ascii="宋体" w:hAnsi="宋体" w:cs="宋体"/>
          <w:color w:val="auto"/>
          <w:szCs w:val="21"/>
          <w:highlight w:val="none"/>
        </w:rPr>
        <w:t>（6） 发包人未及时履行相关合同义务，造成工期延误的其他原因。</w:t>
      </w:r>
    </w:p>
    <w:p w14:paraId="1CB181D0">
      <w:pPr>
        <w:pStyle w:val="88"/>
        <w:numPr>
          <w:ilvl w:val="0"/>
          <w:numId w:val="0"/>
        </w:numPr>
        <w:spacing w:after="156"/>
        <w:rPr>
          <w:rFonts w:hint="eastAsia" w:cs="宋体"/>
          <w:color w:val="auto"/>
          <w:sz w:val="21"/>
          <w:highlight w:val="none"/>
        </w:rPr>
      </w:pPr>
      <w:bookmarkStart w:id="1783" w:name="_Ref4770209"/>
      <w:r>
        <w:rPr>
          <w:rFonts w:hint="eastAsia" w:cs="宋体"/>
          <w:color w:val="auto"/>
          <w:sz w:val="21"/>
          <w:highlight w:val="none"/>
        </w:rPr>
        <w:t>8.7.2 因承包人原因导致工期延误</w:t>
      </w:r>
      <w:bookmarkEnd w:id="1783"/>
    </w:p>
    <w:p w14:paraId="3D458F49">
      <w:pPr>
        <w:ind w:firstLine="600"/>
        <w:rPr>
          <w:rFonts w:hint="eastAsia" w:ascii="宋体" w:hAnsi="宋体" w:cs="宋体"/>
          <w:color w:val="auto"/>
          <w:szCs w:val="21"/>
          <w:highlight w:val="none"/>
        </w:rPr>
      </w:pPr>
      <w:r>
        <w:rPr>
          <w:rFonts w:hint="eastAsia" w:ascii="宋体" w:hAnsi="宋体" w:cs="宋体"/>
          <w:color w:val="auto"/>
          <w:szCs w:val="21"/>
          <w:highlight w:val="none"/>
        </w:rPr>
        <w:t>由于承包人的原因，未能按项目进度计划完成工作，承包人应采取措施加快进度，并承担加快进度所增加的费用。</w:t>
      </w:r>
    </w:p>
    <w:p w14:paraId="4E650F36">
      <w:pPr>
        <w:ind w:firstLine="600"/>
        <w:rPr>
          <w:rFonts w:hint="eastAsia" w:ascii="宋体" w:hAnsi="宋体" w:cs="宋体"/>
          <w:color w:val="auto"/>
          <w:szCs w:val="21"/>
          <w:highlight w:val="none"/>
        </w:rPr>
      </w:pPr>
      <w:r>
        <w:rPr>
          <w:rFonts w:hint="eastAsia" w:ascii="宋体" w:hAnsi="宋体" w:cs="宋体"/>
          <w:color w:val="auto"/>
          <w:szCs w:val="21"/>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4F1C9B41">
      <w:pPr>
        <w:pStyle w:val="88"/>
        <w:numPr>
          <w:ilvl w:val="0"/>
          <w:numId w:val="0"/>
        </w:numPr>
        <w:spacing w:after="156"/>
        <w:rPr>
          <w:rFonts w:hint="eastAsia" w:cs="宋体"/>
          <w:color w:val="auto"/>
          <w:sz w:val="21"/>
          <w:highlight w:val="none"/>
        </w:rPr>
      </w:pPr>
      <w:bookmarkStart w:id="1784" w:name="_Ref4770872"/>
      <w:r>
        <w:rPr>
          <w:rFonts w:hint="eastAsia" w:cs="宋体"/>
          <w:color w:val="auto"/>
          <w:sz w:val="21"/>
          <w:highlight w:val="none"/>
        </w:rPr>
        <w:t>8.7.3 行政审批迟延</w:t>
      </w:r>
      <w:bookmarkEnd w:id="1784"/>
      <w:r>
        <w:rPr>
          <w:rFonts w:hint="eastAsia" w:cs="宋体"/>
          <w:color w:val="auto"/>
          <w:sz w:val="21"/>
          <w:highlight w:val="none"/>
        </w:rPr>
        <w:t xml:space="preserve"> </w:t>
      </w:r>
    </w:p>
    <w:p w14:paraId="33924F87">
      <w:pPr>
        <w:ind w:firstLine="600"/>
        <w:rPr>
          <w:rFonts w:hint="eastAsia" w:ascii="宋体" w:hAnsi="宋体" w:cs="宋体"/>
          <w:color w:val="auto"/>
          <w:szCs w:val="21"/>
          <w:highlight w:val="none"/>
        </w:rPr>
      </w:pPr>
      <w:r>
        <w:rPr>
          <w:rFonts w:hint="eastAsia" w:ascii="宋体" w:hAnsi="宋体" w:cs="宋体"/>
          <w:color w:val="auto"/>
          <w:szCs w:val="21"/>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32081EA5">
      <w:pPr>
        <w:pStyle w:val="88"/>
        <w:numPr>
          <w:ilvl w:val="0"/>
          <w:numId w:val="0"/>
        </w:numPr>
        <w:spacing w:after="156"/>
        <w:rPr>
          <w:rFonts w:hint="eastAsia" w:cs="宋体"/>
          <w:color w:val="auto"/>
          <w:sz w:val="21"/>
          <w:highlight w:val="none"/>
        </w:rPr>
      </w:pPr>
      <w:bookmarkStart w:id="1785" w:name="_Ref4770933"/>
      <w:r>
        <w:rPr>
          <w:rFonts w:hint="eastAsia" w:cs="宋体"/>
          <w:color w:val="auto"/>
          <w:sz w:val="21"/>
          <w:highlight w:val="none"/>
        </w:rPr>
        <w:t>8.7.4 异常恶劣的气候条件</w:t>
      </w:r>
      <w:bookmarkEnd w:id="1785"/>
    </w:p>
    <w:p w14:paraId="564C5021">
      <w:pPr>
        <w:ind w:firstLine="600"/>
        <w:rPr>
          <w:rFonts w:hint="eastAsia" w:ascii="宋体" w:hAnsi="宋体" w:cs="宋体"/>
          <w:color w:val="auto"/>
          <w:szCs w:val="21"/>
          <w:highlight w:val="none"/>
        </w:rPr>
      </w:pPr>
      <w:r>
        <w:rPr>
          <w:rFonts w:hint="eastAsia" w:ascii="宋体" w:hAnsi="宋体" w:cs="宋体"/>
          <w:color w:val="auto"/>
          <w:szCs w:val="21"/>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6B02F919">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14:paraId="3F874056">
      <w:pPr>
        <w:pStyle w:val="87"/>
        <w:widowControl/>
        <w:numPr>
          <w:ilvl w:val="0"/>
          <w:numId w:val="0"/>
        </w:numPr>
        <w:spacing w:after="156"/>
        <w:rPr>
          <w:rFonts w:hint="eastAsia" w:ascii="宋体" w:hAnsi="宋体" w:eastAsia="宋体" w:cs="宋体"/>
          <w:b w:val="0"/>
          <w:bCs/>
          <w:color w:val="auto"/>
          <w:sz w:val="21"/>
          <w:szCs w:val="21"/>
          <w:highlight w:val="none"/>
        </w:rPr>
      </w:pPr>
      <w:bookmarkStart w:id="1786" w:name="_Ref4781828"/>
      <w:bookmarkStart w:id="1787" w:name="_Toc23940"/>
      <w:bookmarkStart w:id="1788" w:name="_Toc31623"/>
      <w:bookmarkStart w:id="1789" w:name="_Toc4501"/>
      <w:bookmarkStart w:id="1790" w:name="_Toc21125"/>
      <w:bookmarkStart w:id="1791" w:name="_Toc13902"/>
      <w:bookmarkStart w:id="1792" w:name="_Toc8678"/>
      <w:bookmarkStart w:id="1793" w:name="_Toc9727"/>
      <w:bookmarkStart w:id="1794" w:name="_Toc103175729"/>
      <w:bookmarkStart w:id="1795" w:name="_Toc13879"/>
      <w:r>
        <w:rPr>
          <w:rFonts w:hint="eastAsia" w:ascii="宋体" w:hAnsi="宋体" w:eastAsia="宋体" w:cs="宋体"/>
          <w:b w:val="0"/>
          <w:bCs/>
          <w:color w:val="auto"/>
          <w:sz w:val="21"/>
          <w:szCs w:val="21"/>
          <w:highlight w:val="none"/>
        </w:rPr>
        <w:t>8.8 工期提前</w:t>
      </w:r>
      <w:bookmarkEnd w:id="1780"/>
      <w:bookmarkEnd w:id="1781"/>
      <w:bookmarkEnd w:id="1786"/>
      <w:bookmarkEnd w:id="1787"/>
      <w:bookmarkEnd w:id="1788"/>
      <w:bookmarkEnd w:id="1789"/>
      <w:bookmarkEnd w:id="1790"/>
      <w:bookmarkEnd w:id="1791"/>
      <w:bookmarkEnd w:id="1792"/>
      <w:bookmarkEnd w:id="1793"/>
      <w:bookmarkEnd w:id="1794"/>
      <w:bookmarkEnd w:id="1795"/>
    </w:p>
    <w:p w14:paraId="65A2F6A0">
      <w:pPr>
        <w:pStyle w:val="88"/>
        <w:numPr>
          <w:ilvl w:val="0"/>
          <w:numId w:val="0"/>
        </w:numPr>
        <w:spacing w:after="156"/>
        <w:rPr>
          <w:rFonts w:hint="eastAsia" w:cs="宋体"/>
          <w:color w:val="auto"/>
          <w:sz w:val="21"/>
          <w:highlight w:val="none"/>
        </w:rPr>
      </w:pPr>
      <w:r>
        <w:rPr>
          <w:rFonts w:hint="eastAsia" w:cs="宋体"/>
          <w:color w:val="auto"/>
          <w:sz w:val="21"/>
          <w:highlight w:val="none"/>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14:paraId="74095EFC">
      <w:pPr>
        <w:pStyle w:val="88"/>
        <w:numPr>
          <w:ilvl w:val="0"/>
          <w:numId w:val="0"/>
        </w:numPr>
        <w:spacing w:after="156"/>
        <w:rPr>
          <w:rFonts w:hint="eastAsia" w:cs="宋体"/>
          <w:color w:val="auto"/>
          <w:sz w:val="21"/>
          <w:highlight w:val="none"/>
        </w:rPr>
      </w:pPr>
      <w:bookmarkStart w:id="1796" w:name="_Ref4429347"/>
      <w:r>
        <w:rPr>
          <w:rFonts w:hint="eastAsia" w:cs="宋体"/>
          <w:color w:val="auto"/>
          <w:sz w:val="21"/>
          <w:highlight w:val="none"/>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1796"/>
    </w:p>
    <w:p w14:paraId="6F1E54D8">
      <w:pPr>
        <w:pStyle w:val="87"/>
        <w:widowControl/>
        <w:numPr>
          <w:ilvl w:val="0"/>
          <w:numId w:val="0"/>
        </w:numPr>
        <w:spacing w:after="156"/>
        <w:rPr>
          <w:rFonts w:hint="eastAsia" w:ascii="宋体" w:hAnsi="宋体" w:eastAsia="宋体" w:cs="宋体"/>
          <w:b w:val="0"/>
          <w:bCs/>
          <w:color w:val="auto"/>
          <w:sz w:val="21"/>
          <w:szCs w:val="21"/>
          <w:highlight w:val="none"/>
        </w:rPr>
      </w:pPr>
      <w:bookmarkStart w:id="1797" w:name="_Toc27136"/>
      <w:bookmarkStart w:id="1798" w:name="_Toc20153"/>
      <w:bookmarkStart w:id="1799" w:name="_Toc11454"/>
      <w:bookmarkStart w:id="1800" w:name="_Toc32215"/>
      <w:bookmarkStart w:id="1801" w:name="_Toc5328"/>
      <w:bookmarkStart w:id="1802" w:name="_Toc7125"/>
      <w:bookmarkStart w:id="1803" w:name="_Ref4615031"/>
      <w:bookmarkStart w:id="1804" w:name="_Toc2951"/>
      <w:bookmarkStart w:id="1805" w:name="_Toc23107"/>
      <w:bookmarkStart w:id="1806" w:name="_Ref4615040"/>
      <w:bookmarkStart w:id="1807" w:name="_Toc103175730"/>
      <w:r>
        <w:rPr>
          <w:rFonts w:hint="eastAsia" w:ascii="宋体" w:hAnsi="宋体" w:eastAsia="宋体" w:cs="宋体"/>
          <w:b w:val="0"/>
          <w:bCs/>
          <w:color w:val="auto"/>
          <w:sz w:val="21"/>
          <w:szCs w:val="21"/>
          <w:highlight w:val="none"/>
        </w:rPr>
        <w:t>8.9 暂停工作</w:t>
      </w:r>
      <w:bookmarkEnd w:id="1797"/>
      <w:bookmarkEnd w:id="1798"/>
      <w:bookmarkEnd w:id="1799"/>
      <w:bookmarkEnd w:id="1800"/>
      <w:bookmarkEnd w:id="1801"/>
      <w:bookmarkEnd w:id="1802"/>
      <w:bookmarkEnd w:id="1803"/>
      <w:bookmarkEnd w:id="1804"/>
      <w:bookmarkEnd w:id="1805"/>
      <w:bookmarkEnd w:id="1806"/>
      <w:bookmarkEnd w:id="1807"/>
      <w:r>
        <w:rPr>
          <w:rFonts w:hint="eastAsia" w:ascii="宋体" w:hAnsi="宋体" w:eastAsia="宋体" w:cs="宋体"/>
          <w:b w:val="0"/>
          <w:bCs/>
          <w:color w:val="auto"/>
          <w:sz w:val="21"/>
          <w:szCs w:val="21"/>
          <w:highlight w:val="none"/>
        </w:rPr>
        <w:t xml:space="preserve"> </w:t>
      </w:r>
    </w:p>
    <w:p w14:paraId="1FF48B5D">
      <w:pPr>
        <w:pStyle w:val="88"/>
        <w:numPr>
          <w:ilvl w:val="0"/>
          <w:numId w:val="0"/>
        </w:numPr>
        <w:spacing w:after="156"/>
        <w:rPr>
          <w:rFonts w:hint="eastAsia" w:cs="宋体"/>
          <w:color w:val="auto"/>
          <w:sz w:val="21"/>
          <w:highlight w:val="none"/>
        </w:rPr>
      </w:pPr>
      <w:bookmarkStart w:id="1808" w:name="_Ref4709151"/>
      <w:r>
        <w:rPr>
          <w:rFonts w:hint="eastAsia" w:cs="宋体"/>
          <w:color w:val="auto"/>
          <w:sz w:val="21"/>
          <w:highlight w:val="none"/>
        </w:rPr>
        <w:t>8.9.1 由发包人暂停工作</w:t>
      </w:r>
      <w:bookmarkEnd w:id="1808"/>
    </w:p>
    <w:p w14:paraId="37A03E43">
      <w:pPr>
        <w:ind w:firstLine="600"/>
        <w:rPr>
          <w:rFonts w:hint="eastAsia" w:ascii="宋体" w:hAnsi="宋体" w:cs="宋体"/>
          <w:color w:val="auto"/>
          <w:szCs w:val="21"/>
          <w:highlight w:val="none"/>
        </w:rPr>
      </w:pPr>
      <w:r>
        <w:rPr>
          <w:rFonts w:hint="eastAsia" w:ascii="宋体" w:hAnsi="宋体" w:cs="宋体"/>
          <w:color w:val="auto"/>
          <w:szCs w:val="21"/>
          <w:highlight w:val="none"/>
        </w:rPr>
        <w:t>发包人认为必要时，可通过工程师向承包人发出经发包人签认的暂停工作通知，应列明暂停原因、暂停的日期及预计暂停的期限。承包人应按该通知暂停工作。</w:t>
      </w:r>
      <w:bookmarkStart w:id="1809" w:name="_Ref4709233"/>
    </w:p>
    <w:p w14:paraId="6759416D">
      <w:pPr>
        <w:ind w:firstLine="600"/>
        <w:rPr>
          <w:rFonts w:hint="eastAsia" w:ascii="宋体" w:hAnsi="宋体" w:cs="宋体"/>
          <w:color w:val="auto"/>
          <w:szCs w:val="21"/>
          <w:highlight w:val="none"/>
        </w:rPr>
      </w:pPr>
      <w:r>
        <w:rPr>
          <w:rFonts w:hint="eastAsia" w:ascii="宋体" w:hAnsi="宋体" w:cs="宋体"/>
          <w:color w:val="auto"/>
          <w:szCs w:val="21"/>
          <w:highlight w:val="none"/>
        </w:rPr>
        <w:t>承包人因执行暂停工作通知而造成费用的增加和（或）工期延误由发包人承担，并有权要求发包人支付合理利润，但</w:t>
      </w:r>
      <w:bookmarkEnd w:id="1809"/>
      <w:r>
        <w:rPr>
          <w:rFonts w:hint="eastAsia" w:ascii="宋体" w:hAnsi="宋体" w:cs="宋体"/>
          <w:color w:val="auto"/>
          <w:szCs w:val="21"/>
          <w:highlight w:val="none"/>
        </w:rPr>
        <w:t>由于承包人原因造成发包人暂停工作的除外。</w:t>
      </w:r>
    </w:p>
    <w:p w14:paraId="59C1A6D8">
      <w:pPr>
        <w:pStyle w:val="88"/>
        <w:numPr>
          <w:ilvl w:val="0"/>
          <w:numId w:val="0"/>
        </w:numPr>
        <w:spacing w:after="156"/>
        <w:rPr>
          <w:rFonts w:hint="eastAsia" w:cs="宋体"/>
          <w:color w:val="auto"/>
          <w:sz w:val="21"/>
          <w:highlight w:val="none"/>
        </w:rPr>
      </w:pPr>
      <w:bookmarkStart w:id="1810" w:name="_Ref18972173"/>
      <w:r>
        <w:rPr>
          <w:rFonts w:hint="eastAsia" w:cs="宋体"/>
          <w:color w:val="auto"/>
          <w:sz w:val="21"/>
          <w:highlight w:val="none"/>
        </w:rPr>
        <w:t>8.9.2 由承包人暂停工作</w:t>
      </w:r>
      <w:bookmarkEnd w:id="1810"/>
      <w:r>
        <w:rPr>
          <w:rFonts w:hint="eastAsia" w:cs="宋体"/>
          <w:color w:val="auto"/>
          <w:sz w:val="21"/>
          <w:highlight w:val="none"/>
        </w:rPr>
        <w:t xml:space="preserve"> </w:t>
      </w:r>
    </w:p>
    <w:p w14:paraId="092F7763">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14:paraId="514EF6B0">
      <w:pPr>
        <w:ind w:firstLine="600"/>
        <w:rPr>
          <w:rFonts w:hint="eastAsia" w:ascii="宋体" w:hAnsi="宋体" w:cs="宋体"/>
          <w:color w:val="auto"/>
          <w:szCs w:val="21"/>
          <w:highlight w:val="none"/>
        </w:rPr>
      </w:pPr>
      <w:r>
        <w:rPr>
          <w:rFonts w:hint="eastAsia" w:ascii="宋体" w:hAnsi="宋体" w:cs="宋体"/>
          <w:color w:val="auto"/>
          <w:szCs w:val="21"/>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14:paraId="1681B5AD">
      <w:pPr>
        <w:ind w:firstLine="600"/>
        <w:rPr>
          <w:rFonts w:hint="eastAsia" w:ascii="宋体" w:hAnsi="宋体" w:cs="宋体"/>
          <w:color w:val="auto"/>
          <w:szCs w:val="21"/>
          <w:highlight w:val="none"/>
        </w:rPr>
      </w:pPr>
      <w:bookmarkStart w:id="1811" w:name="_Ref4709224"/>
      <w:r>
        <w:rPr>
          <w:rFonts w:hint="eastAsia" w:ascii="宋体" w:hAnsi="宋体" w:cs="宋体"/>
          <w:color w:val="auto"/>
          <w:szCs w:val="21"/>
          <w:highlight w:val="none"/>
        </w:rPr>
        <w:t>（1） 发包人拖延、拒绝批准付款申请和支付证书，或未能按合同约定支付价款，导致付款延误的；</w:t>
      </w:r>
      <w:bookmarkEnd w:id="1811"/>
    </w:p>
    <w:p w14:paraId="63D89791">
      <w:pPr>
        <w:ind w:firstLine="600"/>
        <w:rPr>
          <w:rFonts w:hint="eastAsia" w:ascii="宋体" w:hAnsi="宋体" w:cs="宋体"/>
          <w:color w:val="auto"/>
          <w:szCs w:val="21"/>
          <w:highlight w:val="none"/>
        </w:rPr>
      </w:pPr>
      <w:r>
        <w:rPr>
          <w:rFonts w:hint="eastAsia" w:ascii="宋体" w:hAnsi="宋体" w:cs="宋体"/>
          <w:color w:val="auto"/>
          <w:szCs w:val="21"/>
          <w:highlight w:val="none"/>
        </w:rPr>
        <w:t>（2） 发包人未按约定履行合同其他义务导致承包人无法继续履行合同的，或者发包人明确表示暂停或实质上已暂停履行合同的。</w:t>
      </w:r>
    </w:p>
    <w:p w14:paraId="5BC8C6FD">
      <w:pPr>
        <w:pStyle w:val="88"/>
        <w:numPr>
          <w:ilvl w:val="0"/>
          <w:numId w:val="0"/>
        </w:numPr>
        <w:spacing w:after="156"/>
        <w:rPr>
          <w:rFonts w:hint="eastAsia" w:cs="宋体"/>
          <w:color w:val="auto"/>
          <w:sz w:val="21"/>
          <w:highlight w:val="none"/>
        </w:rPr>
      </w:pPr>
      <w:r>
        <w:rPr>
          <w:rFonts w:hint="eastAsia" w:cs="宋体"/>
          <w:color w:val="auto"/>
          <w:sz w:val="21"/>
          <w:highlight w:val="none"/>
        </w:rPr>
        <w:t>8.9.3 除上述原因以外的暂停工作，双方应遵守第17条[不可抗力]的相关约定。</w:t>
      </w:r>
    </w:p>
    <w:p w14:paraId="02B02F7D">
      <w:pPr>
        <w:pStyle w:val="88"/>
        <w:numPr>
          <w:ilvl w:val="0"/>
          <w:numId w:val="0"/>
        </w:numPr>
        <w:spacing w:after="156"/>
        <w:rPr>
          <w:rFonts w:hint="eastAsia" w:cs="宋体"/>
          <w:color w:val="auto"/>
          <w:sz w:val="21"/>
          <w:highlight w:val="none"/>
        </w:rPr>
      </w:pPr>
      <w:bookmarkStart w:id="1812" w:name="_Ref4709158"/>
      <w:r>
        <w:rPr>
          <w:rFonts w:hint="eastAsia" w:cs="宋体"/>
          <w:color w:val="auto"/>
          <w:sz w:val="21"/>
          <w:highlight w:val="none"/>
        </w:rPr>
        <w:t>8.9.4 暂停工作期间的工程照管</w:t>
      </w:r>
      <w:bookmarkEnd w:id="1812"/>
      <w:r>
        <w:rPr>
          <w:rFonts w:hint="eastAsia" w:cs="宋体"/>
          <w:color w:val="auto"/>
          <w:sz w:val="21"/>
          <w:highlight w:val="none"/>
        </w:rPr>
        <w:t xml:space="preserve"> </w:t>
      </w:r>
    </w:p>
    <w:p w14:paraId="4892A96F">
      <w:pPr>
        <w:ind w:firstLine="600"/>
        <w:rPr>
          <w:rFonts w:hint="eastAsia" w:ascii="宋体" w:hAnsi="宋体" w:cs="宋体"/>
          <w:color w:val="auto"/>
          <w:szCs w:val="21"/>
          <w:highlight w:val="none"/>
        </w:rPr>
      </w:pPr>
      <w:r>
        <w:rPr>
          <w:rFonts w:hint="eastAsia" w:ascii="宋体" w:hAnsi="宋体" w:cs="宋体"/>
          <w:color w:val="auto"/>
          <w:szCs w:val="21"/>
          <w:highlight w:val="none"/>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14:paraId="5677BA71">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因承包人未能尽到照管、保护的责任造成损失的，使发包人的费用增加，（或）竣工日期延误的，由承包人按本合同约定承担责任。</w:t>
      </w:r>
    </w:p>
    <w:p w14:paraId="3C5EDC79">
      <w:pPr>
        <w:pStyle w:val="88"/>
        <w:numPr>
          <w:ilvl w:val="0"/>
          <w:numId w:val="0"/>
        </w:numPr>
        <w:spacing w:after="156"/>
        <w:rPr>
          <w:rFonts w:hint="eastAsia" w:cs="宋体"/>
          <w:color w:val="auto"/>
          <w:sz w:val="21"/>
          <w:highlight w:val="none"/>
        </w:rPr>
      </w:pPr>
      <w:r>
        <w:rPr>
          <w:rFonts w:hint="eastAsia" w:cs="宋体"/>
          <w:color w:val="auto"/>
          <w:sz w:val="21"/>
          <w:highlight w:val="none"/>
        </w:rPr>
        <w:t>8.9.5 拖长的暂停</w:t>
      </w:r>
    </w:p>
    <w:p w14:paraId="1364C5D1">
      <w:pPr>
        <w:ind w:firstLine="600"/>
        <w:rPr>
          <w:rFonts w:hint="eastAsia" w:ascii="宋体" w:hAnsi="宋体" w:cs="宋体"/>
          <w:color w:val="auto"/>
          <w:szCs w:val="21"/>
          <w:highlight w:val="none"/>
        </w:rPr>
      </w:pPr>
      <w:r>
        <w:rPr>
          <w:rFonts w:hint="eastAsia" w:ascii="宋体" w:hAnsi="宋体" w:cs="宋体"/>
          <w:color w:val="auto"/>
          <w:szCs w:val="21"/>
          <w:highlight w:val="none"/>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14:paraId="44B873B9">
      <w:pPr>
        <w:pStyle w:val="87"/>
        <w:widowControl/>
        <w:numPr>
          <w:ilvl w:val="0"/>
          <w:numId w:val="0"/>
        </w:numPr>
        <w:spacing w:after="156"/>
        <w:rPr>
          <w:rFonts w:hint="eastAsia" w:ascii="宋体" w:hAnsi="宋体" w:eastAsia="宋体" w:cs="宋体"/>
          <w:b w:val="0"/>
          <w:bCs/>
          <w:color w:val="auto"/>
          <w:sz w:val="21"/>
          <w:szCs w:val="21"/>
          <w:highlight w:val="none"/>
        </w:rPr>
      </w:pPr>
      <w:bookmarkStart w:id="1813" w:name="_Toc24511"/>
      <w:bookmarkStart w:id="1814" w:name="_Toc23131"/>
      <w:bookmarkStart w:id="1815" w:name="_Toc17306"/>
      <w:bookmarkStart w:id="1816" w:name="_Toc32490"/>
      <w:bookmarkStart w:id="1817" w:name="_Toc32431"/>
      <w:bookmarkStart w:id="1818" w:name="_Toc3127"/>
      <w:bookmarkStart w:id="1819" w:name="_Toc217"/>
      <w:bookmarkStart w:id="1820" w:name="_Toc103175731"/>
      <w:bookmarkStart w:id="1821" w:name="_Toc28301"/>
      <w:r>
        <w:rPr>
          <w:rFonts w:hint="eastAsia" w:ascii="宋体" w:hAnsi="宋体" w:eastAsia="宋体" w:cs="宋体"/>
          <w:b w:val="0"/>
          <w:bCs/>
          <w:color w:val="auto"/>
          <w:sz w:val="21"/>
          <w:szCs w:val="21"/>
          <w:highlight w:val="none"/>
        </w:rPr>
        <w:t>8.10 复工</w:t>
      </w:r>
      <w:bookmarkEnd w:id="1813"/>
      <w:bookmarkEnd w:id="1814"/>
      <w:bookmarkEnd w:id="1815"/>
      <w:bookmarkEnd w:id="1816"/>
      <w:bookmarkEnd w:id="1817"/>
      <w:bookmarkEnd w:id="1818"/>
      <w:bookmarkEnd w:id="1819"/>
      <w:bookmarkEnd w:id="1820"/>
      <w:bookmarkEnd w:id="1821"/>
      <w:r>
        <w:rPr>
          <w:rFonts w:hint="eastAsia" w:ascii="宋体" w:hAnsi="宋体" w:eastAsia="宋体" w:cs="宋体"/>
          <w:b w:val="0"/>
          <w:bCs/>
          <w:color w:val="auto"/>
          <w:sz w:val="21"/>
          <w:szCs w:val="21"/>
          <w:highlight w:val="none"/>
        </w:rPr>
        <w:t xml:space="preserve"> </w:t>
      </w:r>
    </w:p>
    <w:p w14:paraId="51E8EA98">
      <w:pPr>
        <w:pStyle w:val="88"/>
        <w:numPr>
          <w:ilvl w:val="0"/>
          <w:numId w:val="0"/>
        </w:numPr>
        <w:spacing w:after="156"/>
        <w:rPr>
          <w:rFonts w:hint="eastAsia" w:cs="宋体"/>
          <w:color w:val="auto"/>
          <w:sz w:val="21"/>
          <w:highlight w:val="none"/>
        </w:rPr>
      </w:pPr>
      <w:r>
        <w:rPr>
          <w:rFonts w:hint="eastAsia" w:cs="宋体"/>
          <w:color w:val="auto"/>
          <w:sz w:val="21"/>
          <w:highlight w:val="none"/>
        </w:rPr>
        <w:t>8.10.1 收到发包人的复工通知后，承包人应按通知时间复工；发包人通知的复工时间应当给予承包人必要的准备复工时间。</w:t>
      </w:r>
    </w:p>
    <w:p w14:paraId="2620E4A6">
      <w:pPr>
        <w:pStyle w:val="88"/>
        <w:numPr>
          <w:ilvl w:val="0"/>
          <w:numId w:val="0"/>
        </w:numPr>
        <w:spacing w:after="156"/>
        <w:rPr>
          <w:rFonts w:hint="eastAsia" w:cs="宋体"/>
          <w:color w:val="auto"/>
          <w:sz w:val="21"/>
          <w:highlight w:val="none"/>
        </w:rPr>
      </w:pPr>
      <w:r>
        <w:rPr>
          <w:rFonts w:hint="eastAsia" w:cs="宋体"/>
          <w:color w:val="auto"/>
          <w:sz w:val="21"/>
          <w:highlight w:val="none"/>
        </w:rPr>
        <w:t>8.10.2 不论由于何种原因引起暂停工作，双方均可要求对方一同对受暂停影响的工程、工程设备和工程物资进行检查，承包人应将检查结果及需要恢复、修复的内容和估算通知发包人。</w:t>
      </w:r>
    </w:p>
    <w:p w14:paraId="31DE2CFE">
      <w:pPr>
        <w:pStyle w:val="88"/>
        <w:numPr>
          <w:ilvl w:val="0"/>
          <w:numId w:val="0"/>
        </w:numPr>
        <w:spacing w:after="156"/>
        <w:rPr>
          <w:rFonts w:hint="eastAsia" w:cs="宋体"/>
          <w:color w:val="auto"/>
          <w:sz w:val="21"/>
          <w:highlight w:val="none"/>
        </w:rPr>
      </w:pPr>
      <w:r>
        <w:rPr>
          <w:rFonts w:hint="eastAsia" w:cs="宋体"/>
          <w:color w:val="auto"/>
          <w:sz w:val="21"/>
          <w:highlight w:val="none"/>
        </w:rPr>
        <w:t>8.10.3 除第17条[不可抗力]另有约定外，发生的恢复、修复价款及工期延误的后果由责任方承担。</w:t>
      </w:r>
    </w:p>
    <w:p w14:paraId="273982D4">
      <w:pPr>
        <w:pStyle w:val="86"/>
        <w:numPr>
          <w:ilvl w:val="0"/>
          <w:numId w:val="0"/>
        </w:numPr>
        <w:rPr>
          <w:rFonts w:hint="eastAsia" w:ascii="宋体" w:hAnsi="宋体" w:eastAsia="宋体" w:cs="宋体"/>
          <w:b w:val="0"/>
          <w:color w:val="auto"/>
          <w:sz w:val="21"/>
          <w:szCs w:val="21"/>
          <w:highlight w:val="none"/>
        </w:rPr>
      </w:pPr>
      <w:bookmarkStart w:id="1822" w:name="_Toc26992"/>
      <w:bookmarkStart w:id="1823" w:name="_Toc29752"/>
      <w:bookmarkStart w:id="1824" w:name="_Toc11058"/>
      <w:bookmarkStart w:id="1825" w:name="_Ref4621029"/>
      <w:bookmarkStart w:id="1826" w:name="_Toc20187"/>
      <w:bookmarkStart w:id="1827" w:name="_Toc22848"/>
      <w:bookmarkStart w:id="1828" w:name="_Ref4621041"/>
      <w:bookmarkStart w:id="1829" w:name="_Toc19505"/>
      <w:bookmarkStart w:id="1830" w:name="_Toc31662"/>
      <w:bookmarkStart w:id="1831" w:name="_Toc21349"/>
      <w:bookmarkStart w:id="1832" w:name="_Toc5767"/>
      <w:bookmarkStart w:id="1833" w:name="_Toc103175732"/>
      <w:bookmarkStart w:id="1834" w:name="_Toc23888"/>
      <w:r>
        <w:rPr>
          <w:rFonts w:hint="eastAsia" w:ascii="宋体" w:hAnsi="宋体" w:eastAsia="宋体" w:cs="宋体"/>
          <w:b w:val="0"/>
          <w:color w:val="auto"/>
          <w:sz w:val="21"/>
          <w:szCs w:val="21"/>
          <w:highlight w:val="none"/>
        </w:rPr>
        <w:t>第9条 竣工试验</w:t>
      </w:r>
      <w:bookmarkEnd w:id="1671"/>
      <w:bookmarkEnd w:id="1822"/>
      <w:bookmarkEnd w:id="1823"/>
      <w:bookmarkEnd w:id="1824"/>
      <w:bookmarkEnd w:id="1825"/>
      <w:bookmarkEnd w:id="1826"/>
      <w:bookmarkEnd w:id="1827"/>
      <w:bookmarkEnd w:id="1828"/>
      <w:bookmarkEnd w:id="1829"/>
      <w:bookmarkEnd w:id="1830"/>
      <w:bookmarkEnd w:id="1831"/>
      <w:bookmarkEnd w:id="1832"/>
      <w:bookmarkEnd w:id="1833"/>
      <w:bookmarkEnd w:id="1834"/>
      <w:r>
        <w:rPr>
          <w:rFonts w:hint="eastAsia" w:ascii="宋体" w:hAnsi="宋体" w:eastAsia="宋体" w:cs="宋体"/>
          <w:b w:val="0"/>
          <w:color w:val="auto"/>
          <w:sz w:val="21"/>
          <w:szCs w:val="21"/>
          <w:highlight w:val="none"/>
        </w:rPr>
        <w:t xml:space="preserve"> </w:t>
      </w:r>
    </w:p>
    <w:p w14:paraId="117FD85E">
      <w:pPr>
        <w:pStyle w:val="87"/>
        <w:widowControl/>
        <w:numPr>
          <w:ilvl w:val="0"/>
          <w:numId w:val="0"/>
        </w:numPr>
        <w:spacing w:after="156"/>
        <w:rPr>
          <w:rFonts w:hint="eastAsia" w:ascii="宋体" w:hAnsi="宋体" w:eastAsia="宋体" w:cs="宋体"/>
          <w:b w:val="0"/>
          <w:bCs/>
          <w:color w:val="auto"/>
          <w:sz w:val="21"/>
          <w:szCs w:val="21"/>
          <w:highlight w:val="none"/>
        </w:rPr>
      </w:pPr>
      <w:bookmarkStart w:id="1835" w:name="_Toc103175733"/>
      <w:bookmarkStart w:id="1836" w:name="_Ref532586251"/>
      <w:bookmarkStart w:id="1837" w:name="_Toc27762"/>
      <w:bookmarkStart w:id="1838" w:name="_Ref532586248"/>
      <w:bookmarkStart w:id="1839" w:name="_Toc10809"/>
      <w:bookmarkStart w:id="1840" w:name="_Toc3654"/>
      <w:bookmarkStart w:id="1841" w:name="_Toc5826"/>
      <w:bookmarkStart w:id="1842" w:name="_Toc20004"/>
      <w:bookmarkStart w:id="1843" w:name="_Toc5"/>
      <w:bookmarkStart w:id="1844" w:name="_Toc15588"/>
      <w:r>
        <w:rPr>
          <w:rFonts w:hint="eastAsia" w:ascii="宋体" w:hAnsi="宋体" w:eastAsia="宋体" w:cs="宋体"/>
          <w:b w:val="0"/>
          <w:bCs/>
          <w:color w:val="auto"/>
          <w:sz w:val="21"/>
          <w:szCs w:val="21"/>
          <w:highlight w:val="none"/>
        </w:rPr>
        <w:t>9.1 竣工试验的义务</w:t>
      </w:r>
      <w:bookmarkEnd w:id="1835"/>
      <w:bookmarkEnd w:id="1836"/>
      <w:bookmarkEnd w:id="1837"/>
      <w:bookmarkEnd w:id="1838"/>
      <w:bookmarkEnd w:id="1839"/>
      <w:bookmarkEnd w:id="1840"/>
      <w:bookmarkEnd w:id="1841"/>
      <w:bookmarkEnd w:id="1842"/>
      <w:bookmarkEnd w:id="1843"/>
      <w:bookmarkEnd w:id="1844"/>
    </w:p>
    <w:p w14:paraId="5E161238">
      <w:pPr>
        <w:pStyle w:val="88"/>
        <w:numPr>
          <w:ilvl w:val="0"/>
          <w:numId w:val="0"/>
        </w:numPr>
        <w:spacing w:after="156"/>
        <w:rPr>
          <w:rFonts w:hint="eastAsia" w:cs="宋体"/>
          <w:color w:val="auto"/>
          <w:sz w:val="21"/>
          <w:highlight w:val="none"/>
        </w:rPr>
      </w:pPr>
      <w:r>
        <w:rPr>
          <w:rFonts w:hint="eastAsia" w:cs="宋体"/>
          <w:color w:val="auto"/>
          <w:sz w:val="21"/>
          <w:highlight w:val="none"/>
        </w:rPr>
        <w:t>9.1.1 承包人完成工程或区段工程进行竣工试验所需的作业，并根据第5.4款[竣工文件]和第5.5款[操作和维修手册]提交文件后，进行竣工试验。</w:t>
      </w:r>
      <w:bookmarkStart w:id="1845" w:name="_Ref532586608"/>
    </w:p>
    <w:p w14:paraId="510109B3">
      <w:pPr>
        <w:pStyle w:val="88"/>
        <w:numPr>
          <w:ilvl w:val="0"/>
          <w:numId w:val="0"/>
        </w:numPr>
        <w:spacing w:after="156"/>
        <w:rPr>
          <w:rFonts w:hint="eastAsia" w:cs="宋体"/>
          <w:color w:val="auto"/>
          <w:sz w:val="21"/>
          <w:highlight w:val="none"/>
        </w:rPr>
      </w:pPr>
      <w:bookmarkStart w:id="1846" w:name="_Ref11919920"/>
      <w:r>
        <w:rPr>
          <w:rFonts w:hint="eastAsia" w:cs="宋体"/>
          <w:color w:val="auto"/>
          <w:sz w:val="21"/>
          <w:highlight w:val="none"/>
        </w:rPr>
        <w:t>9.1.2 承包人应在进行竣工试验之前，至少提前42天向工程师提交详细的竣工试验计划，该计划应载明竣工试验的内容、地点、拟开展时间和需要发包人提供的资源条件。</w:t>
      </w:r>
      <w:bookmarkEnd w:id="1845"/>
      <w:r>
        <w:rPr>
          <w:rFonts w:hint="eastAsia" w:cs="宋体"/>
          <w:color w:val="auto"/>
          <w:sz w:val="21"/>
          <w:highlight w:val="none"/>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1846"/>
    </w:p>
    <w:p w14:paraId="3C23725B">
      <w:pPr>
        <w:pStyle w:val="88"/>
        <w:numPr>
          <w:ilvl w:val="0"/>
          <w:numId w:val="0"/>
        </w:numPr>
        <w:spacing w:after="156"/>
        <w:rPr>
          <w:rFonts w:hint="eastAsia" w:cs="宋体"/>
          <w:color w:val="auto"/>
          <w:sz w:val="21"/>
          <w:highlight w:val="none"/>
        </w:rPr>
      </w:pPr>
      <w:bookmarkStart w:id="1847" w:name="_Ref532688147"/>
      <w:r>
        <w:rPr>
          <w:rFonts w:hint="eastAsia" w:cs="宋体"/>
          <w:color w:val="auto"/>
          <w:sz w:val="21"/>
          <w:highlight w:val="none"/>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1847"/>
    </w:p>
    <w:p w14:paraId="76DDF2FE">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承包人进行启动前试验，包括适当的检查和功能性试验，以证明工程或区段工程的每一部分均能够安全地承受下一阶段试验；</w:t>
      </w:r>
    </w:p>
    <w:p w14:paraId="2AC022FA">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承包人进行启动试验，以证明工程或区段工程能够在所有可利用的操作条件下安全运行，并按照专用合同条件和《发包人要求》中的规定操作；</w:t>
      </w:r>
    </w:p>
    <w:p w14:paraId="41BF939A">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14:paraId="7EA6D42E">
      <w:pPr>
        <w:ind w:firstLine="600"/>
        <w:rPr>
          <w:rFonts w:hint="eastAsia" w:ascii="宋体" w:hAnsi="宋体" w:cs="宋体"/>
          <w:color w:val="auto"/>
          <w:szCs w:val="21"/>
          <w:highlight w:val="none"/>
        </w:rPr>
      </w:pPr>
      <w:r>
        <w:rPr>
          <w:rFonts w:hint="eastAsia" w:ascii="宋体" w:hAnsi="宋体" w:cs="宋体"/>
          <w:color w:val="auto"/>
          <w:szCs w:val="21"/>
          <w:highlight w:val="none"/>
        </w:rPr>
        <w:t>进行上述试验不应构成第10条[验收和工程接收]规定的接收，但试验所产生的任何产品或其他收益均应归属于发包人。</w:t>
      </w:r>
    </w:p>
    <w:p w14:paraId="1A348F08">
      <w:pPr>
        <w:pStyle w:val="88"/>
        <w:numPr>
          <w:ilvl w:val="0"/>
          <w:numId w:val="0"/>
        </w:numPr>
        <w:spacing w:after="156"/>
        <w:rPr>
          <w:rFonts w:hint="eastAsia" w:cs="宋体"/>
          <w:color w:val="auto"/>
          <w:sz w:val="21"/>
          <w:highlight w:val="none"/>
        </w:rPr>
      </w:pPr>
      <w:r>
        <w:rPr>
          <w:rFonts w:hint="eastAsia" w:cs="宋体"/>
          <w:color w:val="auto"/>
          <w:sz w:val="21"/>
          <w:highlight w:val="none"/>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4CED6079">
      <w:pPr>
        <w:pStyle w:val="87"/>
        <w:widowControl/>
        <w:numPr>
          <w:ilvl w:val="0"/>
          <w:numId w:val="0"/>
        </w:numPr>
        <w:spacing w:after="156"/>
        <w:rPr>
          <w:rFonts w:hint="eastAsia" w:ascii="宋体" w:hAnsi="宋体" w:eastAsia="宋体" w:cs="宋体"/>
          <w:b w:val="0"/>
          <w:bCs/>
          <w:color w:val="auto"/>
          <w:sz w:val="21"/>
          <w:szCs w:val="21"/>
          <w:highlight w:val="none"/>
        </w:rPr>
      </w:pPr>
      <w:bookmarkStart w:id="1848" w:name="_Toc30335"/>
      <w:bookmarkStart w:id="1849" w:name="_Toc25843"/>
      <w:bookmarkStart w:id="1850" w:name="_Toc30339"/>
      <w:bookmarkStart w:id="1851" w:name="_Toc6526"/>
      <w:bookmarkStart w:id="1852" w:name="_Toc103175734"/>
      <w:bookmarkStart w:id="1853" w:name="_Toc15205"/>
      <w:bookmarkStart w:id="1854" w:name="_Toc8331"/>
      <w:bookmarkStart w:id="1855" w:name="_Toc32239"/>
      <w:bookmarkStart w:id="1856" w:name="_Toc12115"/>
      <w:r>
        <w:rPr>
          <w:rFonts w:hint="eastAsia" w:ascii="宋体" w:hAnsi="宋体" w:eastAsia="宋体" w:cs="宋体"/>
          <w:b w:val="0"/>
          <w:bCs/>
          <w:color w:val="auto"/>
          <w:sz w:val="21"/>
          <w:szCs w:val="21"/>
          <w:highlight w:val="none"/>
        </w:rPr>
        <w:t>9.2 延误的试验</w:t>
      </w:r>
      <w:bookmarkEnd w:id="1848"/>
      <w:bookmarkEnd w:id="1849"/>
      <w:bookmarkEnd w:id="1850"/>
      <w:bookmarkEnd w:id="1851"/>
      <w:bookmarkEnd w:id="1852"/>
      <w:bookmarkEnd w:id="1853"/>
      <w:bookmarkEnd w:id="1854"/>
      <w:bookmarkEnd w:id="1855"/>
      <w:bookmarkEnd w:id="1856"/>
    </w:p>
    <w:p w14:paraId="3B8AF5BB">
      <w:pPr>
        <w:pStyle w:val="88"/>
        <w:numPr>
          <w:ilvl w:val="0"/>
          <w:numId w:val="0"/>
        </w:numPr>
        <w:spacing w:after="156"/>
        <w:rPr>
          <w:rFonts w:hint="eastAsia" w:cs="宋体"/>
          <w:color w:val="auto"/>
          <w:sz w:val="21"/>
          <w:highlight w:val="none"/>
        </w:rPr>
      </w:pPr>
      <w:r>
        <w:rPr>
          <w:rFonts w:hint="eastAsia" w:cs="宋体"/>
          <w:color w:val="auto"/>
          <w:sz w:val="21"/>
          <w:highlight w:val="none"/>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14:paraId="397AA117">
      <w:pPr>
        <w:pStyle w:val="88"/>
        <w:numPr>
          <w:ilvl w:val="0"/>
          <w:numId w:val="0"/>
        </w:numPr>
        <w:spacing w:after="156"/>
        <w:rPr>
          <w:rFonts w:hint="eastAsia" w:cs="宋体"/>
          <w:color w:val="auto"/>
          <w:sz w:val="21"/>
          <w:highlight w:val="none"/>
        </w:rPr>
      </w:pPr>
      <w:r>
        <w:rPr>
          <w:rFonts w:hint="eastAsia" w:cs="宋体"/>
          <w:color w:val="auto"/>
          <w:sz w:val="21"/>
          <w:highlight w:val="none"/>
        </w:rPr>
        <w:t>9.2.2 承包人无正当理由延误进行竣工试验的，工程师可向其发出通知，要求其在收到通知后的21天内进行该项竣工试验。承包人应在该21天的期限内确定进行试验的日期，并至少提前7天通知工程师。</w:t>
      </w:r>
    </w:p>
    <w:p w14:paraId="6F7E941A">
      <w:pPr>
        <w:pStyle w:val="88"/>
        <w:numPr>
          <w:ilvl w:val="0"/>
          <w:numId w:val="0"/>
        </w:numPr>
        <w:spacing w:after="156"/>
        <w:rPr>
          <w:rFonts w:hint="eastAsia" w:cs="宋体"/>
          <w:color w:val="auto"/>
          <w:sz w:val="21"/>
          <w:highlight w:val="none"/>
        </w:rPr>
      </w:pPr>
      <w:r>
        <w:rPr>
          <w:rFonts w:hint="eastAsia" w:cs="宋体"/>
          <w:color w:val="auto"/>
          <w:sz w:val="21"/>
          <w:highlight w:val="none"/>
        </w:rPr>
        <w:t>9.2.3 如果承包人未在该期限内进行竣工试验，则发包人有权自行组织该项竣工试验，由此产生的合理费用由承包人承担。发包人应在试验完成后28天内向承包人发送试验结果。</w:t>
      </w:r>
    </w:p>
    <w:p w14:paraId="0E49240C">
      <w:pPr>
        <w:pStyle w:val="87"/>
        <w:widowControl/>
        <w:numPr>
          <w:ilvl w:val="0"/>
          <w:numId w:val="0"/>
        </w:numPr>
        <w:spacing w:after="156"/>
        <w:rPr>
          <w:rFonts w:hint="eastAsia" w:ascii="宋体" w:hAnsi="宋体" w:eastAsia="宋体" w:cs="宋体"/>
          <w:b w:val="0"/>
          <w:bCs/>
          <w:color w:val="auto"/>
          <w:sz w:val="21"/>
          <w:szCs w:val="21"/>
          <w:highlight w:val="none"/>
        </w:rPr>
      </w:pPr>
      <w:bookmarkStart w:id="1857" w:name="_Toc18208"/>
      <w:bookmarkStart w:id="1858" w:name="_Toc10169"/>
      <w:bookmarkStart w:id="1859" w:name="_Ref532594592"/>
      <w:bookmarkStart w:id="1860" w:name="_Toc9861"/>
      <w:bookmarkStart w:id="1861" w:name="_Toc12950"/>
      <w:bookmarkStart w:id="1862" w:name="_Toc6596"/>
      <w:bookmarkStart w:id="1863" w:name="_Toc103175735"/>
      <w:bookmarkStart w:id="1864" w:name="_Toc30390"/>
      <w:bookmarkStart w:id="1865" w:name="_Toc22321"/>
      <w:bookmarkStart w:id="1866" w:name="_Toc21740"/>
      <w:bookmarkStart w:id="1867" w:name="_Ref532594588"/>
      <w:r>
        <w:rPr>
          <w:rFonts w:hint="eastAsia" w:ascii="宋体" w:hAnsi="宋体" w:eastAsia="宋体" w:cs="宋体"/>
          <w:b w:val="0"/>
          <w:bCs/>
          <w:color w:val="auto"/>
          <w:sz w:val="21"/>
          <w:szCs w:val="21"/>
          <w:highlight w:val="none"/>
        </w:rPr>
        <w:t>9.3 重新试验</w:t>
      </w:r>
      <w:bookmarkEnd w:id="1857"/>
      <w:bookmarkEnd w:id="1858"/>
      <w:bookmarkEnd w:id="1859"/>
      <w:bookmarkEnd w:id="1860"/>
      <w:bookmarkEnd w:id="1861"/>
      <w:bookmarkEnd w:id="1862"/>
      <w:bookmarkEnd w:id="1863"/>
      <w:bookmarkEnd w:id="1864"/>
      <w:bookmarkEnd w:id="1865"/>
      <w:bookmarkEnd w:id="1866"/>
      <w:bookmarkEnd w:id="1867"/>
      <w:r>
        <w:rPr>
          <w:rFonts w:hint="eastAsia" w:ascii="宋体" w:hAnsi="宋体" w:eastAsia="宋体" w:cs="宋体"/>
          <w:b w:val="0"/>
          <w:bCs/>
          <w:color w:val="auto"/>
          <w:sz w:val="21"/>
          <w:szCs w:val="21"/>
          <w:highlight w:val="none"/>
        </w:rPr>
        <w:t xml:space="preserve"> </w:t>
      </w:r>
    </w:p>
    <w:p w14:paraId="6FA8769B">
      <w:pPr>
        <w:ind w:firstLine="600"/>
        <w:rPr>
          <w:rFonts w:hint="eastAsia" w:ascii="宋体" w:hAnsi="宋体" w:cs="宋体"/>
          <w:color w:val="auto"/>
          <w:szCs w:val="21"/>
          <w:highlight w:val="none"/>
        </w:rPr>
      </w:pPr>
      <w:r>
        <w:rPr>
          <w:rFonts w:hint="eastAsia" w:ascii="宋体" w:hAnsi="宋体" w:cs="宋体"/>
          <w:color w:val="auto"/>
          <w:szCs w:val="21"/>
          <w:highlight w:val="none"/>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14:paraId="486B5C69">
      <w:pPr>
        <w:pStyle w:val="87"/>
        <w:widowControl/>
        <w:numPr>
          <w:ilvl w:val="0"/>
          <w:numId w:val="0"/>
        </w:numPr>
        <w:spacing w:after="156"/>
        <w:rPr>
          <w:rFonts w:hint="eastAsia" w:ascii="宋体" w:hAnsi="宋体" w:eastAsia="宋体" w:cs="宋体"/>
          <w:b w:val="0"/>
          <w:bCs/>
          <w:color w:val="auto"/>
          <w:sz w:val="21"/>
          <w:szCs w:val="21"/>
          <w:highlight w:val="none"/>
        </w:rPr>
      </w:pPr>
      <w:bookmarkStart w:id="1868" w:name="_Ref532688221"/>
      <w:bookmarkStart w:id="1869" w:name="_Toc103175736"/>
      <w:bookmarkStart w:id="1870" w:name="_Ref532688226"/>
      <w:bookmarkStart w:id="1871" w:name="_Toc22794"/>
      <w:bookmarkStart w:id="1872" w:name="_Toc10248"/>
      <w:bookmarkStart w:id="1873" w:name="_Toc13517"/>
      <w:bookmarkStart w:id="1874" w:name="_Toc24984"/>
      <w:bookmarkStart w:id="1875" w:name="_Toc15453"/>
      <w:bookmarkStart w:id="1876" w:name="_Toc3600"/>
      <w:bookmarkStart w:id="1877" w:name="_Toc96"/>
      <w:bookmarkStart w:id="1878" w:name="_Toc3046"/>
      <w:r>
        <w:rPr>
          <w:rFonts w:hint="eastAsia" w:ascii="宋体" w:hAnsi="宋体" w:eastAsia="宋体" w:cs="宋体"/>
          <w:b w:val="0"/>
          <w:bCs/>
          <w:color w:val="auto"/>
          <w:sz w:val="21"/>
          <w:szCs w:val="21"/>
          <w:highlight w:val="none"/>
        </w:rPr>
        <w:t>9.4 未能通过竣工试验</w:t>
      </w:r>
      <w:bookmarkEnd w:id="1868"/>
      <w:bookmarkEnd w:id="1869"/>
      <w:bookmarkEnd w:id="1870"/>
      <w:bookmarkEnd w:id="1871"/>
      <w:bookmarkEnd w:id="1872"/>
      <w:bookmarkEnd w:id="1873"/>
      <w:bookmarkEnd w:id="1874"/>
      <w:bookmarkEnd w:id="1875"/>
      <w:bookmarkEnd w:id="1876"/>
      <w:bookmarkEnd w:id="1877"/>
      <w:bookmarkEnd w:id="1878"/>
    </w:p>
    <w:p w14:paraId="57C50927">
      <w:pPr>
        <w:pStyle w:val="88"/>
        <w:numPr>
          <w:ilvl w:val="0"/>
          <w:numId w:val="0"/>
        </w:numPr>
        <w:spacing w:after="156"/>
        <w:rPr>
          <w:rFonts w:hint="eastAsia" w:cs="宋体"/>
          <w:color w:val="auto"/>
          <w:sz w:val="21"/>
          <w:highlight w:val="none"/>
        </w:rPr>
      </w:pPr>
      <w:r>
        <w:rPr>
          <w:rFonts w:hint="eastAsia" w:cs="宋体"/>
          <w:color w:val="auto"/>
          <w:sz w:val="21"/>
          <w:highlight w:val="none"/>
        </w:rPr>
        <w:t>9.4.1 因发包人原因导致竣工试验未能通过的，承包人进行竣工试验的费用由发包人承担，竣工日期相应顺延。</w:t>
      </w:r>
    </w:p>
    <w:p w14:paraId="27EB1BD2">
      <w:pPr>
        <w:pStyle w:val="88"/>
        <w:numPr>
          <w:ilvl w:val="0"/>
          <w:numId w:val="0"/>
        </w:numPr>
        <w:spacing w:after="156"/>
        <w:rPr>
          <w:rFonts w:hint="eastAsia" w:cs="宋体"/>
          <w:color w:val="auto"/>
          <w:sz w:val="21"/>
          <w:highlight w:val="none"/>
        </w:rPr>
      </w:pPr>
      <w:r>
        <w:rPr>
          <w:rFonts w:hint="eastAsia" w:cs="宋体"/>
          <w:color w:val="auto"/>
          <w:sz w:val="21"/>
          <w:highlight w:val="none"/>
        </w:rPr>
        <w:t>9.4.2 如果工程或区段工程未能通过根据第9.3款[重新试验]重新进行的竣工试验的，则：</w:t>
      </w:r>
    </w:p>
    <w:p w14:paraId="1FF72BA2">
      <w:pPr>
        <w:ind w:firstLine="600"/>
        <w:rPr>
          <w:rFonts w:hint="eastAsia" w:ascii="宋体" w:hAnsi="宋体" w:cs="宋体"/>
          <w:color w:val="auto"/>
          <w:szCs w:val="21"/>
          <w:highlight w:val="none"/>
        </w:rPr>
      </w:pPr>
      <w:r>
        <w:rPr>
          <w:rFonts w:hint="eastAsia" w:ascii="宋体" w:hAnsi="宋体" w:cs="宋体"/>
          <w:color w:val="auto"/>
          <w:szCs w:val="21"/>
          <w:highlight w:val="none"/>
        </w:rPr>
        <w:t>（1） 发包人有权要求承包人根据第6.6款[缺陷和修补]继续进行修补和改正，并根据第9.3款[重新试验]再次进行竣工试验；</w:t>
      </w:r>
    </w:p>
    <w:p w14:paraId="0587EA7C">
      <w:pPr>
        <w:ind w:firstLine="600"/>
        <w:rPr>
          <w:rFonts w:hint="eastAsia" w:ascii="宋体" w:hAnsi="宋体" w:cs="宋体"/>
          <w:color w:val="auto"/>
          <w:szCs w:val="21"/>
          <w:highlight w:val="none"/>
        </w:rPr>
      </w:pPr>
      <w:r>
        <w:rPr>
          <w:rFonts w:hint="eastAsia" w:ascii="宋体" w:hAnsi="宋体" w:cs="宋体"/>
          <w:color w:val="auto"/>
          <w:szCs w:val="21"/>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6A76CA8E">
      <w:pPr>
        <w:ind w:firstLine="600"/>
        <w:rPr>
          <w:rFonts w:hint="eastAsia" w:ascii="宋体" w:hAnsi="宋体" w:cs="宋体"/>
          <w:color w:val="auto"/>
          <w:szCs w:val="21"/>
          <w:highlight w:val="none"/>
        </w:rPr>
      </w:pPr>
      <w:bookmarkStart w:id="1879" w:name="_Ref4621461"/>
      <w:r>
        <w:rPr>
          <w:rFonts w:hint="eastAsia" w:ascii="宋体" w:hAnsi="宋体" w:cs="宋体"/>
          <w:color w:val="auto"/>
          <w:szCs w:val="21"/>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bookmarkEnd w:id="1879"/>
      <w:r>
        <w:rPr>
          <w:rFonts w:hint="eastAsia" w:ascii="宋体" w:hAnsi="宋体" w:cs="宋体"/>
          <w:color w:val="auto"/>
          <w:szCs w:val="21"/>
          <w:highlight w:val="none"/>
        </w:rPr>
        <w:t>；</w:t>
      </w:r>
    </w:p>
    <w:p w14:paraId="0FA410E6">
      <w:pPr>
        <w:ind w:firstLine="600"/>
        <w:rPr>
          <w:rFonts w:hint="eastAsia" w:ascii="宋体" w:hAnsi="宋体" w:cs="宋体"/>
          <w:color w:val="auto"/>
          <w:szCs w:val="21"/>
          <w:highlight w:val="none"/>
        </w:rPr>
      </w:pPr>
      <w:r>
        <w:rPr>
          <w:rFonts w:hint="eastAsia" w:ascii="宋体" w:hAnsi="宋体" w:cs="宋体"/>
          <w:color w:val="auto"/>
          <w:szCs w:val="21"/>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14:paraId="477A740F">
      <w:pPr>
        <w:pStyle w:val="86"/>
        <w:numPr>
          <w:ilvl w:val="0"/>
          <w:numId w:val="0"/>
        </w:numPr>
        <w:rPr>
          <w:rFonts w:hint="eastAsia" w:ascii="宋体" w:hAnsi="宋体" w:eastAsia="宋体" w:cs="宋体"/>
          <w:b w:val="0"/>
          <w:color w:val="auto"/>
          <w:sz w:val="21"/>
          <w:szCs w:val="21"/>
          <w:highlight w:val="none"/>
        </w:rPr>
      </w:pPr>
      <w:bookmarkStart w:id="1880" w:name="_Toc7793"/>
      <w:bookmarkStart w:id="1881" w:name="_Toc13581"/>
      <w:bookmarkStart w:id="1882" w:name="_Toc103175737"/>
      <w:bookmarkStart w:id="1883" w:name="_Toc22511"/>
      <w:bookmarkStart w:id="1884" w:name="_Toc18667"/>
      <w:bookmarkStart w:id="1885" w:name="_Toc10001"/>
      <w:bookmarkStart w:id="1886" w:name="_Ref4618348"/>
      <w:bookmarkStart w:id="1887" w:name="_Ref4618338"/>
      <w:bookmarkStart w:id="1888" w:name="_Toc8105"/>
      <w:bookmarkStart w:id="1889" w:name="_Toc3070"/>
      <w:bookmarkStart w:id="1890" w:name="_Ref4624043"/>
      <w:bookmarkStart w:id="1891" w:name="_Toc31461"/>
      <w:bookmarkStart w:id="1892" w:name="_Toc16584"/>
      <w:r>
        <w:rPr>
          <w:rFonts w:hint="eastAsia" w:ascii="宋体" w:hAnsi="宋体" w:eastAsia="宋体" w:cs="宋体"/>
          <w:b w:val="0"/>
          <w:color w:val="auto"/>
          <w:sz w:val="21"/>
          <w:szCs w:val="21"/>
          <w:highlight w:val="none"/>
        </w:rPr>
        <w:t>第10条 验收和工程接收</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14:paraId="7C77EC52">
      <w:pPr>
        <w:pStyle w:val="87"/>
        <w:widowControl/>
        <w:numPr>
          <w:ilvl w:val="0"/>
          <w:numId w:val="0"/>
        </w:numPr>
        <w:spacing w:after="156"/>
        <w:rPr>
          <w:rFonts w:hint="eastAsia" w:ascii="宋体" w:hAnsi="宋体" w:eastAsia="宋体" w:cs="宋体"/>
          <w:b w:val="0"/>
          <w:bCs/>
          <w:color w:val="auto"/>
          <w:sz w:val="21"/>
          <w:szCs w:val="21"/>
          <w:highlight w:val="none"/>
        </w:rPr>
      </w:pPr>
      <w:bookmarkStart w:id="1893" w:name="_Toc5310"/>
      <w:bookmarkStart w:id="1894" w:name="_Ref532359143"/>
      <w:bookmarkStart w:id="1895" w:name="_Ref532300804"/>
      <w:bookmarkStart w:id="1896" w:name="_Ref532301202"/>
      <w:bookmarkStart w:id="1897" w:name="_Toc13409"/>
      <w:bookmarkStart w:id="1898" w:name="_Ref532301199"/>
      <w:bookmarkStart w:id="1899" w:name="_Toc12370"/>
      <w:bookmarkStart w:id="1900" w:name="_Toc14298"/>
      <w:bookmarkStart w:id="1901" w:name="_Toc1829"/>
      <w:bookmarkStart w:id="1902" w:name="_Toc11216"/>
      <w:bookmarkStart w:id="1903" w:name="_Ref532359152"/>
      <w:bookmarkStart w:id="1904" w:name="_Toc103175738"/>
      <w:bookmarkStart w:id="1905" w:name="_Toc1018"/>
      <w:bookmarkStart w:id="1906" w:name="_Toc1732"/>
      <w:bookmarkStart w:id="1907" w:name="_Ref532300801"/>
      <w:r>
        <w:rPr>
          <w:rFonts w:hint="eastAsia" w:ascii="宋体" w:hAnsi="宋体" w:eastAsia="宋体" w:cs="宋体"/>
          <w:b w:val="0"/>
          <w:bCs/>
          <w:color w:val="auto"/>
          <w:sz w:val="21"/>
          <w:szCs w:val="21"/>
          <w:highlight w:val="none"/>
        </w:rPr>
        <w:t>10.1 竣工验收</w:t>
      </w:r>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14:paraId="48812C29">
      <w:pPr>
        <w:pStyle w:val="88"/>
        <w:numPr>
          <w:ilvl w:val="0"/>
          <w:numId w:val="0"/>
        </w:numPr>
        <w:spacing w:after="156"/>
        <w:rPr>
          <w:rFonts w:hint="eastAsia" w:cs="宋体"/>
          <w:color w:val="auto"/>
          <w:sz w:val="21"/>
          <w:highlight w:val="none"/>
        </w:rPr>
      </w:pPr>
      <w:bookmarkStart w:id="1908" w:name="_Ref532628356"/>
      <w:r>
        <w:rPr>
          <w:rFonts w:hint="eastAsia" w:cs="宋体"/>
          <w:color w:val="auto"/>
          <w:sz w:val="21"/>
          <w:highlight w:val="none"/>
        </w:rPr>
        <w:t>10.1.1 竣工验收条件</w:t>
      </w:r>
    </w:p>
    <w:p w14:paraId="57240778">
      <w:pPr>
        <w:ind w:firstLine="600"/>
        <w:rPr>
          <w:rFonts w:hint="eastAsia" w:ascii="宋体" w:hAnsi="宋体" w:cs="宋体"/>
          <w:color w:val="auto"/>
          <w:szCs w:val="21"/>
          <w:highlight w:val="none"/>
        </w:rPr>
      </w:pPr>
      <w:r>
        <w:rPr>
          <w:rFonts w:hint="eastAsia" w:ascii="宋体" w:hAnsi="宋体" w:cs="宋体"/>
          <w:color w:val="auto"/>
          <w:szCs w:val="21"/>
          <w:highlight w:val="none"/>
        </w:rPr>
        <w:t>工程具备以下条件的，承包人可以申请竣工验收：</w:t>
      </w:r>
    </w:p>
    <w:p w14:paraId="6A3A37B6">
      <w:pPr>
        <w:ind w:firstLine="600"/>
        <w:rPr>
          <w:rFonts w:hint="eastAsia" w:ascii="宋体" w:hAnsi="宋体" w:cs="宋体"/>
          <w:color w:val="auto"/>
          <w:szCs w:val="21"/>
          <w:highlight w:val="none"/>
        </w:rPr>
      </w:pPr>
      <w:r>
        <w:rPr>
          <w:rFonts w:hint="eastAsia" w:ascii="宋体" w:hAnsi="宋体" w:cs="宋体"/>
          <w:color w:val="auto"/>
          <w:szCs w:val="21"/>
          <w:highlight w:val="none"/>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14:paraId="1F162275">
      <w:pPr>
        <w:ind w:firstLine="600"/>
        <w:rPr>
          <w:rFonts w:hint="eastAsia" w:ascii="宋体" w:hAnsi="宋体" w:cs="宋体"/>
          <w:color w:val="auto"/>
          <w:szCs w:val="21"/>
          <w:highlight w:val="none"/>
        </w:rPr>
      </w:pPr>
      <w:r>
        <w:rPr>
          <w:rFonts w:hint="eastAsia" w:ascii="宋体" w:hAnsi="宋体" w:cs="宋体"/>
          <w:color w:val="auto"/>
          <w:szCs w:val="21"/>
          <w:highlight w:val="none"/>
        </w:rPr>
        <w:t>（2） 已按合同约定编制了扫尾工作和缺陷修补工作清单以及相应实施计划；</w:t>
      </w:r>
    </w:p>
    <w:p w14:paraId="10799C7A">
      <w:pPr>
        <w:ind w:firstLine="600"/>
        <w:rPr>
          <w:rFonts w:hint="eastAsia" w:ascii="宋体" w:hAnsi="宋体" w:cs="宋体"/>
          <w:color w:val="auto"/>
          <w:szCs w:val="21"/>
          <w:highlight w:val="none"/>
        </w:rPr>
      </w:pPr>
      <w:r>
        <w:rPr>
          <w:rFonts w:hint="eastAsia" w:ascii="宋体" w:hAnsi="宋体" w:cs="宋体"/>
          <w:color w:val="auto"/>
          <w:szCs w:val="21"/>
          <w:highlight w:val="none"/>
        </w:rPr>
        <w:t>（3） 已按合同约定的内容和份数备齐竣工资料；</w:t>
      </w:r>
    </w:p>
    <w:p w14:paraId="21DCFD38">
      <w:pPr>
        <w:ind w:firstLine="600"/>
        <w:rPr>
          <w:rFonts w:hint="eastAsia" w:ascii="宋体" w:hAnsi="宋体" w:cs="宋体"/>
          <w:color w:val="auto"/>
          <w:szCs w:val="21"/>
          <w:highlight w:val="none"/>
        </w:rPr>
      </w:pPr>
      <w:r>
        <w:rPr>
          <w:rFonts w:hint="eastAsia" w:ascii="宋体" w:hAnsi="宋体" w:cs="宋体"/>
          <w:color w:val="auto"/>
          <w:szCs w:val="21"/>
          <w:highlight w:val="none"/>
        </w:rPr>
        <w:t>（4） 合同约定要求在竣工验收前应完成的其他工作。</w:t>
      </w:r>
    </w:p>
    <w:bookmarkEnd w:id="1908"/>
    <w:p w14:paraId="6A37BAAD">
      <w:pPr>
        <w:pStyle w:val="88"/>
        <w:numPr>
          <w:ilvl w:val="0"/>
          <w:numId w:val="0"/>
        </w:numPr>
        <w:spacing w:after="156"/>
        <w:rPr>
          <w:rFonts w:hint="eastAsia" w:cs="宋体"/>
          <w:color w:val="auto"/>
          <w:sz w:val="21"/>
          <w:highlight w:val="none"/>
        </w:rPr>
      </w:pPr>
      <w:bookmarkStart w:id="1909" w:name="_Ref4429424"/>
      <w:bookmarkStart w:id="1910" w:name="_Hlk51506601"/>
      <w:r>
        <w:rPr>
          <w:rFonts w:hint="eastAsia" w:cs="宋体"/>
          <w:color w:val="auto"/>
          <w:sz w:val="21"/>
          <w:highlight w:val="none"/>
        </w:rPr>
        <w:t>10.1.2 竣工验收程序</w:t>
      </w:r>
      <w:bookmarkEnd w:id="1909"/>
    </w:p>
    <w:bookmarkEnd w:id="1910"/>
    <w:p w14:paraId="4406C31E">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除专用合同条件另有约定外，承包人申请竣工验收的，应当按照以下程序进行：</w:t>
      </w:r>
    </w:p>
    <w:p w14:paraId="1798F84D">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14:paraId="4EA92767">
      <w:pPr>
        <w:ind w:firstLine="600"/>
        <w:rPr>
          <w:rFonts w:hint="eastAsia" w:ascii="宋体" w:hAnsi="宋体" w:cs="宋体"/>
          <w:color w:val="auto"/>
          <w:szCs w:val="21"/>
          <w:highlight w:val="none"/>
        </w:rPr>
      </w:pPr>
      <w:r>
        <w:rPr>
          <w:rFonts w:hint="eastAsia" w:ascii="宋体" w:hAnsi="宋体" w:cs="宋体"/>
          <w:color w:val="auto"/>
          <w:szCs w:val="21"/>
          <w:highlight w:val="none"/>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3CD9162D">
      <w:pPr>
        <w:ind w:firstLine="600"/>
        <w:rPr>
          <w:rFonts w:hint="eastAsia" w:ascii="宋体" w:hAnsi="宋体" w:cs="宋体"/>
          <w:color w:val="auto"/>
          <w:szCs w:val="21"/>
          <w:highlight w:val="none"/>
        </w:rPr>
      </w:pPr>
      <w:r>
        <w:rPr>
          <w:rFonts w:hint="eastAsia" w:ascii="宋体" w:hAnsi="宋体" w:cs="宋体"/>
          <w:color w:val="auto"/>
          <w:szCs w:val="21"/>
          <w:highlight w:val="none"/>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1FB136A">
      <w:pPr>
        <w:ind w:firstLine="600"/>
        <w:rPr>
          <w:rFonts w:hint="eastAsia" w:ascii="宋体" w:hAnsi="宋体" w:cs="宋体"/>
          <w:color w:val="auto"/>
          <w:szCs w:val="21"/>
          <w:highlight w:val="none"/>
        </w:rPr>
      </w:pPr>
      <w:bookmarkStart w:id="1911" w:name="_Hlk51506640"/>
      <w:r>
        <w:rPr>
          <w:rFonts w:hint="eastAsia" w:ascii="宋体" w:hAnsi="宋体" w:cs="宋体"/>
          <w:color w:val="auto"/>
          <w:szCs w:val="21"/>
          <w:highlight w:val="none"/>
        </w:rPr>
        <w:t>（4） 因发包人原因，未在工程师收到承包人竣工验收申请报告之日起42天内完成竣工验收的，以承包人提交竣工验收申请报告之日作为工程实际竣工日期。</w:t>
      </w:r>
    </w:p>
    <w:bookmarkEnd w:id="1911"/>
    <w:p w14:paraId="127F5443">
      <w:pPr>
        <w:ind w:firstLine="600"/>
        <w:rPr>
          <w:rFonts w:hint="eastAsia" w:ascii="宋体" w:hAnsi="宋体" w:cs="宋体"/>
          <w:color w:val="auto"/>
          <w:szCs w:val="21"/>
          <w:highlight w:val="none"/>
        </w:rPr>
      </w:pPr>
      <w:r>
        <w:rPr>
          <w:rFonts w:hint="eastAsia" w:ascii="宋体" w:hAnsi="宋体" w:cs="宋体"/>
          <w:color w:val="auto"/>
          <w:szCs w:val="21"/>
          <w:highlight w:val="none"/>
        </w:rPr>
        <w:t>（5） 工程未经竣工验收，发包人擅自使用的，以转移占有工程之日为实际竣工日期。</w:t>
      </w:r>
    </w:p>
    <w:p w14:paraId="6D5C315F">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除专用合同条件另有约定外，发包人不按照本项和第10.4款[接收证书]约定组织竣工验收、颁发工程接收证书的，每逾期一天，应以签约合同价为基数，按照贷款市场报价利率（LPR）支付违约金。</w:t>
      </w:r>
    </w:p>
    <w:p w14:paraId="01D468CB">
      <w:pPr>
        <w:pStyle w:val="87"/>
        <w:widowControl/>
        <w:numPr>
          <w:ilvl w:val="0"/>
          <w:numId w:val="0"/>
        </w:numPr>
        <w:spacing w:after="156"/>
        <w:rPr>
          <w:rFonts w:hint="eastAsia" w:ascii="宋体" w:hAnsi="宋体" w:eastAsia="宋体" w:cs="宋体"/>
          <w:b w:val="0"/>
          <w:bCs/>
          <w:color w:val="auto"/>
          <w:sz w:val="21"/>
          <w:szCs w:val="21"/>
          <w:highlight w:val="none"/>
        </w:rPr>
      </w:pPr>
      <w:bookmarkStart w:id="1912" w:name="_Toc28422"/>
      <w:bookmarkStart w:id="1913" w:name="_Toc32617"/>
      <w:bookmarkStart w:id="1914" w:name="_Toc20182"/>
      <w:bookmarkStart w:id="1915" w:name="_Ref532301210"/>
      <w:bookmarkStart w:id="1916" w:name="_Toc24818"/>
      <w:bookmarkStart w:id="1917" w:name="_Toc18385"/>
      <w:bookmarkStart w:id="1918" w:name="_Toc30838"/>
      <w:bookmarkStart w:id="1919" w:name="_Toc103175739"/>
      <w:bookmarkStart w:id="1920" w:name="_Toc6318"/>
      <w:bookmarkStart w:id="1921" w:name="_Toc1440"/>
      <w:bookmarkStart w:id="1922" w:name="_Ref532301213"/>
      <w:r>
        <w:rPr>
          <w:rFonts w:hint="eastAsia" w:ascii="宋体" w:hAnsi="宋体" w:eastAsia="宋体" w:cs="宋体"/>
          <w:b w:val="0"/>
          <w:bCs/>
          <w:color w:val="auto"/>
          <w:sz w:val="21"/>
          <w:szCs w:val="21"/>
          <w:highlight w:val="none"/>
        </w:rPr>
        <w:t>10.2 单位/区段工程的验收</w:t>
      </w:r>
      <w:bookmarkEnd w:id="1912"/>
      <w:bookmarkEnd w:id="1913"/>
      <w:bookmarkEnd w:id="1914"/>
      <w:bookmarkEnd w:id="1915"/>
      <w:bookmarkEnd w:id="1916"/>
      <w:bookmarkEnd w:id="1917"/>
      <w:bookmarkEnd w:id="1918"/>
      <w:bookmarkEnd w:id="1919"/>
      <w:bookmarkEnd w:id="1920"/>
      <w:bookmarkEnd w:id="1921"/>
      <w:bookmarkEnd w:id="1922"/>
    </w:p>
    <w:p w14:paraId="7DD7DE6C">
      <w:pPr>
        <w:pStyle w:val="88"/>
        <w:numPr>
          <w:ilvl w:val="0"/>
          <w:numId w:val="0"/>
        </w:numPr>
        <w:spacing w:after="156"/>
        <w:rPr>
          <w:rFonts w:hint="eastAsia" w:cs="宋体"/>
          <w:color w:val="auto"/>
          <w:sz w:val="21"/>
          <w:highlight w:val="none"/>
        </w:rPr>
      </w:pPr>
      <w:r>
        <w:rPr>
          <w:rFonts w:hint="eastAsia" w:cs="宋体"/>
          <w:color w:val="auto"/>
          <w:sz w:val="21"/>
          <w:highlight w:val="none"/>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14:paraId="018E2575">
      <w:pPr>
        <w:pStyle w:val="88"/>
        <w:numPr>
          <w:ilvl w:val="0"/>
          <w:numId w:val="0"/>
        </w:numPr>
        <w:spacing w:after="156"/>
        <w:rPr>
          <w:rFonts w:hint="eastAsia" w:cs="宋体"/>
          <w:color w:val="auto"/>
          <w:sz w:val="21"/>
          <w:highlight w:val="none"/>
        </w:rPr>
      </w:pPr>
      <w:r>
        <w:rPr>
          <w:rFonts w:hint="eastAsia" w:cs="宋体"/>
          <w:color w:val="auto"/>
          <w:sz w:val="21"/>
          <w:highlight w:val="none"/>
        </w:rPr>
        <w:t>10.2.2 发包人在全部工程竣工前，使用已接收的单位/区段工程导致承包人费用增加的，发包人应承担由此增加的费用和（或）工期延误，并支付承包人合理利润。</w:t>
      </w:r>
    </w:p>
    <w:p w14:paraId="4AD3552E">
      <w:pPr>
        <w:pStyle w:val="87"/>
        <w:widowControl/>
        <w:numPr>
          <w:ilvl w:val="0"/>
          <w:numId w:val="0"/>
        </w:numPr>
        <w:spacing w:after="156"/>
        <w:rPr>
          <w:rFonts w:hint="eastAsia" w:ascii="宋体" w:hAnsi="宋体" w:eastAsia="宋体" w:cs="宋体"/>
          <w:b w:val="0"/>
          <w:bCs/>
          <w:color w:val="auto"/>
          <w:sz w:val="21"/>
          <w:szCs w:val="21"/>
          <w:highlight w:val="none"/>
        </w:rPr>
      </w:pPr>
      <w:bookmarkStart w:id="1923" w:name="_Toc32251"/>
      <w:bookmarkStart w:id="1924" w:name="_Toc16295"/>
      <w:bookmarkStart w:id="1925" w:name="_Toc23694"/>
      <w:bookmarkStart w:id="1926" w:name="_Toc103175740"/>
      <w:bookmarkStart w:id="1927" w:name="_Toc10477"/>
      <w:bookmarkStart w:id="1928" w:name="_Toc31394"/>
      <w:bookmarkStart w:id="1929" w:name="_Toc18177"/>
      <w:bookmarkStart w:id="1930" w:name="_Toc2880"/>
      <w:bookmarkStart w:id="1931" w:name="_Toc9368"/>
      <w:bookmarkStart w:id="1932" w:name="_Ref4429473"/>
      <w:bookmarkStart w:id="1933" w:name="_Ref532688351"/>
      <w:bookmarkStart w:id="1934" w:name="_Ref532688354"/>
      <w:r>
        <w:rPr>
          <w:rFonts w:hint="eastAsia" w:ascii="宋体" w:hAnsi="宋体" w:eastAsia="宋体" w:cs="宋体"/>
          <w:b w:val="0"/>
          <w:bCs/>
          <w:color w:val="auto"/>
          <w:sz w:val="21"/>
          <w:szCs w:val="21"/>
          <w:highlight w:val="none"/>
        </w:rPr>
        <w:t>10.3 工程的接收</w:t>
      </w:r>
      <w:bookmarkEnd w:id="1923"/>
      <w:bookmarkEnd w:id="1924"/>
      <w:bookmarkEnd w:id="1925"/>
      <w:bookmarkEnd w:id="1926"/>
      <w:bookmarkEnd w:id="1927"/>
      <w:bookmarkEnd w:id="1928"/>
      <w:bookmarkEnd w:id="1929"/>
      <w:bookmarkEnd w:id="1930"/>
      <w:bookmarkEnd w:id="1931"/>
    </w:p>
    <w:p w14:paraId="08608AE9">
      <w:pPr>
        <w:pStyle w:val="88"/>
        <w:numPr>
          <w:ilvl w:val="0"/>
          <w:numId w:val="0"/>
        </w:numPr>
        <w:spacing w:after="156"/>
        <w:rPr>
          <w:rFonts w:hint="eastAsia" w:cs="宋体"/>
          <w:color w:val="auto"/>
          <w:sz w:val="21"/>
          <w:highlight w:val="none"/>
        </w:rPr>
      </w:pPr>
      <w:r>
        <w:rPr>
          <w:rFonts w:hint="eastAsia" w:cs="宋体"/>
          <w:color w:val="auto"/>
          <w:sz w:val="21"/>
          <w:highlight w:val="none"/>
        </w:rPr>
        <w:t>10.3.1 根据工程项目的具体情况和特点，可按工程或单位/区段工程进行接收，并在专用合同条件约定接收的先后顺序、时间安排和其他要求。</w:t>
      </w:r>
    </w:p>
    <w:p w14:paraId="7A211CD8">
      <w:pPr>
        <w:pStyle w:val="88"/>
        <w:numPr>
          <w:ilvl w:val="0"/>
          <w:numId w:val="0"/>
        </w:numPr>
        <w:spacing w:after="156"/>
        <w:rPr>
          <w:rFonts w:hint="eastAsia" w:cs="宋体"/>
          <w:color w:val="auto"/>
          <w:sz w:val="21"/>
          <w:highlight w:val="none"/>
        </w:rPr>
      </w:pPr>
      <w:r>
        <w:rPr>
          <w:rFonts w:hint="eastAsia" w:cs="宋体"/>
          <w:color w:val="auto"/>
          <w:sz w:val="21"/>
          <w:highlight w:val="none"/>
        </w:rPr>
        <w:t>10.3.2 除按本条约定已经提交的资料外，接收工程时承包人需提交竣工验收资料的类别、内容、份数和提交时间，在专用合同条件中约定。</w:t>
      </w:r>
    </w:p>
    <w:p w14:paraId="7DD0A7FD">
      <w:pPr>
        <w:pStyle w:val="88"/>
        <w:numPr>
          <w:ilvl w:val="0"/>
          <w:numId w:val="0"/>
        </w:numPr>
        <w:spacing w:after="156"/>
        <w:rPr>
          <w:rFonts w:hint="eastAsia" w:cs="宋体"/>
          <w:color w:val="auto"/>
          <w:sz w:val="21"/>
          <w:highlight w:val="none"/>
        </w:rPr>
      </w:pPr>
      <w:r>
        <w:rPr>
          <w:rFonts w:hint="eastAsia" w:cs="宋体"/>
          <w:color w:val="auto"/>
          <w:sz w:val="21"/>
          <w:highlight w:val="none"/>
        </w:rPr>
        <w:t>10.3.3 发包人无正当理由不接收工程的，发包人自应当接收工程之日起，承担工程照管、成品保护、保管等与工程有关的各项费用，合同当事人可以在专用合同条件中另行约定发包人逾期接收工程的违约责任。</w:t>
      </w:r>
    </w:p>
    <w:p w14:paraId="132A49C9">
      <w:pPr>
        <w:pStyle w:val="88"/>
        <w:numPr>
          <w:ilvl w:val="0"/>
          <w:numId w:val="0"/>
        </w:numPr>
        <w:spacing w:after="156"/>
        <w:rPr>
          <w:rFonts w:hint="eastAsia" w:cs="宋体"/>
          <w:color w:val="auto"/>
          <w:sz w:val="21"/>
          <w:highlight w:val="none"/>
        </w:rPr>
      </w:pPr>
      <w:r>
        <w:rPr>
          <w:rFonts w:hint="eastAsia" w:cs="宋体"/>
          <w:color w:val="auto"/>
          <w:sz w:val="21"/>
          <w:highlight w:val="none"/>
        </w:rPr>
        <w:t>10.3.4 承包人无正当理由不移交工程的，承包人应承担工程照管、成品保护、保管等与工程有关的各项费用，合同当事人可以在专用合同条件中另行约定承包人无正当理由不移交工程的违约责任。</w:t>
      </w:r>
    </w:p>
    <w:p w14:paraId="327440D3">
      <w:pPr>
        <w:pStyle w:val="87"/>
        <w:widowControl/>
        <w:numPr>
          <w:ilvl w:val="0"/>
          <w:numId w:val="0"/>
        </w:numPr>
        <w:spacing w:after="156"/>
        <w:rPr>
          <w:rFonts w:hint="eastAsia" w:ascii="宋体" w:hAnsi="宋体" w:eastAsia="宋体" w:cs="宋体"/>
          <w:b w:val="0"/>
          <w:bCs/>
          <w:color w:val="auto"/>
          <w:sz w:val="21"/>
          <w:szCs w:val="21"/>
          <w:highlight w:val="none"/>
        </w:rPr>
      </w:pPr>
      <w:bookmarkStart w:id="1935" w:name="_Toc18823"/>
      <w:bookmarkStart w:id="1936" w:name="_Toc22629"/>
      <w:bookmarkStart w:id="1937" w:name="_Toc21315"/>
      <w:bookmarkStart w:id="1938" w:name="_Toc17957"/>
      <w:bookmarkStart w:id="1939" w:name="_Toc23377"/>
      <w:bookmarkStart w:id="1940" w:name="_Toc13007"/>
      <w:bookmarkStart w:id="1941" w:name="_Toc12955"/>
      <w:bookmarkStart w:id="1942" w:name="_Toc103175741"/>
      <w:bookmarkStart w:id="1943" w:name="_Toc32403"/>
      <w:r>
        <w:rPr>
          <w:rFonts w:hint="eastAsia" w:ascii="宋体" w:hAnsi="宋体" w:eastAsia="宋体" w:cs="宋体"/>
          <w:b w:val="0"/>
          <w:bCs/>
          <w:color w:val="auto"/>
          <w:sz w:val="21"/>
          <w:szCs w:val="21"/>
          <w:highlight w:val="none"/>
        </w:rPr>
        <w:t>10.4 接收证书</w:t>
      </w:r>
      <w:bookmarkEnd w:id="1932"/>
      <w:bookmarkEnd w:id="1935"/>
      <w:bookmarkEnd w:id="1936"/>
      <w:bookmarkEnd w:id="1937"/>
      <w:bookmarkEnd w:id="1938"/>
      <w:bookmarkEnd w:id="1939"/>
      <w:bookmarkEnd w:id="1940"/>
      <w:bookmarkEnd w:id="1941"/>
      <w:bookmarkEnd w:id="1942"/>
      <w:bookmarkEnd w:id="1943"/>
    </w:p>
    <w:p w14:paraId="7E93437B">
      <w:pPr>
        <w:pStyle w:val="88"/>
        <w:numPr>
          <w:ilvl w:val="0"/>
          <w:numId w:val="0"/>
        </w:numPr>
        <w:spacing w:after="156"/>
        <w:rPr>
          <w:rFonts w:hint="eastAsia" w:cs="宋体"/>
          <w:color w:val="auto"/>
          <w:sz w:val="21"/>
          <w:highlight w:val="none"/>
        </w:rPr>
      </w:pPr>
      <w:bookmarkStart w:id="1944" w:name="_Ref4429542"/>
      <w:r>
        <w:rPr>
          <w:rFonts w:hint="eastAsia" w:cs="宋体"/>
          <w:color w:val="auto"/>
          <w:sz w:val="21"/>
          <w:highlight w:val="none"/>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1944"/>
    </w:p>
    <w:p w14:paraId="535C862B">
      <w:pPr>
        <w:pStyle w:val="88"/>
        <w:numPr>
          <w:ilvl w:val="0"/>
          <w:numId w:val="0"/>
        </w:numPr>
        <w:spacing w:after="156"/>
        <w:rPr>
          <w:rFonts w:hint="eastAsia" w:cs="宋体"/>
          <w:color w:val="auto"/>
          <w:sz w:val="21"/>
          <w:highlight w:val="none"/>
        </w:rPr>
      </w:pPr>
      <w:r>
        <w:rPr>
          <w:rFonts w:hint="eastAsia" w:cs="宋体"/>
          <w:color w:val="auto"/>
          <w:sz w:val="21"/>
          <w:highlight w:val="none"/>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6865F693">
      <w:pPr>
        <w:pStyle w:val="88"/>
        <w:numPr>
          <w:ilvl w:val="0"/>
          <w:numId w:val="0"/>
        </w:numPr>
        <w:spacing w:after="156"/>
        <w:rPr>
          <w:rFonts w:hint="eastAsia" w:cs="宋体"/>
          <w:color w:val="auto"/>
          <w:sz w:val="21"/>
          <w:highlight w:val="none"/>
        </w:rPr>
      </w:pPr>
      <w:r>
        <w:rPr>
          <w:rFonts w:hint="eastAsia" w:cs="宋体"/>
          <w:color w:val="auto"/>
          <w:sz w:val="21"/>
          <w:highlight w:val="none"/>
        </w:rPr>
        <w:t>10.4.3 竣工验收合格而发包人无正当理由逾期不颁发工程接收证书的，自验收合格后第15天起视为已颁发工程接收证书。</w:t>
      </w:r>
    </w:p>
    <w:p w14:paraId="2204B97F">
      <w:pPr>
        <w:pStyle w:val="88"/>
        <w:numPr>
          <w:ilvl w:val="0"/>
          <w:numId w:val="0"/>
        </w:numPr>
        <w:spacing w:after="156"/>
        <w:rPr>
          <w:rFonts w:hint="eastAsia" w:cs="宋体"/>
          <w:color w:val="auto"/>
          <w:sz w:val="21"/>
          <w:highlight w:val="none"/>
        </w:rPr>
      </w:pPr>
      <w:r>
        <w:rPr>
          <w:rFonts w:hint="eastAsia" w:cs="宋体"/>
          <w:color w:val="auto"/>
          <w:sz w:val="21"/>
          <w:highlight w:val="none"/>
        </w:rPr>
        <w:t>10.4.4 工程未经验收或验收不合格，发包人擅自使用的，应在转移占有工程后7天内向承包人颁发工程接收证书；发包人无正当理由逾期不颁发工程接收证书的，自转移占有后第15天起视为已颁发工程接收证书。</w:t>
      </w:r>
    </w:p>
    <w:p w14:paraId="15577FB5">
      <w:pPr>
        <w:pStyle w:val="88"/>
        <w:numPr>
          <w:ilvl w:val="0"/>
          <w:numId w:val="0"/>
        </w:numPr>
        <w:spacing w:after="156"/>
        <w:rPr>
          <w:rFonts w:hint="eastAsia" w:cs="宋体"/>
          <w:color w:val="auto"/>
          <w:sz w:val="21"/>
          <w:highlight w:val="none"/>
        </w:rPr>
      </w:pPr>
      <w:r>
        <w:rPr>
          <w:rFonts w:hint="eastAsia" w:cs="宋体"/>
          <w:color w:val="auto"/>
          <w:sz w:val="21"/>
          <w:highlight w:val="none"/>
        </w:rPr>
        <w:t>10.4.5 存在扫尾工作的，工程接收证书中应当将第14.5.3项[扫尾工作清单]中约定的扫尾工作清单作为工程接收证书附件。</w:t>
      </w:r>
    </w:p>
    <w:bookmarkEnd w:id="1933"/>
    <w:bookmarkEnd w:id="1934"/>
    <w:p w14:paraId="0EE87C25">
      <w:pPr>
        <w:pStyle w:val="87"/>
        <w:widowControl/>
        <w:numPr>
          <w:ilvl w:val="0"/>
          <w:numId w:val="0"/>
        </w:numPr>
        <w:spacing w:after="156"/>
        <w:rPr>
          <w:rFonts w:hint="eastAsia" w:ascii="宋体" w:hAnsi="宋体" w:eastAsia="宋体" w:cs="宋体"/>
          <w:b w:val="0"/>
          <w:bCs/>
          <w:color w:val="auto"/>
          <w:sz w:val="21"/>
          <w:szCs w:val="21"/>
          <w:highlight w:val="none"/>
        </w:rPr>
      </w:pPr>
      <w:bookmarkStart w:id="1945" w:name="_Toc20559"/>
      <w:bookmarkStart w:id="1946" w:name="_Toc27916"/>
      <w:bookmarkStart w:id="1947" w:name="_Ref4429935"/>
      <w:bookmarkStart w:id="1948" w:name="_Toc26807"/>
      <w:bookmarkStart w:id="1949" w:name="_Toc51"/>
      <w:bookmarkStart w:id="1950" w:name="_Toc626"/>
      <w:bookmarkStart w:id="1951" w:name="_Ref4429932"/>
      <w:bookmarkStart w:id="1952" w:name="_Toc23"/>
      <w:bookmarkStart w:id="1953" w:name="_Toc19220"/>
      <w:bookmarkStart w:id="1954" w:name="_Toc14673"/>
      <w:bookmarkStart w:id="1955" w:name="_Toc103175742"/>
      <w:r>
        <w:rPr>
          <w:rFonts w:hint="eastAsia" w:ascii="宋体" w:hAnsi="宋体" w:eastAsia="宋体" w:cs="宋体"/>
          <w:b w:val="0"/>
          <w:bCs/>
          <w:color w:val="auto"/>
          <w:sz w:val="21"/>
          <w:szCs w:val="21"/>
          <w:highlight w:val="none"/>
        </w:rPr>
        <w:t>10.5 竣工退场</w:t>
      </w:r>
      <w:bookmarkEnd w:id="1945"/>
      <w:bookmarkEnd w:id="1946"/>
      <w:bookmarkEnd w:id="1947"/>
      <w:bookmarkEnd w:id="1948"/>
      <w:bookmarkEnd w:id="1949"/>
      <w:bookmarkEnd w:id="1950"/>
      <w:bookmarkEnd w:id="1951"/>
      <w:bookmarkEnd w:id="1952"/>
      <w:bookmarkEnd w:id="1953"/>
      <w:bookmarkEnd w:id="1954"/>
      <w:bookmarkEnd w:id="1955"/>
    </w:p>
    <w:p w14:paraId="3877D0C9">
      <w:pPr>
        <w:pStyle w:val="88"/>
        <w:numPr>
          <w:ilvl w:val="0"/>
          <w:numId w:val="0"/>
        </w:numPr>
        <w:spacing w:after="156"/>
        <w:rPr>
          <w:rFonts w:hint="eastAsia" w:cs="宋体"/>
          <w:color w:val="auto"/>
          <w:sz w:val="21"/>
          <w:highlight w:val="none"/>
        </w:rPr>
      </w:pPr>
      <w:bookmarkStart w:id="1956" w:name="_Ref4429943"/>
      <w:r>
        <w:rPr>
          <w:rFonts w:hint="eastAsia" w:cs="宋体"/>
          <w:color w:val="auto"/>
          <w:sz w:val="21"/>
          <w:highlight w:val="none"/>
        </w:rPr>
        <w:t>10.5.1 竣工退场</w:t>
      </w:r>
      <w:bookmarkEnd w:id="1956"/>
    </w:p>
    <w:p w14:paraId="6483912A">
      <w:pPr>
        <w:ind w:firstLine="600"/>
        <w:rPr>
          <w:rFonts w:hint="eastAsia" w:ascii="宋体" w:hAnsi="宋体" w:cs="宋体"/>
          <w:color w:val="auto"/>
          <w:szCs w:val="21"/>
          <w:highlight w:val="none"/>
        </w:rPr>
      </w:pPr>
      <w:r>
        <w:rPr>
          <w:rFonts w:hint="eastAsia" w:ascii="宋体" w:hAnsi="宋体" w:cs="宋体"/>
          <w:color w:val="auto"/>
          <w:szCs w:val="21"/>
          <w:highlight w:val="none"/>
        </w:rPr>
        <w:t>颁发工程接收证书后，承包人应对施工现场进行清理，并撤离相关人员，使得施工现场处于以下状态，直至工程师检验合格为止：</w:t>
      </w:r>
    </w:p>
    <w:p w14:paraId="7FD13B60">
      <w:pPr>
        <w:ind w:firstLine="600"/>
        <w:rPr>
          <w:rFonts w:hint="eastAsia" w:ascii="宋体" w:hAnsi="宋体" w:cs="宋体"/>
          <w:color w:val="auto"/>
          <w:szCs w:val="21"/>
          <w:highlight w:val="none"/>
        </w:rPr>
      </w:pPr>
      <w:r>
        <w:rPr>
          <w:rFonts w:hint="eastAsia" w:ascii="宋体" w:hAnsi="宋体" w:cs="宋体"/>
          <w:color w:val="auto"/>
          <w:szCs w:val="21"/>
          <w:highlight w:val="none"/>
        </w:rPr>
        <w:t>（1） 施工现场内残留的垃圾已全部清除出场；</w:t>
      </w:r>
    </w:p>
    <w:p w14:paraId="34C9B994">
      <w:pPr>
        <w:ind w:firstLine="600"/>
        <w:rPr>
          <w:rFonts w:hint="eastAsia" w:ascii="宋体" w:hAnsi="宋体" w:cs="宋体"/>
          <w:color w:val="auto"/>
          <w:szCs w:val="21"/>
          <w:highlight w:val="none"/>
        </w:rPr>
      </w:pPr>
      <w:r>
        <w:rPr>
          <w:rFonts w:hint="eastAsia" w:ascii="宋体" w:hAnsi="宋体" w:cs="宋体"/>
          <w:color w:val="auto"/>
          <w:szCs w:val="21"/>
          <w:highlight w:val="none"/>
        </w:rPr>
        <w:t>（2） 临时工程已拆除，场地已按合同约定进行清理、平整或复原；</w:t>
      </w:r>
    </w:p>
    <w:p w14:paraId="2972D7E1">
      <w:pPr>
        <w:ind w:firstLine="600"/>
        <w:rPr>
          <w:rFonts w:hint="eastAsia" w:ascii="宋体" w:hAnsi="宋体" w:cs="宋体"/>
          <w:color w:val="auto"/>
          <w:szCs w:val="21"/>
          <w:highlight w:val="none"/>
        </w:rPr>
      </w:pPr>
      <w:r>
        <w:rPr>
          <w:rFonts w:hint="eastAsia" w:ascii="宋体" w:hAnsi="宋体" w:cs="宋体"/>
          <w:color w:val="auto"/>
          <w:szCs w:val="21"/>
          <w:highlight w:val="none"/>
        </w:rPr>
        <w:t>（3） 按合同约定应撤离的人员、承包人提供的施工设备和剩余的材料，包括废弃的施工设备和材料，已按计划撤离施工现场；</w:t>
      </w:r>
    </w:p>
    <w:p w14:paraId="4C431797">
      <w:pPr>
        <w:ind w:firstLine="600"/>
        <w:rPr>
          <w:rFonts w:hint="eastAsia" w:ascii="宋体" w:hAnsi="宋体" w:cs="宋体"/>
          <w:color w:val="auto"/>
          <w:szCs w:val="21"/>
          <w:highlight w:val="none"/>
        </w:rPr>
      </w:pPr>
      <w:r>
        <w:rPr>
          <w:rFonts w:hint="eastAsia" w:ascii="宋体" w:hAnsi="宋体" w:cs="宋体"/>
          <w:color w:val="auto"/>
          <w:szCs w:val="21"/>
          <w:highlight w:val="none"/>
        </w:rPr>
        <w:t>（4） 施工现场周边及其附近道路、河道的施工堆积物，已全部清理；</w:t>
      </w:r>
    </w:p>
    <w:p w14:paraId="78F7BDE9">
      <w:pPr>
        <w:ind w:firstLine="600"/>
        <w:rPr>
          <w:rFonts w:hint="eastAsia" w:ascii="宋体" w:hAnsi="宋体" w:cs="宋体"/>
          <w:color w:val="auto"/>
          <w:szCs w:val="21"/>
          <w:highlight w:val="none"/>
        </w:rPr>
      </w:pPr>
      <w:r>
        <w:rPr>
          <w:rFonts w:hint="eastAsia" w:ascii="宋体" w:hAnsi="宋体" w:cs="宋体"/>
          <w:color w:val="auto"/>
          <w:szCs w:val="21"/>
          <w:highlight w:val="none"/>
        </w:rPr>
        <w:t>（5） 施工现场其他竣工退场工作已全部完成。</w:t>
      </w:r>
    </w:p>
    <w:p w14:paraId="25E0F854">
      <w:pPr>
        <w:ind w:firstLine="600"/>
        <w:rPr>
          <w:rFonts w:hint="eastAsia" w:ascii="宋体" w:hAnsi="宋体" w:cs="宋体"/>
          <w:color w:val="auto"/>
          <w:szCs w:val="21"/>
          <w:highlight w:val="none"/>
        </w:rPr>
      </w:pPr>
      <w:r>
        <w:rPr>
          <w:rFonts w:hint="eastAsia" w:ascii="宋体" w:hAnsi="宋体" w:cs="宋体"/>
          <w:color w:val="auto"/>
          <w:szCs w:val="21"/>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4F141CA9">
      <w:pPr>
        <w:pStyle w:val="88"/>
        <w:numPr>
          <w:ilvl w:val="0"/>
          <w:numId w:val="0"/>
        </w:numPr>
        <w:spacing w:after="156"/>
        <w:rPr>
          <w:rFonts w:hint="eastAsia" w:cs="宋体"/>
          <w:color w:val="auto"/>
          <w:sz w:val="21"/>
          <w:highlight w:val="none"/>
        </w:rPr>
      </w:pPr>
      <w:r>
        <w:rPr>
          <w:rFonts w:hint="eastAsia" w:cs="宋体"/>
          <w:color w:val="auto"/>
          <w:sz w:val="21"/>
          <w:highlight w:val="none"/>
        </w:rPr>
        <w:t>10.5.2 地表还原</w:t>
      </w:r>
    </w:p>
    <w:p w14:paraId="1E752FAC">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承包人应按合同约定和工程师的要求恢复临时占地及清理场地，否则发包人有权委托其他人恢复或清理，所发生的费用由承包人承担。</w:t>
      </w:r>
    </w:p>
    <w:p w14:paraId="5BF5C221">
      <w:pPr>
        <w:pStyle w:val="88"/>
        <w:numPr>
          <w:ilvl w:val="0"/>
          <w:numId w:val="0"/>
        </w:numPr>
        <w:spacing w:after="156"/>
        <w:rPr>
          <w:rFonts w:hint="eastAsia" w:cs="宋体"/>
          <w:color w:val="auto"/>
          <w:sz w:val="21"/>
          <w:highlight w:val="none"/>
        </w:rPr>
      </w:pPr>
      <w:bookmarkStart w:id="1957" w:name="_Ref20159437"/>
      <w:r>
        <w:rPr>
          <w:rFonts w:hint="eastAsia" w:cs="宋体"/>
          <w:color w:val="auto"/>
          <w:sz w:val="21"/>
          <w:highlight w:val="none"/>
        </w:rPr>
        <w:t>10.5.3 人员撤离</w:t>
      </w:r>
      <w:bookmarkEnd w:id="1957"/>
    </w:p>
    <w:p w14:paraId="0E692C6C">
      <w:pPr>
        <w:ind w:firstLine="600"/>
        <w:rPr>
          <w:rFonts w:hint="eastAsia" w:ascii="宋体" w:hAnsi="宋体" w:cs="宋体"/>
          <w:color w:val="auto"/>
          <w:szCs w:val="21"/>
          <w:highlight w:val="none"/>
        </w:rPr>
      </w:pPr>
      <w:r>
        <w:rPr>
          <w:rFonts w:hint="eastAsia" w:ascii="宋体" w:hAnsi="宋体" w:cs="宋体"/>
          <w:color w:val="auto"/>
          <w:szCs w:val="21"/>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1672"/>
    </w:p>
    <w:p w14:paraId="5F468A0A">
      <w:pPr>
        <w:pStyle w:val="86"/>
        <w:numPr>
          <w:ilvl w:val="0"/>
          <w:numId w:val="0"/>
        </w:numPr>
        <w:rPr>
          <w:rFonts w:hint="eastAsia" w:ascii="宋体" w:hAnsi="宋体" w:eastAsia="宋体" w:cs="宋体"/>
          <w:b w:val="0"/>
          <w:color w:val="auto"/>
          <w:sz w:val="21"/>
          <w:szCs w:val="21"/>
          <w:highlight w:val="none"/>
        </w:rPr>
      </w:pPr>
      <w:bookmarkStart w:id="1958" w:name="_Toc16597"/>
      <w:bookmarkStart w:id="1959" w:name="_Ref4796906"/>
      <w:bookmarkStart w:id="1960" w:name="_Toc12629"/>
      <w:bookmarkStart w:id="1961" w:name="_Toc7699"/>
      <w:bookmarkStart w:id="1962" w:name="_Ref4796909"/>
      <w:bookmarkStart w:id="1963" w:name="_Toc3676"/>
      <w:bookmarkStart w:id="1964" w:name="_Toc10352"/>
      <w:bookmarkStart w:id="1965" w:name="_Toc24720"/>
      <w:bookmarkStart w:id="1966" w:name="_Toc18036"/>
      <w:bookmarkStart w:id="1967" w:name="_Toc103175743"/>
      <w:bookmarkStart w:id="1968" w:name="_Toc18691"/>
      <w:bookmarkStart w:id="1969" w:name="_Toc12959"/>
      <w:bookmarkStart w:id="1970" w:name="_Toc32061"/>
      <w:bookmarkStart w:id="1971" w:name="_Ref531955009"/>
      <w:r>
        <w:rPr>
          <w:rFonts w:hint="eastAsia" w:ascii="宋体" w:hAnsi="宋体" w:eastAsia="宋体" w:cs="宋体"/>
          <w:b w:val="0"/>
          <w:color w:val="auto"/>
          <w:sz w:val="21"/>
          <w:szCs w:val="21"/>
          <w:highlight w:val="none"/>
        </w:rPr>
        <w:t>第11条 缺陷责任与保修</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Pr>
          <w:rFonts w:hint="eastAsia" w:ascii="宋体" w:hAnsi="宋体" w:eastAsia="宋体" w:cs="宋体"/>
          <w:b w:val="0"/>
          <w:color w:val="auto"/>
          <w:sz w:val="21"/>
          <w:szCs w:val="21"/>
          <w:highlight w:val="none"/>
        </w:rPr>
        <w:t xml:space="preserve"> </w:t>
      </w:r>
    </w:p>
    <w:p w14:paraId="36159522">
      <w:pPr>
        <w:pStyle w:val="87"/>
        <w:widowControl/>
        <w:numPr>
          <w:ilvl w:val="0"/>
          <w:numId w:val="0"/>
        </w:numPr>
        <w:spacing w:after="156"/>
        <w:rPr>
          <w:rFonts w:hint="eastAsia" w:ascii="宋体" w:hAnsi="宋体" w:eastAsia="宋体" w:cs="宋体"/>
          <w:b w:val="0"/>
          <w:bCs/>
          <w:color w:val="auto"/>
          <w:sz w:val="21"/>
          <w:szCs w:val="21"/>
          <w:highlight w:val="none"/>
        </w:rPr>
      </w:pPr>
      <w:bookmarkStart w:id="1972" w:name="_Toc1725"/>
      <w:bookmarkStart w:id="1973" w:name="_Toc32697"/>
      <w:bookmarkStart w:id="1974" w:name="_Toc7542"/>
      <w:bookmarkStart w:id="1975" w:name="_Toc6095"/>
      <w:bookmarkStart w:id="1976" w:name="_Toc14668"/>
      <w:bookmarkStart w:id="1977" w:name="_Toc19276"/>
      <w:bookmarkStart w:id="1978" w:name="_Toc103175744"/>
      <w:bookmarkStart w:id="1979" w:name="_Toc32027"/>
      <w:bookmarkStart w:id="1980" w:name="_Toc7582"/>
      <w:bookmarkStart w:id="1981" w:name="_Ref531955248"/>
      <w:bookmarkStart w:id="1982" w:name="_Ref531955245"/>
      <w:bookmarkStart w:id="1983" w:name="_Ref532362928"/>
      <w:bookmarkStart w:id="1984" w:name="_Toc296346648"/>
      <w:bookmarkStart w:id="1985" w:name="_Toc337558841"/>
      <w:bookmarkStart w:id="1986" w:name="_Toc296503147"/>
      <w:r>
        <w:rPr>
          <w:rFonts w:hint="eastAsia" w:ascii="宋体" w:hAnsi="宋体" w:eastAsia="宋体" w:cs="宋体"/>
          <w:b w:val="0"/>
          <w:bCs/>
          <w:color w:val="auto"/>
          <w:sz w:val="21"/>
          <w:szCs w:val="21"/>
          <w:highlight w:val="none"/>
        </w:rPr>
        <w:t>11.1 工程保修的原则</w:t>
      </w:r>
      <w:bookmarkEnd w:id="1972"/>
      <w:bookmarkEnd w:id="1973"/>
      <w:bookmarkEnd w:id="1974"/>
      <w:bookmarkEnd w:id="1975"/>
      <w:bookmarkEnd w:id="1976"/>
      <w:bookmarkEnd w:id="1977"/>
      <w:bookmarkEnd w:id="1978"/>
      <w:bookmarkEnd w:id="1979"/>
      <w:bookmarkEnd w:id="1980"/>
    </w:p>
    <w:p w14:paraId="18324D5A">
      <w:pPr>
        <w:ind w:firstLine="600"/>
        <w:rPr>
          <w:rFonts w:hint="eastAsia" w:ascii="宋体" w:hAnsi="宋体" w:cs="宋体"/>
          <w:color w:val="auto"/>
          <w:szCs w:val="21"/>
          <w:highlight w:val="none"/>
        </w:rPr>
      </w:pPr>
      <w:r>
        <w:rPr>
          <w:rFonts w:hint="eastAsia" w:ascii="宋体" w:hAnsi="宋体" w:cs="宋体"/>
          <w:color w:val="auto"/>
          <w:szCs w:val="21"/>
          <w:highlight w:val="none"/>
        </w:rPr>
        <w:t>在工程移交发包人后，因承包人原因产生的质量缺陷，承包人应承担质量缺陷责任和保修义务。缺陷责任期届满，承包人仍应按合同约定的工程各部位保修年限承担保修义务。</w:t>
      </w:r>
    </w:p>
    <w:p w14:paraId="63BE6C39">
      <w:pPr>
        <w:pStyle w:val="87"/>
        <w:widowControl/>
        <w:numPr>
          <w:ilvl w:val="0"/>
          <w:numId w:val="0"/>
        </w:numPr>
        <w:spacing w:after="156"/>
        <w:rPr>
          <w:rFonts w:hint="eastAsia" w:ascii="宋体" w:hAnsi="宋体" w:eastAsia="宋体" w:cs="宋体"/>
          <w:b w:val="0"/>
          <w:bCs/>
          <w:color w:val="auto"/>
          <w:sz w:val="21"/>
          <w:szCs w:val="21"/>
          <w:highlight w:val="none"/>
        </w:rPr>
      </w:pPr>
      <w:bookmarkStart w:id="1987" w:name="_Toc11511"/>
      <w:bookmarkStart w:id="1988" w:name="_Toc14995"/>
      <w:bookmarkStart w:id="1989" w:name="_Ref4430062"/>
      <w:bookmarkStart w:id="1990" w:name="_Toc31890"/>
      <w:bookmarkStart w:id="1991" w:name="_Toc103175745"/>
      <w:bookmarkStart w:id="1992" w:name="_Toc7814"/>
      <w:bookmarkStart w:id="1993" w:name="_Toc9924"/>
      <w:bookmarkStart w:id="1994" w:name="_Toc13968"/>
      <w:bookmarkStart w:id="1995" w:name="_Toc14675"/>
      <w:r>
        <w:rPr>
          <w:rFonts w:hint="eastAsia" w:ascii="宋体" w:hAnsi="宋体" w:eastAsia="宋体" w:cs="宋体"/>
          <w:b w:val="0"/>
          <w:bCs/>
          <w:color w:val="auto"/>
          <w:sz w:val="21"/>
          <w:szCs w:val="21"/>
          <w:highlight w:val="none"/>
        </w:rPr>
        <w:t>11.2 缺陷责任</w:t>
      </w:r>
      <w:bookmarkEnd w:id="1981"/>
      <w:bookmarkEnd w:id="1982"/>
      <w:r>
        <w:rPr>
          <w:rFonts w:hint="eastAsia" w:ascii="宋体" w:hAnsi="宋体" w:eastAsia="宋体" w:cs="宋体"/>
          <w:b w:val="0"/>
          <w:bCs/>
          <w:color w:val="auto"/>
          <w:sz w:val="21"/>
          <w:szCs w:val="21"/>
          <w:highlight w:val="none"/>
        </w:rPr>
        <w:t>期</w:t>
      </w:r>
      <w:bookmarkEnd w:id="1983"/>
      <w:bookmarkEnd w:id="1987"/>
      <w:bookmarkEnd w:id="1988"/>
      <w:bookmarkEnd w:id="1989"/>
      <w:bookmarkEnd w:id="1990"/>
      <w:bookmarkEnd w:id="1991"/>
      <w:bookmarkEnd w:id="1992"/>
      <w:bookmarkEnd w:id="1993"/>
      <w:bookmarkEnd w:id="1994"/>
      <w:bookmarkEnd w:id="1995"/>
      <w:r>
        <w:rPr>
          <w:rFonts w:hint="eastAsia" w:ascii="宋体" w:hAnsi="宋体" w:eastAsia="宋体" w:cs="宋体"/>
          <w:b w:val="0"/>
          <w:bCs/>
          <w:color w:val="auto"/>
          <w:sz w:val="21"/>
          <w:szCs w:val="21"/>
          <w:highlight w:val="none"/>
        </w:rPr>
        <w:t xml:space="preserve"> </w:t>
      </w:r>
    </w:p>
    <w:p w14:paraId="644253CF">
      <w:pPr>
        <w:ind w:firstLine="600"/>
        <w:rPr>
          <w:rFonts w:hint="eastAsia" w:ascii="宋体" w:hAnsi="宋体" w:cs="宋体"/>
          <w:color w:val="auto"/>
          <w:szCs w:val="21"/>
          <w:highlight w:val="none"/>
        </w:rPr>
      </w:pPr>
      <w:r>
        <w:rPr>
          <w:rFonts w:hint="eastAsia" w:ascii="宋体" w:hAnsi="宋体" w:cs="宋体"/>
          <w:color w:val="auto"/>
          <w:szCs w:val="21"/>
          <w:highlight w:val="none"/>
        </w:rPr>
        <w:t>缺陷责任期原则上从工程竣工验收合格之日起计算，合同当事人应在专用合同条件约定缺陷责任期的具体期限，但该期限最长不超过24个月。</w:t>
      </w:r>
    </w:p>
    <w:p w14:paraId="6BEEA4AC">
      <w:pPr>
        <w:ind w:firstLine="600"/>
        <w:rPr>
          <w:rFonts w:hint="eastAsia" w:ascii="宋体" w:hAnsi="宋体" w:cs="宋体"/>
          <w:color w:val="auto"/>
          <w:szCs w:val="21"/>
          <w:highlight w:val="none"/>
        </w:rPr>
      </w:pPr>
      <w:r>
        <w:rPr>
          <w:rFonts w:hint="eastAsia" w:ascii="宋体" w:hAnsi="宋体" w:cs="宋体"/>
          <w:color w:val="auto"/>
          <w:szCs w:val="21"/>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4CE90F01">
      <w:pPr>
        <w:ind w:firstLine="600"/>
        <w:rPr>
          <w:rFonts w:hint="eastAsia" w:ascii="宋体" w:hAnsi="宋体" w:cs="宋体"/>
          <w:color w:val="auto"/>
          <w:szCs w:val="21"/>
          <w:highlight w:val="none"/>
        </w:rPr>
      </w:pPr>
      <w:r>
        <w:rPr>
          <w:rFonts w:hint="eastAsia" w:ascii="宋体" w:hAnsi="宋体" w:cs="宋体"/>
          <w:color w:val="auto"/>
          <w:szCs w:val="21"/>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03253930">
      <w:pPr>
        <w:pStyle w:val="87"/>
        <w:widowControl/>
        <w:numPr>
          <w:ilvl w:val="0"/>
          <w:numId w:val="0"/>
        </w:numPr>
        <w:spacing w:after="156"/>
        <w:rPr>
          <w:rFonts w:hint="eastAsia" w:ascii="宋体" w:hAnsi="宋体" w:eastAsia="宋体" w:cs="宋体"/>
          <w:b w:val="0"/>
          <w:bCs/>
          <w:color w:val="auto"/>
          <w:sz w:val="21"/>
          <w:szCs w:val="21"/>
          <w:highlight w:val="none"/>
        </w:rPr>
      </w:pPr>
      <w:bookmarkStart w:id="1996" w:name="_Ref532662486"/>
      <w:bookmarkStart w:id="1997" w:name="_Toc3016"/>
      <w:bookmarkStart w:id="1998" w:name="_Toc29074"/>
      <w:bookmarkStart w:id="1999" w:name="_Toc12497"/>
      <w:bookmarkStart w:id="2000" w:name="_Toc103175746"/>
      <w:bookmarkStart w:id="2001" w:name="_Ref532662491"/>
      <w:bookmarkStart w:id="2002" w:name="_Toc24958"/>
      <w:bookmarkStart w:id="2003" w:name="_Toc12670"/>
      <w:bookmarkStart w:id="2004" w:name="_Toc4542"/>
      <w:bookmarkStart w:id="2005" w:name="_Toc24002"/>
      <w:bookmarkStart w:id="2006" w:name="_Toc21328"/>
      <w:r>
        <w:rPr>
          <w:rFonts w:hint="eastAsia" w:ascii="宋体" w:hAnsi="宋体" w:eastAsia="宋体" w:cs="宋体"/>
          <w:b w:val="0"/>
          <w:bCs/>
          <w:color w:val="auto"/>
          <w:sz w:val="21"/>
          <w:szCs w:val="21"/>
          <w:highlight w:val="none"/>
        </w:rPr>
        <w:t>11.3 缺陷调查</w:t>
      </w:r>
      <w:bookmarkEnd w:id="1996"/>
      <w:bookmarkEnd w:id="1997"/>
      <w:bookmarkEnd w:id="1998"/>
      <w:bookmarkEnd w:id="1999"/>
      <w:bookmarkEnd w:id="2000"/>
      <w:bookmarkEnd w:id="2001"/>
      <w:bookmarkEnd w:id="2002"/>
      <w:bookmarkEnd w:id="2003"/>
      <w:bookmarkEnd w:id="2004"/>
      <w:bookmarkEnd w:id="2005"/>
      <w:bookmarkEnd w:id="2006"/>
    </w:p>
    <w:p w14:paraId="34FE5E05">
      <w:pPr>
        <w:pStyle w:val="88"/>
        <w:numPr>
          <w:ilvl w:val="0"/>
          <w:numId w:val="0"/>
        </w:numPr>
        <w:spacing w:after="156"/>
        <w:rPr>
          <w:rFonts w:hint="eastAsia" w:cs="宋体"/>
          <w:b/>
          <w:color w:val="auto"/>
          <w:sz w:val="21"/>
          <w:highlight w:val="none"/>
        </w:rPr>
      </w:pPr>
      <w:r>
        <w:rPr>
          <w:rFonts w:hint="eastAsia" w:cs="宋体"/>
          <w:color w:val="auto"/>
          <w:sz w:val="21"/>
          <w:highlight w:val="none"/>
        </w:rPr>
        <w:t>11.3.1 承包人缺陷调查</w:t>
      </w:r>
    </w:p>
    <w:p w14:paraId="00D1453B">
      <w:pPr>
        <w:ind w:firstLine="600"/>
        <w:rPr>
          <w:rFonts w:hint="eastAsia" w:ascii="宋体" w:hAnsi="宋体" w:cs="宋体"/>
          <w:color w:val="auto"/>
          <w:szCs w:val="21"/>
          <w:highlight w:val="none"/>
        </w:rPr>
      </w:pPr>
      <w:r>
        <w:rPr>
          <w:rFonts w:hint="eastAsia" w:ascii="宋体" w:hAnsi="宋体" w:cs="宋体"/>
          <w:color w:val="auto"/>
          <w:szCs w:val="21"/>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51DD8A97">
      <w:pPr>
        <w:ind w:firstLine="600"/>
        <w:rPr>
          <w:rFonts w:hint="eastAsia" w:ascii="宋体" w:hAnsi="宋体" w:cs="宋体"/>
          <w:color w:val="auto"/>
          <w:szCs w:val="21"/>
          <w:highlight w:val="none"/>
        </w:rPr>
      </w:pPr>
      <w:r>
        <w:rPr>
          <w:rFonts w:hint="eastAsia" w:ascii="宋体" w:hAnsi="宋体" w:cs="宋体"/>
          <w:color w:val="auto"/>
          <w:szCs w:val="21"/>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4B49C37B">
      <w:pPr>
        <w:pStyle w:val="88"/>
        <w:numPr>
          <w:ilvl w:val="0"/>
          <w:numId w:val="0"/>
        </w:numPr>
        <w:spacing w:after="156"/>
        <w:rPr>
          <w:rFonts w:hint="eastAsia" w:cs="宋体"/>
          <w:color w:val="auto"/>
          <w:sz w:val="21"/>
          <w:highlight w:val="none"/>
        </w:rPr>
      </w:pPr>
      <w:r>
        <w:rPr>
          <w:rFonts w:hint="eastAsia" w:cs="宋体"/>
          <w:color w:val="auto"/>
          <w:sz w:val="21"/>
          <w:highlight w:val="none"/>
        </w:rPr>
        <w:t>11.3.2 缺陷责任</w:t>
      </w:r>
    </w:p>
    <w:p w14:paraId="199C6078">
      <w:pPr>
        <w:ind w:firstLine="600"/>
        <w:rPr>
          <w:rFonts w:hint="eastAsia" w:ascii="宋体" w:hAnsi="宋体" w:cs="宋体"/>
          <w:color w:val="auto"/>
          <w:szCs w:val="21"/>
          <w:highlight w:val="none"/>
        </w:rPr>
      </w:pPr>
      <w:r>
        <w:rPr>
          <w:rFonts w:hint="eastAsia" w:ascii="宋体" w:hAnsi="宋体" w:cs="宋体"/>
          <w:color w:val="auto"/>
          <w:szCs w:val="21"/>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5F967E6B">
      <w:pPr>
        <w:pStyle w:val="88"/>
        <w:numPr>
          <w:ilvl w:val="0"/>
          <w:numId w:val="0"/>
        </w:numPr>
        <w:spacing w:after="156"/>
        <w:rPr>
          <w:rFonts w:hint="eastAsia" w:cs="宋体"/>
          <w:color w:val="auto"/>
          <w:sz w:val="21"/>
          <w:highlight w:val="none"/>
        </w:rPr>
      </w:pPr>
      <w:r>
        <w:rPr>
          <w:rFonts w:hint="eastAsia" w:cs="宋体"/>
          <w:color w:val="auto"/>
          <w:sz w:val="21"/>
          <w:highlight w:val="none"/>
        </w:rPr>
        <w:t>11.3.3 修复费用</w:t>
      </w:r>
    </w:p>
    <w:p w14:paraId="646F08E3">
      <w:pPr>
        <w:ind w:firstLine="600"/>
        <w:rPr>
          <w:rFonts w:hint="eastAsia" w:ascii="宋体" w:hAnsi="宋体" w:cs="宋体"/>
          <w:color w:val="auto"/>
          <w:szCs w:val="21"/>
          <w:highlight w:val="none"/>
        </w:rPr>
      </w:pPr>
      <w:r>
        <w:rPr>
          <w:rFonts w:hint="eastAsia" w:ascii="宋体" w:hAnsi="宋体" w:cs="宋体"/>
          <w:color w:val="auto"/>
          <w:szCs w:val="21"/>
          <w:highlight w:val="none"/>
        </w:rPr>
        <w:t>发包人和承包人应共同查清缺陷或损坏的原因。经查明属承包人原因造成的，应由承包人承担修复的费用。经查验非承包人原因造成的，发包人应承担修复的费用，并支付承包人合理利润。</w:t>
      </w:r>
    </w:p>
    <w:p w14:paraId="04766DBF">
      <w:pPr>
        <w:pStyle w:val="88"/>
        <w:numPr>
          <w:ilvl w:val="0"/>
          <w:numId w:val="0"/>
        </w:numPr>
        <w:spacing w:after="156"/>
        <w:rPr>
          <w:rFonts w:hint="eastAsia" w:cs="宋体"/>
          <w:color w:val="auto"/>
          <w:sz w:val="21"/>
          <w:highlight w:val="none"/>
        </w:rPr>
      </w:pPr>
      <w:bookmarkStart w:id="2007" w:name="_Ref531955041"/>
      <w:r>
        <w:rPr>
          <w:rFonts w:hint="eastAsia" w:cs="宋体"/>
          <w:color w:val="auto"/>
          <w:sz w:val="21"/>
          <w:highlight w:val="none"/>
        </w:rPr>
        <w:t>11.3.4 修复通知</w:t>
      </w:r>
      <w:bookmarkEnd w:id="2007"/>
    </w:p>
    <w:p w14:paraId="34A4E9A1">
      <w:pPr>
        <w:ind w:firstLine="600"/>
        <w:rPr>
          <w:rFonts w:hint="eastAsia" w:ascii="宋体" w:hAnsi="宋体" w:cs="宋体"/>
          <w:color w:val="auto"/>
          <w:szCs w:val="21"/>
          <w:highlight w:val="none"/>
        </w:rPr>
      </w:pPr>
      <w:r>
        <w:rPr>
          <w:rFonts w:hint="eastAsia" w:ascii="宋体" w:hAnsi="宋体" w:cs="宋体"/>
          <w:color w:val="auto"/>
          <w:szCs w:val="21"/>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03332EB1">
      <w:pPr>
        <w:pStyle w:val="88"/>
        <w:numPr>
          <w:ilvl w:val="0"/>
          <w:numId w:val="0"/>
        </w:numPr>
        <w:spacing w:after="156"/>
        <w:rPr>
          <w:rFonts w:hint="eastAsia" w:cs="宋体"/>
          <w:color w:val="auto"/>
          <w:sz w:val="21"/>
          <w:highlight w:val="none"/>
        </w:rPr>
      </w:pPr>
      <w:r>
        <w:rPr>
          <w:rFonts w:hint="eastAsia" w:cs="宋体"/>
          <w:color w:val="auto"/>
          <w:sz w:val="21"/>
          <w:highlight w:val="none"/>
        </w:rPr>
        <w:t>11.3.5 在现场外修复</w:t>
      </w:r>
    </w:p>
    <w:p w14:paraId="7187B981">
      <w:pPr>
        <w:ind w:firstLine="600"/>
        <w:rPr>
          <w:rFonts w:hint="eastAsia" w:ascii="宋体" w:hAnsi="宋体" w:cs="宋体"/>
          <w:color w:val="auto"/>
          <w:szCs w:val="21"/>
          <w:highlight w:val="none"/>
        </w:rPr>
      </w:pPr>
      <w:r>
        <w:rPr>
          <w:rFonts w:hint="eastAsia" w:ascii="宋体" w:hAnsi="宋体" w:cs="宋体"/>
          <w:color w:val="auto"/>
          <w:szCs w:val="21"/>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73252C3D">
      <w:pPr>
        <w:pStyle w:val="88"/>
        <w:numPr>
          <w:ilvl w:val="0"/>
          <w:numId w:val="0"/>
        </w:numPr>
        <w:spacing w:after="156"/>
        <w:rPr>
          <w:rFonts w:hint="eastAsia" w:cs="宋体"/>
          <w:color w:val="auto"/>
          <w:sz w:val="21"/>
          <w:highlight w:val="none"/>
        </w:rPr>
      </w:pPr>
      <w:bookmarkStart w:id="2008" w:name="_Ref4534291"/>
      <w:bookmarkStart w:id="2009" w:name="_Hlk51506786"/>
      <w:r>
        <w:rPr>
          <w:rFonts w:hint="eastAsia" w:cs="宋体"/>
          <w:color w:val="auto"/>
          <w:sz w:val="21"/>
          <w:highlight w:val="none"/>
        </w:rPr>
        <w:t>11.3.6 未能修复</w:t>
      </w:r>
      <w:bookmarkEnd w:id="2008"/>
    </w:p>
    <w:bookmarkEnd w:id="2009"/>
    <w:p w14:paraId="5DC15852">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09F4591">
      <w:pPr>
        <w:ind w:firstLine="600"/>
        <w:rPr>
          <w:rFonts w:hint="eastAsia" w:ascii="宋体" w:hAnsi="宋体" w:cs="宋体"/>
          <w:color w:val="auto"/>
          <w:szCs w:val="21"/>
          <w:highlight w:val="none"/>
        </w:rPr>
      </w:pPr>
      <w:r>
        <w:rPr>
          <w:rFonts w:hint="eastAsia" w:ascii="宋体" w:hAnsi="宋体" w:cs="宋体"/>
          <w:color w:val="auto"/>
          <w:szCs w:val="21"/>
          <w:highlight w:val="none"/>
        </w:rPr>
        <w:t>如果工程或工程设备的缺陷或损害使发包人实质上失去了工程的整体功能，发包人有权向承包人追回已支付的工程款项，并要求其赔偿发包人相应损失。</w:t>
      </w:r>
    </w:p>
    <w:bookmarkEnd w:id="1984"/>
    <w:bookmarkEnd w:id="1985"/>
    <w:bookmarkEnd w:id="1986"/>
    <w:p w14:paraId="789C4E88">
      <w:pPr>
        <w:pStyle w:val="87"/>
        <w:widowControl/>
        <w:numPr>
          <w:ilvl w:val="0"/>
          <w:numId w:val="0"/>
        </w:numPr>
        <w:spacing w:after="156"/>
        <w:rPr>
          <w:rFonts w:hint="eastAsia" w:ascii="宋体" w:hAnsi="宋体" w:eastAsia="宋体" w:cs="宋体"/>
          <w:b w:val="0"/>
          <w:bCs/>
          <w:color w:val="auto"/>
          <w:sz w:val="21"/>
          <w:szCs w:val="21"/>
          <w:highlight w:val="none"/>
        </w:rPr>
      </w:pPr>
      <w:bookmarkStart w:id="2010" w:name="_Toc6517"/>
      <w:bookmarkStart w:id="2011" w:name="_Toc650"/>
      <w:bookmarkStart w:id="2012" w:name="_Toc2580"/>
      <w:bookmarkStart w:id="2013" w:name="_Toc12134"/>
      <w:bookmarkStart w:id="2014" w:name="_Ref532662552"/>
      <w:bookmarkStart w:id="2015" w:name="_Toc19342"/>
      <w:bookmarkStart w:id="2016" w:name="_Toc4898"/>
      <w:bookmarkStart w:id="2017" w:name="_Toc12329"/>
      <w:bookmarkStart w:id="2018" w:name="_Toc103175747"/>
      <w:bookmarkStart w:id="2019" w:name="_Toc9683"/>
      <w:bookmarkStart w:id="2020" w:name="_Ref532662554"/>
      <w:r>
        <w:rPr>
          <w:rFonts w:hint="eastAsia" w:ascii="宋体" w:hAnsi="宋体" w:eastAsia="宋体" w:cs="宋体"/>
          <w:b w:val="0"/>
          <w:bCs/>
          <w:color w:val="auto"/>
          <w:sz w:val="21"/>
          <w:szCs w:val="21"/>
          <w:highlight w:val="none"/>
        </w:rPr>
        <w:t>11.4 缺陷修复后的进一步试验</w:t>
      </w:r>
      <w:bookmarkEnd w:id="2010"/>
      <w:bookmarkEnd w:id="2011"/>
      <w:bookmarkEnd w:id="2012"/>
      <w:bookmarkEnd w:id="2013"/>
      <w:bookmarkEnd w:id="2014"/>
      <w:bookmarkEnd w:id="2015"/>
      <w:bookmarkEnd w:id="2016"/>
      <w:bookmarkEnd w:id="2017"/>
      <w:bookmarkEnd w:id="2018"/>
      <w:bookmarkEnd w:id="2019"/>
      <w:bookmarkEnd w:id="2020"/>
    </w:p>
    <w:p w14:paraId="60FE7B5E">
      <w:pPr>
        <w:ind w:firstLine="600"/>
        <w:rPr>
          <w:rFonts w:hint="eastAsia" w:ascii="宋体" w:hAnsi="宋体" w:cs="宋体"/>
          <w:color w:val="auto"/>
          <w:szCs w:val="21"/>
          <w:highlight w:val="none"/>
        </w:rPr>
      </w:pPr>
      <w:r>
        <w:rPr>
          <w:rFonts w:hint="eastAsia" w:ascii="宋体" w:hAnsi="宋体" w:cs="宋体"/>
          <w:color w:val="auto"/>
          <w:szCs w:val="21"/>
          <w:highlight w:val="none"/>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517AC5A4">
      <w:pPr>
        <w:ind w:firstLine="600"/>
        <w:rPr>
          <w:rFonts w:hint="eastAsia" w:ascii="宋体" w:hAnsi="宋体" w:cs="宋体"/>
          <w:color w:val="auto"/>
          <w:szCs w:val="21"/>
          <w:highlight w:val="none"/>
        </w:rPr>
      </w:pPr>
      <w:r>
        <w:rPr>
          <w:rFonts w:hint="eastAsia" w:ascii="宋体" w:hAnsi="宋体" w:cs="宋体"/>
          <w:color w:val="auto"/>
          <w:szCs w:val="21"/>
          <w:highlight w:val="none"/>
        </w:rPr>
        <w:t>所有的重复试验应按照适用于先前试验的条款进行，但应由责任方承担修补工作的成本和重新试验的风险和费用。</w:t>
      </w:r>
    </w:p>
    <w:p w14:paraId="4E4EB9D1">
      <w:pPr>
        <w:pStyle w:val="87"/>
        <w:widowControl/>
        <w:numPr>
          <w:ilvl w:val="0"/>
          <w:numId w:val="0"/>
        </w:numPr>
        <w:spacing w:after="156"/>
        <w:rPr>
          <w:rFonts w:hint="eastAsia" w:ascii="宋体" w:hAnsi="宋体" w:eastAsia="宋体" w:cs="宋体"/>
          <w:b w:val="0"/>
          <w:bCs/>
          <w:color w:val="auto"/>
          <w:sz w:val="21"/>
          <w:szCs w:val="21"/>
          <w:highlight w:val="none"/>
        </w:rPr>
      </w:pPr>
      <w:bookmarkStart w:id="2021" w:name="_Toc23804"/>
      <w:bookmarkStart w:id="2022" w:name="_Toc13878"/>
      <w:bookmarkStart w:id="2023" w:name="_Toc103175748"/>
      <w:bookmarkStart w:id="2024" w:name="_Toc17382"/>
      <w:bookmarkStart w:id="2025" w:name="_Toc15312"/>
      <w:bookmarkStart w:id="2026" w:name="_Toc702"/>
      <w:bookmarkStart w:id="2027" w:name="_Toc21166"/>
      <w:bookmarkStart w:id="2028" w:name="_Toc19292"/>
      <w:r>
        <w:rPr>
          <w:rFonts w:hint="eastAsia" w:ascii="宋体" w:hAnsi="宋体" w:eastAsia="宋体" w:cs="宋体"/>
          <w:b w:val="0"/>
          <w:bCs/>
          <w:color w:val="auto"/>
          <w:sz w:val="21"/>
          <w:szCs w:val="21"/>
          <w:highlight w:val="none"/>
        </w:rPr>
        <w:t>11.5 承包人出入权</w:t>
      </w:r>
      <w:bookmarkEnd w:id="2021"/>
      <w:bookmarkEnd w:id="2022"/>
      <w:bookmarkEnd w:id="2023"/>
      <w:bookmarkEnd w:id="2024"/>
      <w:bookmarkEnd w:id="2025"/>
      <w:bookmarkEnd w:id="2026"/>
      <w:bookmarkEnd w:id="2027"/>
      <w:bookmarkEnd w:id="2028"/>
    </w:p>
    <w:p w14:paraId="4D055557">
      <w:pPr>
        <w:ind w:firstLine="600"/>
        <w:rPr>
          <w:rFonts w:hint="eastAsia" w:ascii="宋体" w:hAnsi="宋体" w:cs="宋体"/>
          <w:color w:val="auto"/>
          <w:szCs w:val="21"/>
          <w:highlight w:val="none"/>
        </w:rPr>
      </w:pPr>
      <w:r>
        <w:rPr>
          <w:rFonts w:hint="eastAsia" w:ascii="宋体" w:hAnsi="宋体" w:cs="宋体"/>
          <w:color w:val="auto"/>
          <w:szCs w:val="21"/>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61392AD4">
      <w:pPr>
        <w:pStyle w:val="87"/>
        <w:widowControl/>
        <w:numPr>
          <w:ilvl w:val="0"/>
          <w:numId w:val="0"/>
        </w:numPr>
        <w:spacing w:after="156"/>
        <w:rPr>
          <w:rFonts w:hint="eastAsia" w:ascii="宋体" w:hAnsi="宋体" w:eastAsia="宋体" w:cs="宋体"/>
          <w:b w:val="0"/>
          <w:bCs/>
          <w:color w:val="auto"/>
          <w:sz w:val="21"/>
          <w:szCs w:val="21"/>
          <w:highlight w:val="none"/>
        </w:rPr>
      </w:pPr>
      <w:bookmarkStart w:id="2029" w:name="_Toc103175749"/>
      <w:bookmarkStart w:id="2030" w:name="_Toc18552"/>
      <w:bookmarkStart w:id="2031" w:name="_Toc5000"/>
      <w:bookmarkStart w:id="2032" w:name="_Toc147"/>
      <w:bookmarkStart w:id="2033" w:name="_Ref4430229"/>
      <w:bookmarkStart w:id="2034" w:name="_Toc2263"/>
      <w:bookmarkStart w:id="2035" w:name="_Ref4430223"/>
      <w:bookmarkStart w:id="2036" w:name="_Toc10657"/>
      <w:bookmarkStart w:id="2037" w:name="_Toc1852"/>
      <w:bookmarkStart w:id="2038" w:name="_Toc6962"/>
      <w:bookmarkStart w:id="2039" w:name="_Toc7377"/>
      <w:r>
        <w:rPr>
          <w:rFonts w:hint="eastAsia" w:ascii="宋体" w:hAnsi="宋体" w:eastAsia="宋体" w:cs="宋体"/>
          <w:b w:val="0"/>
          <w:bCs/>
          <w:color w:val="auto"/>
          <w:sz w:val="21"/>
          <w:szCs w:val="21"/>
          <w:highlight w:val="none"/>
        </w:rPr>
        <w:t>11.6 缺陷责任期终止证书</w:t>
      </w:r>
      <w:bookmarkEnd w:id="2029"/>
      <w:bookmarkEnd w:id="2030"/>
      <w:bookmarkEnd w:id="2031"/>
      <w:bookmarkEnd w:id="2032"/>
      <w:bookmarkEnd w:id="2033"/>
      <w:bookmarkEnd w:id="2034"/>
      <w:bookmarkEnd w:id="2035"/>
      <w:bookmarkEnd w:id="2036"/>
      <w:bookmarkEnd w:id="2037"/>
      <w:bookmarkEnd w:id="2038"/>
      <w:bookmarkEnd w:id="2039"/>
    </w:p>
    <w:p w14:paraId="571889B2">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w:t>
      </w:r>
      <w:bookmarkStart w:id="2040" w:name="_Hlk4686672"/>
      <w:r>
        <w:rPr>
          <w:rFonts w:hint="eastAsia" w:ascii="宋体" w:hAnsi="宋体" w:cs="宋体"/>
          <w:color w:val="auto"/>
          <w:szCs w:val="21"/>
          <w:highlight w:val="none"/>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2040"/>
    </w:p>
    <w:p w14:paraId="0CE9919E">
      <w:pPr>
        <w:ind w:firstLine="600"/>
        <w:rPr>
          <w:rFonts w:hint="eastAsia" w:ascii="宋体" w:hAnsi="宋体" w:cs="宋体"/>
          <w:color w:val="auto"/>
          <w:szCs w:val="21"/>
          <w:highlight w:val="none"/>
        </w:rPr>
      </w:pPr>
      <w:r>
        <w:rPr>
          <w:rFonts w:hint="eastAsia" w:ascii="宋体" w:hAnsi="宋体" w:cs="宋体"/>
          <w:color w:val="auto"/>
          <w:szCs w:val="21"/>
          <w:highlight w:val="none"/>
        </w:rPr>
        <w:t>如根据第10.5.3项[人员撤离]承包人在施工现场还留有人员、施工设备和临时工程的，承包人应当在收到缺陷责任期终止证书后28天内，将上述人员、施工设备和临时工程撤离施工现场。</w:t>
      </w:r>
    </w:p>
    <w:p w14:paraId="39A77479">
      <w:pPr>
        <w:pStyle w:val="87"/>
        <w:widowControl/>
        <w:numPr>
          <w:ilvl w:val="0"/>
          <w:numId w:val="0"/>
        </w:numPr>
        <w:spacing w:after="156"/>
        <w:rPr>
          <w:rFonts w:hint="eastAsia" w:ascii="宋体" w:hAnsi="宋体" w:eastAsia="宋体" w:cs="宋体"/>
          <w:b w:val="0"/>
          <w:bCs/>
          <w:color w:val="auto"/>
          <w:sz w:val="21"/>
          <w:szCs w:val="21"/>
          <w:highlight w:val="none"/>
        </w:rPr>
      </w:pPr>
      <w:bookmarkStart w:id="2041" w:name="_Ref4430272"/>
      <w:bookmarkStart w:id="2042" w:name="_Toc103175750"/>
      <w:bookmarkStart w:id="2043" w:name="_Toc25033"/>
      <w:bookmarkStart w:id="2044" w:name="_Toc12159"/>
      <w:bookmarkStart w:id="2045" w:name="_Toc31133"/>
      <w:bookmarkStart w:id="2046" w:name="_Toc9146"/>
      <w:bookmarkStart w:id="2047" w:name="_Toc30751"/>
      <w:bookmarkStart w:id="2048" w:name="_Toc19657"/>
      <w:bookmarkStart w:id="2049" w:name="_Toc13135"/>
      <w:bookmarkStart w:id="2050" w:name="_Toc994"/>
      <w:r>
        <w:rPr>
          <w:rFonts w:hint="eastAsia" w:ascii="宋体" w:hAnsi="宋体" w:eastAsia="宋体" w:cs="宋体"/>
          <w:b w:val="0"/>
          <w:bCs/>
          <w:color w:val="auto"/>
          <w:sz w:val="21"/>
          <w:szCs w:val="21"/>
          <w:highlight w:val="none"/>
        </w:rPr>
        <w:t>11.7 保修责任</w:t>
      </w:r>
      <w:bookmarkEnd w:id="2041"/>
      <w:bookmarkEnd w:id="2042"/>
      <w:bookmarkEnd w:id="2043"/>
      <w:bookmarkEnd w:id="2044"/>
      <w:bookmarkEnd w:id="2045"/>
      <w:bookmarkEnd w:id="2046"/>
      <w:bookmarkEnd w:id="2047"/>
      <w:bookmarkEnd w:id="2048"/>
      <w:bookmarkEnd w:id="2049"/>
      <w:bookmarkEnd w:id="2050"/>
    </w:p>
    <w:p w14:paraId="127DB8B3">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因承包人原因导致的质量缺陷责任，由合同当事人根据有关法律规定，在专用合同条件和工程质量保修书中约定工程质量保修范围、期限和责任。</w:t>
      </w:r>
      <w:bookmarkEnd w:id="1639"/>
      <w:bookmarkStart w:id="2051" w:name="_Ref531957860"/>
      <w:bookmarkStart w:id="2052" w:name="_Ref531958289"/>
    </w:p>
    <w:bookmarkEnd w:id="2051"/>
    <w:p w14:paraId="426757F1">
      <w:pPr>
        <w:pStyle w:val="86"/>
        <w:numPr>
          <w:ilvl w:val="0"/>
          <w:numId w:val="0"/>
        </w:numPr>
        <w:rPr>
          <w:rFonts w:hint="eastAsia" w:ascii="宋体" w:hAnsi="宋体" w:eastAsia="宋体" w:cs="宋体"/>
          <w:b w:val="0"/>
          <w:color w:val="auto"/>
          <w:sz w:val="21"/>
          <w:szCs w:val="21"/>
          <w:highlight w:val="none"/>
        </w:rPr>
      </w:pPr>
      <w:bookmarkStart w:id="2053" w:name="_Ref4621057"/>
      <w:bookmarkStart w:id="2054" w:name="_Toc5603"/>
      <w:bookmarkStart w:id="2055" w:name="_Toc4069"/>
      <w:bookmarkStart w:id="2056" w:name="_Toc103175751"/>
      <w:bookmarkStart w:id="2057" w:name="_Toc22566"/>
      <w:bookmarkStart w:id="2058" w:name="_Toc8131"/>
      <w:bookmarkStart w:id="2059" w:name="_Ref4621065"/>
      <w:bookmarkStart w:id="2060" w:name="_Toc8130"/>
      <w:bookmarkStart w:id="2061" w:name="_Toc16973"/>
      <w:bookmarkStart w:id="2062" w:name="_Toc10847"/>
      <w:bookmarkStart w:id="2063" w:name="_Toc11356"/>
      <w:bookmarkStart w:id="2064" w:name="_Toc188"/>
      <w:bookmarkStart w:id="2065" w:name="_Toc21131"/>
      <w:bookmarkStart w:id="2066" w:name="_Ref4796955"/>
      <w:bookmarkStart w:id="2067" w:name="_Ref4796958"/>
      <w:r>
        <w:rPr>
          <w:rFonts w:hint="eastAsia" w:ascii="宋体" w:hAnsi="宋体" w:eastAsia="宋体" w:cs="宋体"/>
          <w:b w:val="0"/>
          <w:color w:val="auto"/>
          <w:sz w:val="21"/>
          <w:szCs w:val="21"/>
          <w:highlight w:val="none"/>
        </w:rPr>
        <w:t>第12条 竣工后试验</w:t>
      </w:r>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14:paraId="6B341605">
      <w:pPr>
        <w:ind w:firstLine="600"/>
        <w:rPr>
          <w:rFonts w:hint="eastAsia" w:ascii="宋体" w:hAnsi="宋体" w:cs="宋体"/>
          <w:color w:val="auto"/>
          <w:szCs w:val="21"/>
          <w:highlight w:val="none"/>
        </w:rPr>
      </w:pPr>
      <w:r>
        <w:rPr>
          <w:rFonts w:hint="eastAsia" w:ascii="宋体" w:hAnsi="宋体" w:cs="宋体"/>
          <w:color w:val="auto"/>
          <w:szCs w:val="21"/>
          <w:highlight w:val="none"/>
        </w:rPr>
        <w:t>本合同工程包含竣工后试验的，遵守本条约定。</w:t>
      </w:r>
    </w:p>
    <w:p w14:paraId="317A03AB">
      <w:pPr>
        <w:pStyle w:val="87"/>
        <w:widowControl/>
        <w:numPr>
          <w:ilvl w:val="0"/>
          <w:numId w:val="0"/>
        </w:numPr>
        <w:spacing w:after="156"/>
        <w:rPr>
          <w:rFonts w:hint="eastAsia" w:ascii="宋体" w:hAnsi="宋体" w:eastAsia="宋体" w:cs="宋体"/>
          <w:b w:val="0"/>
          <w:bCs/>
          <w:color w:val="auto"/>
          <w:sz w:val="21"/>
          <w:szCs w:val="21"/>
          <w:highlight w:val="none"/>
        </w:rPr>
      </w:pPr>
      <w:bookmarkStart w:id="2068" w:name="_Ref531954601"/>
      <w:bookmarkStart w:id="2069" w:name="_Ref531954604"/>
      <w:bookmarkStart w:id="2070" w:name="_Ref531954694"/>
      <w:bookmarkStart w:id="2071" w:name="_Toc4443"/>
      <w:bookmarkStart w:id="2072" w:name="_Toc103175752"/>
      <w:bookmarkStart w:id="2073" w:name="_Toc6245"/>
      <w:bookmarkStart w:id="2074" w:name="_Toc20388"/>
      <w:bookmarkStart w:id="2075" w:name="_Toc7870"/>
      <w:bookmarkStart w:id="2076" w:name="_Toc10788"/>
      <w:bookmarkStart w:id="2077" w:name="_Toc30220"/>
      <w:bookmarkStart w:id="2078" w:name="_Toc139"/>
      <w:bookmarkStart w:id="2079" w:name="_Toc8845"/>
      <w:bookmarkStart w:id="2080" w:name="_Hlk522259976"/>
      <w:r>
        <w:rPr>
          <w:rFonts w:hint="eastAsia" w:ascii="宋体" w:hAnsi="宋体" w:eastAsia="宋体" w:cs="宋体"/>
          <w:b w:val="0"/>
          <w:bCs/>
          <w:color w:val="auto"/>
          <w:sz w:val="21"/>
          <w:szCs w:val="21"/>
          <w:highlight w:val="none"/>
        </w:rPr>
        <w:t>12.1 竣工后试验</w:t>
      </w:r>
      <w:bookmarkEnd w:id="2068"/>
      <w:bookmarkEnd w:id="2069"/>
      <w:r>
        <w:rPr>
          <w:rFonts w:hint="eastAsia" w:ascii="宋体" w:hAnsi="宋体" w:eastAsia="宋体" w:cs="宋体"/>
          <w:b w:val="0"/>
          <w:bCs/>
          <w:color w:val="auto"/>
          <w:sz w:val="21"/>
          <w:szCs w:val="21"/>
          <w:highlight w:val="none"/>
        </w:rPr>
        <w:t>的程序</w:t>
      </w:r>
      <w:bookmarkEnd w:id="2070"/>
      <w:bookmarkEnd w:id="2071"/>
      <w:bookmarkEnd w:id="2072"/>
      <w:bookmarkEnd w:id="2073"/>
      <w:bookmarkEnd w:id="2074"/>
      <w:bookmarkEnd w:id="2075"/>
      <w:bookmarkEnd w:id="2076"/>
      <w:bookmarkEnd w:id="2077"/>
      <w:bookmarkEnd w:id="2078"/>
      <w:bookmarkEnd w:id="2079"/>
    </w:p>
    <w:p w14:paraId="7DFA4743">
      <w:pPr>
        <w:pStyle w:val="88"/>
        <w:numPr>
          <w:ilvl w:val="0"/>
          <w:numId w:val="0"/>
        </w:numPr>
        <w:spacing w:after="156"/>
        <w:rPr>
          <w:rFonts w:hint="eastAsia" w:cs="宋体"/>
          <w:color w:val="auto"/>
          <w:sz w:val="21"/>
          <w:highlight w:val="none"/>
        </w:rPr>
      </w:pPr>
      <w:bookmarkStart w:id="2081" w:name="_Ref11920184"/>
      <w:r>
        <w:rPr>
          <w:rFonts w:hint="eastAsia" w:cs="宋体"/>
          <w:color w:val="auto"/>
          <w:sz w:val="21"/>
          <w:highlight w:val="none"/>
        </w:rPr>
        <w:t>12.1.1 工程或区段工程被发包人接收后，在合理可行的情况下应根据合同约定尽早进行竣工后试验。</w:t>
      </w:r>
      <w:bookmarkEnd w:id="2081"/>
    </w:p>
    <w:p w14:paraId="46B3217C">
      <w:pPr>
        <w:pStyle w:val="88"/>
        <w:numPr>
          <w:ilvl w:val="0"/>
          <w:numId w:val="0"/>
        </w:numPr>
        <w:spacing w:after="156"/>
        <w:rPr>
          <w:rFonts w:hint="eastAsia" w:cs="宋体"/>
          <w:color w:val="auto"/>
          <w:sz w:val="21"/>
          <w:highlight w:val="none"/>
        </w:rPr>
      </w:pPr>
      <w:r>
        <w:rPr>
          <w:rFonts w:hint="eastAsia" w:cs="宋体"/>
          <w:color w:val="auto"/>
          <w:sz w:val="21"/>
          <w:highlight w:val="none"/>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034EE3D1">
      <w:pPr>
        <w:pStyle w:val="88"/>
        <w:numPr>
          <w:ilvl w:val="0"/>
          <w:numId w:val="0"/>
        </w:numPr>
        <w:spacing w:after="156"/>
        <w:rPr>
          <w:rFonts w:hint="eastAsia" w:cs="宋体"/>
          <w:color w:val="auto"/>
          <w:sz w:val="21"/>
          <w:highlight w:val="none"/>
        </w:rPr>
      </w:pPr>
      <w:bookmarkStart w:id="2082" w:name="_Ref11920162"/>
      <w:r>
        <w:rPr>
          <w:rFonts w:hint="eastAsia" w:cs="宋体"/>
          <w:color w:val="auto"/>
          <w:sz w:val="21"/>
          <w:highlight w:val="none"/>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2082"/>
    </w:p>
    <w:p w14:paraId="35215C0B">
      <w:pPr>
        <w:pStyle w:val="88"/>
        <w:numPr>
          <w:ilvl w:val="0"/>
          <w:numId w:val="0"/>
        </w:numPr>
        <w:spacing w:after="156"/>
        <w:rPr>
          <w:rFonts w:hint="eastAsia" w:cs="宋体"/>
          <w:color w:val="auto"/>
          <w:sz w:val="21"/>
          <w:highlight w:val="none"/>
        </w:rPr>
      </w:pPr>
      <w:bookmarkStart w:id="2083" w:name="_Ref11920146"/>
      <w:r>
        <w:rPr>
          <w:rFonts w:hint="eastAsia" w:cs="宋体"/>
          <w:color w:val="auto"/>
          <w:sz w:val="21"/>
          <w:highlight w:val="none"/>
        </w:rPr>
        <w:t>12.1.4 发包人应根据《发包人要求》、承包人按照第5.5款</w:t>
      </w:r>
      <w:bookmarkStart w:id="2084" w:name="_Hlk18943978"/>
      <w:r>
        <w:rPr>
          <w:rFonts w:hint="eastAsia" w:cs="宋体"/>
          <w:color w:val="auto"/>
          <w:sz w:val="21"/>
          <w:highlight w:val="none"/>
        </w:rPr>
        <w:t>[操作和维修手册]</w:t>
      </w:r>
      <w:bookmarkEnd w:id="2084"/>
      <w:r>
        <w:rPr>
          <w:rFonts w:hint="eastAsia" w:cs="宋体"/>
          <w:color w:val="auto"/>
          <w:sz w:val="21"/>
          <w:highlight w:val="none"/>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2083"/>
    </w:p>
    <w:p w14:paraId="2BF0D8DF">
      <w:pPr>
        <w:pStyle w:val="88"/>
        <w:numPr>
          <w:ilvl w:val="0"/>
          <w:numId w:val="0"/>
        </w:numPr>
        <w:spacing w:after="156"/>
        <w:rPr>
          <w:rFonts w:hint="eastAsia" w:cs="宋体"/>
          <w:color w:val="auto"/>
          <w:sz w:val="21"/>
          <w:highlight w:val="none"/>
        </w:rPr>
      </w:pPr>
      <w:r>
        <w:rPr>
          <w:rFonts w:hint="eastAsia" w:cs="宋体"/>
          <w:color w:val="auto"/>
          <w:sz w:val="21"/>
          <w:highlight w:val="none"/>
        </w:rPr>
        <w:t>12.1.5 竣工后试验的结果应由双方进行整理和评价，并应适当考虑发包人对工程或其任何部分的使用，对工程或区段工程的性能、特性和试验结果产生的影响。</w:t>
      </w:r>
    </w:p>
    <w:p w14:paraId="02E208A4">
      <w:pPr>
        <w:pStyle w:val="87"/>
        <w:widowControl/>
        <w:numPr>
          <w:ilvl w:val="0"/>
          <w:numId w:val="0"/>
        </w:numPr>
        <w:spacing w:after="156"/>
        <w:rPr>
          <w:rFonts w:hint="eastAsia" w:ascii="宋体" w:hAnsi="宋体" w:eastAsia="宋体" w:cs="宋体"/>
          <w:b w:val="0"/>
          <w:bCs/>
          <w:color w:val="auto"/>
          <w:sz w:val="21"/>
          <w:szCs w:val="21"/>
          <w:highlight w:val="none"/>
        </w:rPr>
      </w:pPr>
      <w:bookmarkStart w:id="2085" w:name="_Toc23187"/>
      <w:bookmarkStart w:id="2086" w:name="_Toc19799"/>
      <w:bookmarkStart w:id="2087" w:name="_Toc103175753"/>
      <w:bookmarkStart w:id="2088" w:name="_Ref531954785"/>
      <w:bookmarkStart w:id="2089" w:name="_Toc19337"/>
      <w:bookmarkStart w:id="2090" w:name="_Toc17204"/>
      <w:bookmarkStart w:id="2091" w:name="_Ref531954781"/>
      <w:bookmarkStart w:id="2092" w:name="_Toc7946"/>
      <w:bookmarkStart w:id="2093" w:name="_Toc20444"/>
      <w:bookmarkStart w:id="2094" w:name="_Toc5822"/>
      <w:bookmarkStart w:id="2095" w:name="_Toc588"/>
      <w:r>
        <w:rPr>
          <w:rFonts w:hint="eastAsia" w:ascii="宋体" w:hAnsi="宋体" w:eastAsia="宋体" w:cs="宋体"/>
          <w:b w:val="0"/>
          <w:bCs/>
          <w:color w:val="auto"/>
          <w:sz w:val="21"/>
          <w:szCs w:val="21"/>
          <w:highlight w:val="none"/>
        </w:rPr>
        <w:t>12.2 延误的试验</w:t>
      </w:r>
      <w:bookmarkEnd w:id="2085"/>
      <w:bookmarkEnd w:id="2086"/>
      <w:bookmarkEnd w:id="2087"/>
      <w:bookmarkEnd w:id="2088"/>
      <w:bookmarkEnd w:id="2089"/>
      <w:bookmarkEnd w:id="2090"/>
      <w:bookmarkEnd w:id="2091"/>
      <w:bookmarkEnd w:id="2092"/>
      <w:bookmarkEnd w:id="2093"/>
      <w:bookmarkEnd w:id="2094"/>
      <w:bookmarkEnd w:id="2095"/>
      <w:r>
        <w:rPr>
          <w:rFonts w:hint="eastAsia" w:ascii="宋体" w:hAnsi="宋体" w:eastAsia="宋体" w:cs="宋体"/>
          <w:b w:val="0"/>
          <w:bCs/>
          <w:color w:val="auto"/>
          <w:sz w:val="21"/>
          <w:szCs w:val="21"/>
          <w:highlight w:val="none"/>
        </w:rPr>
        <w:t xml:space="preserve"> </w:t>
      </w:r>
    </w:p>
    <w:p w14:paraId="677454C4">
      <w:pPr>
        <w:pStyle w:val="88"/>
        <w:numPr>
          <w:ilvl w:val="0"/>
          <w:numId w:val="0"/>
        </w:numPr>
        <w:spacing w:after="156"/>
        <w:rPr>
          <w:rFonts w:hint="eastAsia" w:cs="宋体"/>
          <w:color w:val="auto"/>
          <w:sz w:val="21"/>
          <w:highlight w:val="none"/>
        </w:rPr>
      </w:pPr>
      <w:r>
        <w:rPr>
          <w:rFonts w:hint="eastAsia" w:cs="宋体"/>
          <w:color w:val="auto"/>
          <w:sz w:val="21"/>
          <w:highlight w:val="none"/>
        </w:rPr>
        <w:t>12.2.1 如果竣工后试验因发包人原因被延误的，发包人应承担承包人由此增加的费用并支付承包人合理利润。</w:t>
      </w:r>
    </w:p>
    <w:p w14:paraId="7FE5A1C4">
      <w:pPr>
        <w:pStyle w:val="88"/>
        <w:numPr>
          <w:ilvl w:val="0"/>
          <w:numId w:val="0"/>
        </w:numPr>
        <w:spacing w:after="156"/>
        <w:rPr>
          <w:rFonts w:hint="eastAsia" w:cs="宋体"/>
          <w:color w:val="auto"/>
          <w:sz w:val="21"/>
          <w:highlight w:val="none"/>
        </w:rPr>
      </w:pPr>
      <w:r>
        <w:rPr>
          <w:rFonts w:hint="eastAsia" w:cs="宋体"/>
          <w:color w:val="auto"/>
          <w:sz w:val="21"/>
          <w:highlight w:val="none"/>
        </w:rPr>
        <w:t>12.2.2 如果因承包人以外的原因，导致竣工后试验未能在缺陷责任期或双方另行同意的其他期限内完成，则相关工程或区段工程应视为已通过该竣工后试验。</w:t>
      </w:r>
    </w:p>
    <w:p w14:paraId="0C8D00C7">
      <w:pPr>
        <w:pStyle w:val="87"/>
        <w:widowControl/>
        <w:numPr>
          <w:ilvl w:val="0"/>
          <w:numId w:val="0"/>
        </w:numPr>
        <w:spacing w:after="156"/>
        <w:rPr>
          <w:rFonts w:hint="eastAsia" w:ascii="宋体" w:hAnsi="宋体" w:eastAsia="宋体" w:cs="宋体"/>
          <w:b w:val="0"/>
          <w:bCs/>
          <w:color w:val="auto"/>
          <w:sz w:val="21"/>
          <w:szCs w:val="21"/>
          <w:highlight w:val="none"/>
        </w:rPr>
      </w:pPr>
      <w:bookmarkStart w:id="2096" w:name="_Toc12558"/>
      <w:bookmarkStart w:id="2097" w:name="_Toc28256"/>
      <w:bookmarkStart w:id="2098" w:name="_Toc16552"/>
      <w:bookmarkStart w:id="2099" w:name="_Toc22759"/>
      <w:bookmarkStart w:id="2100" w:name="_Toc24873"/>
      <w:bookmarkStart w:id="2101" w:name="_Toc17524"/>
      <w:bookmarkStart w:id="2102" w:name="_Toc103175754"/>
      <w:bookmarkStart w:id="2103" w:name="_Toc25520"/>
      <w:r>
        <w:rPr>
          <w:rFonts w:hint="eastAsia" w:ascii="宋体" w:hAnsi="宋体" w:eastAsia="宋体" w:cs="宋体"/>
          <w:b w:val="0"/>
          <w:bCs/>
          <w:color w:val="auto"/>
          <w:sz w:val="21"/>
          <w:szCs w:val="21"/>
          <w:highlight w:val="none"/>
        </w:rPr>
        <w:t>12.3 重新试验</w:t>
      </w:r>
      <w:bookmarkEnd w:id="2096"/>
      <w:bookmarkEnd w:id="2097"/>
      <w:bookmarkEnd w:id="2098"/>
      <w:bookmarkEnd w:id="2099"/>
      <w:bookmarkEnd w:id="2100"/>
      <w:bookmarkEnd w:id="2101"/>
      <w:bookmarkEnd w:id="2102"/>
      <w:bookmarkEnd w:id="2103"/>
    </w:p>
    <w:p w14:paraId="6C15A289">
      <w:pPr>
        <w:ind w:firstLine="600"/>
        <w:rPr>
          <w:rFonts w:hint="eastAsia" w:ascii="宋体" w:hAnsi="宋体" w:cs="宋体"/>
          <w:color w:val="auto"/>
          <w:szCs w:val="21"/>
          <w:highlight w:val="none"/>
        </w:rPr>
      </w:pPr>
      <w:r>
        <w:rPr>
          <w:rFonts w:hint="eastAsia" w:ascii="宋体" w:hAnsi="宋体" w:cs="宋体"/>
          <w:color w:val="auto"/>
          <w:szCs w:val="21"/>
          <w:highlight w:val="none"/>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2080"/>
    <w:p w14:paraId="1BDDCB9C">
      <w:pPr>
        <w:pStyle w:val="87"/>
        <w:widowControl/>
        <w:numPr>
          <w:ilvl w:val="0"/>
          <w:numId w:val="0"/>
        </w:numPr>
        <w:spacing w:after="156"/>
        <w:rPr>
          <w:rFonts w:hint="eastAsia" w:ascii="宋体" w:hAnsi="宋体" w:eastAsia="宋体" w:cs="宋体"/>
          <w:b w:val="0"/>
          <w:bCs/>
          <w:color w:val="auto"/>
          <w:sz w:val="21"/>
          <w:szCs w:val="21"/>
          <w:highlight w:val="none"/>
        </w:rPr>
      </w:pPr>
      <w:bookmarkStart w:id="2104" w:name="_Toc103175755"/>
      <w:bookmarkStart w:id="2105" w:name="_Toc20762"/>
      <w:bookmarkStart w:id="2106" w:name="_Toc27596"/>
      <w:bookmarkStart w:id="2107" w:name="_Toc14102"/>
      <w:bookmarkStart w:id="2108" w:name="_Toc29344"/>
      <w:bookmarkStart w:id="2109" w:name="_Toc16136"/>
      <w:bookmarkStart w:id="2110" w:name="_Ref531954811"/>
      <w:bookmarkStart w:id="2111" w:name="_Toc22192"/>
      <w:bookmarkStart w:id="2112" w:name="_Ref531954819"/>
      <w:bookmarkStart w:id="2113" w:name="_Toc19434"/>
      <w:r>
        <w:rPr>
          <w:rFonts w:hint="eastAsia" w:ascii="宋体" w:hAnsi="宋体" w:eastAsia="宋体" w:cs="宋体"/>
          <w:b w:val="0"/>
          <w:bCs/>
          <w:color w:val="auto"/>
          <w:sz w:val="21"/>
          <w:szCs w:val="21"/>
          <w:highlight w:val="none"/>
        </w:rPr>
        <w:t>12.4 未能通过竣工后试验</w:t>
      </w:r>
      <w:bookmarkEnd w:id="2104"/>
      <w:bookmarkEnd w:id="2105"/>
      <w:bookmarkEnd w:id="2106"/>
      <w:bookmarkEnd w:id="2107"/>
      <w:bookmarkEnd w:id="2108"/>
      <w:bookmarkEnd w:id="2109"/>
      <w:bookmarkEnd w:id="2110"/>
      <w:bookmarkEnd w:id="2111"/>
      <w:bookmarkEnd w:id="2112"/>
      <w:bookmarkEnd w:id="2113"/>
    </w:p>
    <w:p w14:paraId="4A8145F4">
      <w:pPr>
        <w:pStyle w:val="88"/>
        <w:numPr>
          <w:ilvl w:val="0"/>
          <w:numId w:val="0"/>
        </w:numPr>
        <w:spacing w:after="156"/>
        <w:rPr>
          <w:rFonts w:hint="eastAsia" w:cs="宋体"/>
          <w:color w:val="auto"/>
          <w:sz w:val="21"/>
          <w:highlight w:val="none"/>
        </w:rPr>
      </w:pPr>
      <w:bookmarkStart w:id="2114" w:name="_Ref531954829"/>
      <w:r>
        <w:rPr>
          <w:rFonts w:hint="eastAsia" w:cs="宋体"/>
          <w:color w:val="auto"/>
          <w:sz w:val="21"/>
          <w:highlight w:val="none"/>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2114"/>
    </w:p>
    <w:p w14:paraId="2C767BED">
      <w:pPr>
        <w:pStyle w:val="88"/>
        <w:numPr>
          <w:ilvl w:val="0"/>
          <w:numId w:val="0"/>
        </w:numPr>
        <w:spacing w:after="156"/>
        <w:rPr>
          <w:rFonts w:hint="eastAsia" w:cs="宋体"/>
          <w:color w:val="auto"/>
          <w:sz w:val="21"/>
          <w:highlight w:val="none"/>
        </w:rPr>
      </w:pPr>
      <w:r>
        <w:rPr>
          <w:rFonts w:hint="eastAsia" w:cs="宋体"/>
          <w:color w:val="auto"/>
          <w:sz w:val="21"/>
          <w:highlight w:val="none"/>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46CAC273">
      <w:pPr>
        <w:pStyle w:val="88"/>
        <w:numPr>
          <w:ilvl w:val="0"/>
          <w:numId w:val="0"/>
        </w:numPr>
        <w:spacing w:after="156"/>
        <w:rPr>
          <w:rFonts w:hint="eastAsia" w:cs="宋体"/>
          <w:color w:val="auto"/>
          <w:sz w:val="21"/>
          <w:highlight w:val="none"/>
        </w:rPr>
      </w:pPr>
      <w:r>
        <w:rPr>
          <w:rFonts w:hint="eastAsia" w:cs="宋体"/>
          <w:color w:val="auto"/>
          <w:sz w:val="21"/>
          <w:highlight w:val="none"/>
        </w:rPr>
        <w:t>12.4.3 发包人无故拖延给予承包人进行调查、调整或修补所需的进入工程或区段工程的许可，并造成承包人费用增加的，应承担由此增加的费用并支付承包人合理利润。</w:t>
      </w:r>
    </w:p>
    <w:p w14:paraId="02F5A159">
      <w:pPr>
        <w:pStyle w:val="86"/>
        <w:numPr>
          <w:ilvl w:val="0"/>
          <w:numId w:val="0"/>
        </w:numPr>
        <w:rPr>
          <w:rFonts w:hint="eastAsia" w:ascii="宋体" w:hAnsi="宋体" w:eastAsia="宋体" w:cs="宋体"/>
          <w:b w:val="0"/>
          <w:color w:val="auto"/>
          <w:sz w:val="21"/>
          <w:szCs w:val="21"/>
          <w:highlight w:val="none"/>
        </w:rPr>
      </w:pPr>
      <w:bookmarkStart w:id="2115" w:name="_Ref4415801"/>
      <w:bookmarkStart w:id="2116" w:name="_Toc10628"/>
      <w:bookmarkStart w:id="2117" w:name="_Toc25361"/>
      <w:bookmarkStart w:id="2118" w:name="_Toc21117"/>
      <w:bookmarkStart w:id="2119" w:name="_Toc30540"/>
      <w:bookmarkStart w:id="2120" w:name="_Toc14798"/>
      <w:bookmarkStart w:id="2121" w:name="_Toc27905"/>
      <w:bookmarkStart w:id="2122" w:name="_Toc21416"/>
      <w:bookmarkStart w:id="2123" w:name="_Toc6054"/>
      <w:bookmarkStart w:id="2124" w:name="_Toc17501"/>
      <w:bookmarkStart w:id="2125" w:name="_Toc2733"/>
      <w:bookmarkStart w:id="2126" w:name="_Toc103175756"/>
      <w:r>
        <w:rPr>
          <w:rFonts w:hint="eastAsia" w:ascii="宋体" w:hAnsi="宋体" w:eastAsia="宋体" w:cs="宋体"/>
          <w:b w:val="0"/>
          <w:color w:val="auto"/>
          <w:sz w:val="21"/>
          <w:szCs w:val="21"/>
          <w:highlight w:val="none"/>
        </w:rPr>
        <w:t>第13条 变更与调整</w:t>
      </w:r>
      <w:bookmarkEnd w:id="2115"/>
      <w:bookmarkEnd w:id="2116"/>
      <w:bookmarkEnd w:id="2117"/>
      <w:bookmarkEnd w:id="2118"/>
      <w:bookmarkEnd w:id="2119"/>
      <w:bookmarkEnd w:id="2120"/>
      <w:bookmarkEnd w:id="2121"/>
      <w:bookmarkEnd w:id="2122"/>
      <w:bookmarkEnd w:id="2123"/>
      <w:bookmarkEnd w:id="2124"/>
      <w:bookmarkEnd w:id="2125"/>
      <w:bookmarkEnd w:id="2126"/>
    </w:p>
    <w:p w14:paraId="569F1300">
      <w:pPr>
        <w:pStyle w:val="87"/>
        <w:widowControl/>
        <w:numPr>
          <w:ilvl w:val="0"/>
          <w:numId w:val="0"/>
        </w:numPr>
        <w:spacing w:after="156"/>
        <w:rPr>
          <w:rFonts w:hint="eastAsia" w:ascii="宋体" w:hAnsi="宋体" w:eastAsia="宋体" w:cs="宋体"/>
          <w:b w:val="0"/>
          <w:bCs/>
          <w:color w:val="auto"/>
          <w:sz w:val="21"/>
          <w:szCs w:val="21"/>
          <w:highlight w:val="none"/>
        </w:rPr>
      </w:pPr>
      <w:bookmarkStart w:id="2127" w:name="_Toc11816"/>
      <w:bookmarkStart w:id="2128" w:name="_Ref532677084"/>
      <w:bookmarkStart w:id="2129" w:name="_Toc6971"/>
      <w:bookmarkStart w:id="2130" w:name="_Toc24013"/>
      <w:bookmarkStart w:id="2131" w:name="_Toc30999"/>
      <w:bookmarkStart w:id="2132" w:name="_Toc103175757"/>
      <w:bookmarkStart w:id="2133" w:name="_Ref532668573"/>
      <w:bookmarkStart w:id="2134" w:name="_Toc18218"/>
      <w:bookmarkStart w:id="2135" w:name="_Toc24554"/>
      <w:bookmarkStart w:id="2136" w:name="_Toc10013"/>
      <w:bookmarkStart w:id="2137" w:name="_Ref532677087"/>
      <w:bookmarkStart w:id="2138" w:name="_Ref532670393"/>
      <w:bookmarkStart w:id="2139" w:name="_Ref532668569"/>
      <w:bookmarkStart w:id="2140" w:name="_Ref532670395"/>
      <w:bookmarkStart w:id="2141" w:name="_Toc32313"/>
      <w:r>
        <w:rPr>
          <w:rFonts w:hint="eastAsia" w:ascii="宋体" w:hAnsi="宋体" w:eastAsia="宋体" w:cs="宋体"/>
          <w:b w:val="0"/>
          <w:bCs/>
          <w:color w:val="auto"/>
          <w:sz w:val="21"/>
          <w:szCs w:val="21"/>
          <w:highlight w:val="none"/>
        </w:rPr>
        <w:t>13.1 发包人变更权</w:t>
      </w:r>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r>
        <w:rPr>
          <w:rFonts w:hint="eastAsia" w:ascii="宋体" w:hAnsi="宋体" w:eastAsia="宋体" w:cs="宋体"/>
          <w:b w:val="0"/>
          <w:bCs/>
          <w:color w:val="auto"/>
          <w:sz w:val="21"/>
          <w:szCs w:val="21"/>
          <w:highlight w:val="none"/>
        </w:rPr>
        <w:t xml:space="preserve"> </w:t>
      </w:r>
    </w:p>
    <w:p w14:paraId="3EE77F79">
      <w:pPr>
        <w:pStyle w:val="88"/>
        <w:numPr>
          <w:ilvl w:val="0"/>
          <w:numId w:val="0"/>
        </w:numPr>
        <w:spacing w:after="156"/>
        <w:rPr>
          <w:rFonts w:hint="eastAsia" w:cs="宋体"/>
          <w:color w:val="auto"/>
          <w:sz w:val="21"/>
          <w:highlight w:val="none"/>
        </w:rPr>
      </w:pPr>
      <w:bookmarkStart w:id="2142" w:name="_Ref4534979"/>
      <w:r>
        <w:rPr>
          <w:rFonts w:hint="eastAsia" w:cs="宋体"/>
          <w:color w:val="auto"/>
          <w:sz w:val="21"/>
          <w:highlight w:val="none"/>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2142"/>
      <w:r>
        <w:rPr>
          <w:rFonts w:hint="eastAsia" w:cs="宋体"/>
          <w:color w:val="auto"/>
          <w:sz w:val="21"/>
          <w:highlight w:val="none"/>
        </w:rPr>
        <w:t>发包人与承包人对某项指示或批准是否构成变更产生争议的，按第20条[争议解决]处理。</w:t>
      </w:r>
    </w:p>
    <w:p w14:paraId="0EB87DBE">
      <w:pPr>
        <w:pStyle w:val="88"/>
        <w:numPr>
          <w:ilvl w:val="0"/>
          <w:numId w:val="0"/>
        </w:numPr>
        <w:spacing w:after="156"/>
        <w:rPr>
          <w:rFonts w:hint="eastAsia" w:cs="宋体"/>
          <w:color w:val="auto"/>
          <w:sz w:val="21"/>
          <w:highlight w:val="none"/>
        </w:rPr>
      </w:pPr>
      <w:r>
        <w:rPr>
          <w:rFonts w:hint="eastAsia" w:cs="宋体"/>
          <w:color w:val="auto"/>
          <w:sz w:val="21"/>
          <w:highlight w:val="none"/>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14:paraId="55BFBB2D">
      <w:pPr>
        <w:pStyle w:val="87"/>
        <w:widowControl/>
        <w:numPr>
          <w:ilvl w:val="0"/>
          <w:numId w:val="0"/>
        </w:numPr>
        <w:spacing w:after="156"/>
        <w:rPr>
          <w:rFonts w:hint="eastAsia" w:ascii="宋体" w:hAnsi="宋体" w:eastAsia="宋体" w:cs="宋体"/>
          <w:b w:val="0"/>
          <w:bCs/>
          <w:color w:val="auto"/>
          <w:sz w:val="21"/>
          <w:szCs w:val="21"/>
          <w:highlight w:val="none"/>
        </w:rPr>
      </w:pPr>
      <w:bookmarkStart w:id="2143" w:name="_Ref531955587"/>
      <w:bookmarkStart w:id="2144" w:name="_Ref531955590"/>
      <w:bookmarkStart w:id="2145" w:name="_Toc1980"/>
      <w:bookmarkStart w:id="2146" w:name="_Toc28382"/>
      <w:bookmarkStart w:id="2147" w:name="_Ref4623207"/>
      <w:bookmarkStart w:id="2148" w:name="_Toc18066"/>
      <w:bookmarkStart w:id="2149" w:name="_Toc20831"/>
      <w:bookmarkStart w:id="2150" w:name="_Toc456"/>
      <w:bookmarkStart w:id="2151" w:name="_Toc2147"/>
      <w:bookmarkStart w:id="2152" w:name="_Toc103175758"/>
      <w:bookmarkStart w:id="2153" w:name="_Toc7294"/>
      <w:r>
        <w:rPr>
          <w:rFonts w:hint="eastAsia" w:ascii="宋体" w:hAnsi="宋体" w:eastAsia="宋体" w:cs="宋体"/>
          <w:b w:val="0"/>
          <w:bCs/>
          <w:color w:val="auto"/>
          <w:sz w:val="21"/>
          <w:szCs w:val="21"/>
          <w:highlight w:val="none"/>
        </w:rPr>
        <w:t>13.2 承</w:t>
      </w:r>
      <w:bookmarkEnd w:id="2143"/>
      <w:bookmarkEnd w:id="2144"/>
      <w:r>
        <w:rPr>
          <w:rFonts w:hint="eastAsia" w:ascii="宋体" w:hAnsi="宋体" w:eastAsia="宋体" w:cs="宋体"/>
          <w:b w:val="0"/>
          <w:bCs/>
          <w:color w:val="auto"/>
          <w:sz w:val="21"/>
          <w:szCs w:val="21"/>
          <w:highlight w:val="none"/>
        </w:rPr>
        <w:t>包人的合理化建议</w:t>
      </w:r>
      <w:bookmarkEnd w:id="2145"/>
      <w:bookmarkEnd w:id="2146"/>
      <w:bookmarkEnd w:id="2147"/>
      <w:bookmarkEnd w:id="2148"/>
      <w:bookmarkEnd w:id="2149"/>
      <w:bookmarkEnd w:id="2150"/>
      <w:bookmarkEnd w:id="2151"/>
      <w:bookmarkEnd w:id="2152"/>
      <w:bookmarkEnd w:id="2153"/>
    </w:p>
    <w:p w14:paraId="449225BD">
      <w:pPr>
        <w:pStyle w:val="88"/>
        <w:numPr>
          <w:ilvl w:val="0"/>
          <w:numId w:val="0"/>
        </w:numPr>
        <w:spacing w:after="156"/>
        <w:rPr>
          <w:rFonts w:hint="eastAsia" w:cs="宋体"/>
          <w:color w:val="auto"/>
          <w:sz w:val="21"/>
          <w:highlight w:val="none"/>
        </w:rPr>
      </w:pPr>
      <w:r>
        <w:rPr>
          <w:rFonts w:hint="eastAsia" w:cs="宋体"/>
          <w:color w:val="auto"/>
          <w:sz w:val="21"/>
          <w:highlight w:val="none"/>
        </w:rPr>
        <w:t>13.2.1 承包人提出合理化建议的，应向工程师提交合理化建议说明，说明建议的内容、理由以及实施该建议对合同价格和工期的影响。</w:t>
      </w:r>
    </w:p>
    <w:p w14:paraId="3B8E7FFD">
      <w:pPr>
        <w:pStyle w:val="88"/>
        <w:numPr>
          <w:ilvl w:val="0"/>
          <w:numId w:val="0"/>
        </w:numPr>
        <w:spacing w:after="156"/>
        <w:rPr>
          <w:rFonts w:hint="eastAsia" w:cs="宋体"/>
          <w:color w:val="auto"/>
          <w:sz w:val="21"/>
          <w:highlight w:val="none"/>
        </w:rPr>
      </w:pPr>
      <w:bookmarkStart w:id="2154" w:name="_Ref4681686"/>
      <w:r>
        <w:rPr>
          <w:rFonts w:hint="eastAsia" w:cs="宋体"/>
          <w:color w:val="auto"/>
          <w:sz w:val="21"/>
          <w:highlight w:val="none"/>
        </w:rPr>
        <w:t>13.2.2 除专用合同条件另有约定外，</w:t>
      </w:r>
      <w:bookmarkStart w:id="2155" w:name="_Hlk4682273"/>
      <w:r>
        <w:rPr>
          <w:rFonts w:hint="eastAsia" w:cs="宋体"/>
          <w:color w:val="auto"/>
          <w:sz w:val="21"/>
          <w:highlight w:val="none"/>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2154"/>
      <w:r>
        <w:rPr>
          <w:rFonts w:hint="eastAsia" w:cs="宋体"/>
          <w:color w:val="auto"/>
          <w:sz w:val="21"/>
          <w:highlight w:val="none"/>
        </w:rPr>
        <w:t>。</w:t>
      </w:r>
    </w:p>
    <w:p w14:paraId="4A98430F">
      <w:pPr>
        <w:pStyle w:val="88"/>
        <w:numPr>
          <w:ilvl w:val="0"/>
          <w:numId w:val="0"/>
        </w:numPr>
        <w:spacing w:after="156"/>
        <w:rPr>
          <w:rFonts w:hint="eastAsia" w:cs="宋体"/>
          <w:color w:val="auto"/>
          <w:sz w:val="21"/>
          <w:highlight w:val="none"/>
        </w:rPr>
      </w:pPr>
      <w:r>
        <w:rPr>
          <w:rFonts w:hint="eastAsia" w:cs="宋体"/>
          <w:color w:val="auto"/>
          <w:sz w:val="21"/>
          <w:highlight w:val="none"/>
        </w:rPr>
        <w:t>13.2.3 合理化建议降低了合同价格、缩短了工期或者提高了工程经济效益的，双方可以按照专用合同条件的约定进行利益分享。</w:t>
      </w:r>
    </w:p>
    <w:bookmarkEnd w:id="2155"/>
    <w:p w14:paraId="7A1409A0">
      <w:pPr>
        <w:pStyle w:val="87"/>
        <w:widowControl/>
        <w:numPr>
          <w:ilvl w:val="0"/>
          <w:numId w:val="0"/>
        </w:numPr>
        <w:spacing w:after="156"/>
        <w:rPr>
          <w:rFonts w:hint="eastAsia" w:ascii="宋体" w:hAnsi="宋体" w:eastAsia="宋体" w:cs="宋体"/>
          <w:b w:val="0"/>
          <w:bCs/>
          <w:color w:val="auto"/>
          <w:sz w:val="21"/>
          <w:szCs w:val="21"/>
          <w:highlight w:val="none"/>
        </w:rPr>
      </w:pPr>
      <w:bookmarkStart w:id="2156" w:name="_Toc103175759"/>
      <w:bookmarkStart w:id="2157" w:name="_Toc26603"/>
      <w:bookmarkStart w:id="2158" w:name="_Toc508"/>
      <w:bookmarkStart w:id="2159" w:name="_Ref532669305"/>
      <w:bookmarkStart w:id="2160" w:name="_Toc10943"/>
      <w:bookmarkStart w:id="2161" w:name="_Ref532669302"/>
      <w:bookmarkStart w:id="2162" w:name="_Ref532673538"/>
      <w:bookmarkStart w:id="2163" w:name="_Toc23215"/>
      <w:bookmarkStart w:id="2164" w:name="_Toc17149"/>
      <w:bookmarkStart w:id="2165" w:name="_Ref532671480"/>
      <w:bookmarkStart w:id="2166" w:name="_Toc24896"/>
      <w:bookmarkStart w:id="2167" w:name="_Toc13761"/>
      <w:bookmarkStart w:id="2168" w:name="_Toc17271"/>
      <w:bookmarkStart w:id="2169" w:name="_Ref532671484"/>
      <w:bookmarkStart w:id="2170" w:name="_Ref532673541"/>
      <w:r>
        <w:rPr>
          <w:rFonts w:hint="eastAsia" w:ascii="宋体" w:hAnsi="宋体" w:eastAsia="宋体" w:cs="宋体"/>
          <w:b w:val="0"/>
          <w:bCs/>
          <w:color w:val="auto"/>
          <w:sz w:val="21"/>
          <w:szCs w:val="21"/>
          <w:highlight w:val="none"/>
        </w:rPr>
        <w:t>13.3 变更程序</w:t>
      </w:r>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p>
    <w:p w14:paraId="1007C657">
      <w:pPr>
        <w:pStyle w:val="88"/>
        <w:numPr>
          <w:ilvl w:val="0"/>
          <w:numId w:val="0"/>
        </w:numPr>
        <w:spacing w:after="156"/>
        <w:rPr>
          <w:rFonts w:hint="eastAsia" w:cs="宋体"/>
          <w:color w:val="auto"/>
          <w:sz w:val="21"/>
          <w:highlight w:val="none"/>
        </w:rPr>
      </w:pPr>
      <w:bookmarkStart w:id="2171" w:name="_Ref4534600"/>
      <w:r>
        <w:rPr>
          <w:rFonts w:hint="eastAsia" w:cs="宋体"/>
          <w:color w:val="auto"/>
          <w:sz w:val="21"/>
          <w:highlight w:val="none"/>
        </w:rPr>
        <w:t>13.3.1 发包人提出变更</w:t>
      </w:r>
      <w:bookmarkEnd w:id="2171"/>
    </w:p>
    <w:p w14:paraId="23584FCB">
      <w:pPr>
        <w:ind w:firstLine="600"/>
        <w:rPr>
          <w:rFonts w:hint="eastAsia" w:ascii="宋体" w:hAnsi="宋体" w:cs="宋体"/>
          <w:color w:val="auto"/>
          <w:szCs w:val="21"/>
          <w:highlight w:val="none"/>
        </w:rPr>
      </w:pPr>
      <w:r>
        <w:rPr>
          <w:rFonts w:hint="eastAsia" w:ascii="宋体" w:hAnsi="宋体" w:cs="宋体"/>
          <w:color w:val="auto"/>
          <w:szCs w:val="21"/>
          <w:highlight w:val="none"/>
        </w:rPr>
        <w:t>发包人提出变更的，应通过工程师向承包人发出书面形式的变更指示，变更指示应说明计划变更的工程范围和变更的内容。</w:t>
      </w:r>
    </w:p>
    <w:p w14:paraId="593C5309">
      <w:pPr>
        <w:pStyle w:val="88"/>
        <w:numPr>
          <w:ilvl w:val="0"/>
          <w:numId w:val="0"/>
        </w:numPr>
        <w:spacing w:after="156"/>
        <w:rPr>
          <w:rFonts w:hint="eastAsia" w:cs="宋体"/>
          <w:color w:val="auto"/>
          <w:sz w:val="21"/>
          <w:highlight w:val="none"/>
        </w:rPr>
      </w:pPr>
      <w:bookmarkStart w:id="2172" w:name="_Ref4534617"/>
      <w:r>
        <w:rPr>
          <w:rFonts w:hint="eastAsia" w:cs="宋体"/>
          <w:color w:val="auto"/>
          <w:sz w:val="21"/>
          <w:highlight w:val="none"/>
        </w:rPr>
        <w:t>13.3.2 变更执行</w:t>
      </w:r>
      <w:bookmarkEnd w:id="2172"/>
    </w:p>
    <w:p w14:paraId="66242573">
      <w:pPr>
        <w:ind w:firstLine="600"/>
        <w:rPr>
          <w:rFonts w:hint="eastAsia" w:ascii="宋体" w:hAnsi="宋体" w:cs="宋体"/>
          <w:color w:val="auto"/>
          <w:szCs w:val="21"/>
          <w:highlight w:val="none"/>
        </w:rPr>
      </w:pPr>
      <w:r>
        <w:rPr>
          <w:rFonts w:hint="eastAsia" w:ascii="宋体" w:hAnsi="宋体" w:cs="宋体"/>
          <w:color w:val="auto"/>
          <w:szCs w:val="21"/>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14:paraId="147CF9AF">
      <w:pPr>
        <w:pStyle w:val="88"/>
        <w:numPr>
          <w:ilvl w:val="0"/>
          <w:numId w:val="0"/>
        </w:numPr>
        <w:spacing w:after="156"/>
        <w:rPr>
          <w:rFonts w:hint="eastAsia" w:cs="宋体"/>
          <w:color w:val="auto"/>
          <w:sz w:val="21"/>
          <w:highlight w:val="none"/>
        </w:rPr>
      </w:pPr>
      <w:bookmarkStart w:id="2173" w:name="_Ref3835481"/>
      <w:r>
        <w:rPr>
          <w:rFonts w:hint="eastAsia" w:cs="宋体"/>
          <w:color w:val="auto"/>
          <w:sz w:val="21"/>
          <w:highlight w:val="none"/>
        </w:rPr>
        <w:t>13.3.3 变更估价</w:t>
      </w:r>
      <w:bookmarkEnd w:id="2173"/>
    </w:p>
    <w:p w14:paraId="4D6D6926">
      <w:pPr>
        <w:pStyle w:val="89"/>
        <w:widowControl/>
        <w:numPr>
          <w:ilvl w:val="0"/>
          <w:numId w:val="0"/>
        </w:numPr>
        <w:spacing w:after="156"/>
        <w:rPr>
          <w:rFonts w:hint="eastAsia" w:cs="宋体"/>
          <w:color w:val="auto"/>
          <w:sz w:val="21"/>
          <w:highlight w:val="none"/>
        </w:rPr>
      </w:pPr>
      <w:r>
        <w:rPr>
          <w:rFonts w:hint="eastAsia" w:cs="宋体"/>
          <w:color w:val="auto"/>
          <w:sz w:val="21"/>
          <w:highlight w:val="none"/>
        </w:rPr>
        <w:t>13.3.3.1 变更估价原则</w:t>
      </w:r>
    </w:p>
    <w:p w14:paraId="2BBB4C80">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除专用合同条件另有约定外，变更估价按照本款约定处理：</w:t>
      </w:r>
    </w:p>
    <w:p w14:paraId="51D7ACE4">
      <w:pPr>
        <w:ind w:firstLine="600"/>
        <w:rPr>
          <w:rFonts w:hint="eastAsia" w:ascii="宋体" w:hAnsi="宋体" w:cs="宋体"/>
          <w:color w:val="auto"/>
          <w:szCs w:val="21"/>
          <w:highlight w:val="none"/>
        </w:rPr>
      </w:pPr>
      <w:r>
        <w:rPr>
          <w:rFonts w:hint="eastAsia" w:ascii="宋体" w:hAnsi="宋体" w:cs="宋体"/>
          <w:color w:val="auto"/>
          <w:szCs w:val="21"/>
          <w:highlight w:val="none"/>
        </w:rPr>
        <w:t>（1） 合同中未包含价格清单，合同价格应按照所执行的变更工程的成本加利润调整；</w:t>
      </w:r>
    </w:p>
    <w:p w14:paraId="44D9F865">
      <w:pPr>
        <w:ind w:firstLine="600"/>
        <w:rPr>
          <w:rFonts w:hint="eastAsia" w:ascii="宋体" w:hAnsi="宋体" w:cs="宋体"/>
          <w:color w:val="auto"/>
          <w:szCs w:val="21"/>
          <w:highlight w:val="none"/>
        </w:rPr>
      </w:pPr>
      <w:r>
        <w:rPr>
          <w:rFonts w:hint="eastAsia" w:ascii="宋体" w:hAnsi="宋体" w:cs="宋体"/>
          <w:color w:val="auto"/>
          <w:szCs w:val="21"/>
          <w:highlight w:val="none"/>
        </w:rPr>
        <w:t>（2） 合同中包含价格清单，合同价格按照如下规则调整：</w:t>
      </w:r>
    </w:p>
    <w:p w14:paraId="41630D39">
      <w:pPr>
        <w:ind w:firstLine="600"/>
        <w:rPr>
          <w:rFonts w:hint="eastAsia" w:ascii="宋体" w:hAnsi="宋体" w:cs="宋体"/>
          <w:color w:val="auto"/>
          <w:szCs w:val="21"/>
          <w:highlight w:val="none"/>
        </w:rPr>
      </w:pPr>
      <w:r>
        <w:rPr>
          <w:rFonts w:hint="eastAsia" w:ascii="宋体" w:hAnsi="宋体" w:cs="宋体"/>
          <w:color w:val="auto"/>
          <w:szCs w:val="21"/>
          <w:highlight w:val="none"/>
        </w:rPr>
        <w:t>1） 价格清单中有适用于变更工程项目的，应采用该项目的费率和价格；</w:t>
      </w:r>
    </w:p>
    <w:p w14:paraId="3EC212CE">
      <w:pPr>
        <w:ind w:firstLine="600"/>
        <w:rPr>
          <w:rFonts w:hint="eastAsia" w:ascii="宋体" w:hAnsi="宋体" w:cs="宋体"/>
          <w:color w:val="auto"/>
          <w:szCs w:val="21"/>
          <w:highlight w:val="none"/>
        </w:rPr>
      </w:pPr>
      <w:r>
        <w:rPr>
          <w:rFonts w:hint="eastAsia" w:ascii="宋体" w:hAnsi="宋体" w:cs="宋体"/>
          <w:color w:val="auto"/>
          <w:szCs w:val="21"/>
          <w:highlight w:val="none"/>
        </w:rPr>
        <w:t>2） 价格清单中没有适用但有类似于变更工程项目的，可在合理范围内参照类似项目的费率或价格；</w:t>
      </w:r>
    </w:p>
    <w:p w14:paraId="6B13A55B">
      <w:pPr>
        <w:ind w:firstLine="600"/>
        <w:rPr>
          <w:rFonts w:hint="eastAsia" w:ascii="宋体" w:hAnsi="宋体" w:cs="宋体"/>
          <w:color w:val="auto"/>
          <w:szCs w:val="21"/>
          <w:highlight w:val="none"/>
        </w:rPr>
      </w:pPr>
      <w:r>
        <w:rPr>
          <w:rFonts w:hint="eastAsia" w:ascii="宋体" w:hAnsi="宋体" w:cs="宋体"/>
          <w:color w:val="auto"/>
          <w:szCs w:val="21"/>
          <w:highlight w:val="none"/>
        </w:rPr>
        <w:t>3） 价格清单中没有适用也没有类似于变更工程项目的，该工程项目应按成本加利润原则调整适用新的费率或价格。</w:t>
      </w:r>
    </w:p>
    <w:p w14:paraId="73B7F4C2">
      <w:pPr>
        <w:pStyle w:val="89"/>
        <w:widowControl/>
        <w:numPr>
          <w:ilvl w:val="0"/>
          <w:numId w:val="0"/>
        </w:numPr>
        <w:spacing w:after="156"/>
        <w:rPr>
          <w:rFonts w:hint="eastAsia" w:cs="宋体"/>
          <w:color w:val="auto"/>
          <w:sz w:val="21"/>
          <w:highlight w:val="none"/>
        </w:rPr>
      </w:pPr>
      <w:r>
        <w:rPr>
          <w:rFonts w:hint="eastAsia" w:cs="宋体"/>
          <w:color w:val="auto"/>
          <w:sz w:val="21"/>
          <w:highlight w:val="none"/>
        </w:rPr>
        <w:t>13.3.3.2 变更估价程序</w:t>
      </w:r>
    </w:p>
    <w:p w14:paraId="7579683A">
      <w:pPr>
        <w:ind w:firstLine="600"/>
        <w:rPr>
          <w:rFonts w:hint="eastAsia" w:ascii="宋体" w:hAnsi="宋体" w:cs="宋体"/>
          <w:color w:val="auto"/>
          <w:szCs w:val="21"/>
          <w:highlight w:val="none"/>
        </w:rPr>
      </w:pPr>
      <w:bookmarkStart w:id="2174" w:name="_Ref531955607"/>
      <w:bookmarkStart w:id="2175" w:name="_Ref531955605"/>
      <w:bookmarkStart w:id="2176" w:name="_Toc296346651"/>
      <w:bookmarkStart w:id="2177" w:name="_Toc296503150"/>
      <w:bookmarkStart w:id="2178" w:name="_Toc337558844"/>
      <w:r>
        <w:rPr>
          <w:rFonts w:hint="eastAsia" w:ascii="宋体" w:hAnsi="宋体" w:cs="宋体"/>
          <w:color w:val="auto"/>
          <w:szCs w:val="21"/>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3967B781">
      <w:pPr>
        <w:ind w:firstLine="600"/>
        <w:rPr>
          <w:rFonts w:hint="eastAsia" w:ascii="宋体" w:hAnsi="宋体" w:cs="宋体"/>
          <w:color w:val="auto"/>
          <w:szCs w:val="21"/>
          <w:highlight w:val="none"/>
        </w:rPr>
      </w:pPr>
      <w:r>
        <w:rPr>
          <w:rFonts w:hint="eastAsia" w:ascii="宋体" w:hAnsi="宋体" w:cs="宋体"/>
          <w:color w:val="auto"/>
          <w:szCs w:val="21"/>
          <w:highlight w:val="none"/>
        </w:rPr>
        <w:t>因变更引起的价格调整应计入最近一期的进度款中支付。</w:t>
      </w:r>
    </w:p>
    <w:p w14:paraId="511E6569">
      <w:pPr>
        <w:pStyle w:val="88"/>
        <w:numPr>
          <w:ilvl w:val="0"/>
          <w:numId w:val="0"/>
        </w:numPr>
        <w:spacing w:after="156"/>
        <w:rPr>
          <w:rFonts w:hint="eastAsia" w:cs="宋体"/>
          <w:color w:val="auto"/>
          <w:sz w:val="21"/>
          <w:highlight w:val="none"/>
        </w:rPr>
      </w:pPr>
      <w:r>
        <w:rPr>
          <w:rFonts w:hint="eastAsia" w:cs="宋体"/>
          <w:color w:val="auto"/>
          <w:sz w:val="21"/>
          <w:highlight w:val="none"/>
        </w:rPr>
        <w:t>13.3.4 变更引起的工期调整</w:t>
      </w:r>
    </w:p>
    <w:p w14:paraId="206F26D0">
      <w:pPr>
        <w:ind w:firstLine="600"/>
        <w:rPr>
          <w:rFonts w:hint="eastAsia" w:ascii="宋体" w:hAnsi="宋体" w:cs="宋体"/>
          <w:color w:val="auto"/>
          <w:szCs w:val="21"/>
          <w:highlight w:val="none"/>
        </w:rPr>
      </w:pPr>
      <w:r>
        <w:rPr>
          <w:rFonts w:hint="eastAsia" w:ascii="宋体" w:hAnsi="宋体" w:cs="宋体"/>
          <w:color w:val="auto"/>
          <w:szCs w:val="21"/>
          <w:highlight w:val="none"/>
        </w:rPr>
        <w:t>因变更引起工期变化的，合同当事人均可要求调整合同工期，由合同当事人按照第3.6款[商定或确定]并参考工程所在地的工期定额标准确定增减工期天数。</w:t>
      </w:r>
    </w:p>
    <w:p w14:paraId="01CC261B">
      <w:pPr>
        <w:pStyle w:val="87"/>
        <w:widowControl/>
        <w:numPr>
          <w:ilvl w:val="0"/>
          <w:numId w:val="0"/>
        </w:numPr>
        <w:spacing w:after="156"/>
        <w:rPr>
          <w:rFonts w:hint="eastAsia" w:ascii="宋体" w:hAnsi="宋体" w:eastAsia="宋体" w:cs="宋体"/>
          <w:b w:val="0"/>
          <w:bCs/>
          <w:color w:val="auto"/>
          <w:sz w:val="21"/>
          <w:szCs w:val="21"/>
          <w:highlight w:val="none"/>
        </w:rPr>
      </w:pPr>
      <w:bookmarkStart w:id="2179" w:name="_Toc11273"/>
      <w:bookmarkStart w:id="2180" w:name="_Toc3619"/>
      <w:bookmarkStart w:id="2181" w:name="_Toc26382"/>
      <w:bookmarkStart w:id="2182" w:name="_Ref4431237"/>
      <w:bookmarkStart w:id="2183" w:name="_Toc17203"/>
      <w:bookmarkStart w:id="2184" w:name="_Toc17487"/>
      <w:bookmarkStart w:id="2185" w:name="_Toc1239"/>
      <w:bookmarkStart w:id="2186" w:name="_Toc13386"/>
      <w:bookmarkStart w:id="2187" w:name="_Toc16022"/>
      <w:bookmarkStart w:id="2188" w:name="_Toc103175760"/>
      <w:r>
        <w:rPr>
          <w:rFonts w:hint="eastAsia" w:ascii="宋体" w:hAnsi="宋体" w:eastAsia="宋体" w:cs="宋体"/>
          <w:b w:val="0"/>
          <w:bCs/>
          <w:color w:val="auto"/>
          <w:sz w:val="21"/>
          <w:szCs w:val="21"/>
          <w:highlight w:val="none"/>
        </w:rPr>
        <w:t>13.4 暂估价</w:t>
      </w:r>
      <w:bookmarkEnd w:id="2179"/>
      <w:bookmarkEnd w:id="2180"/>
      <w:bookmarkEnd w:id="2181"/>
      <w:bookmarkEnd w:id="2182"/>
      <w:bookmarkEnd w:id="2183"/>
      <w:bookmarkEnd w:id="2184"/>
      <w:bookmarkEnd w:id="2185"/>
      <w:bookmarkEnd w:id="2186"/>
      <w:bookmarkEnd w:id="2187"/>
      <w:bookmarkEnd w:id="2188"/>
    </w:p>
    <w:p w14:paraId="7D125CEB">
      <w:pPr>
        <w:pStyle w:val="88"/>
        <w:numPr>
          <w:ilvl w:val="0"/>
          <w:numId w:val="0"/>
        </w:numPr>
        <w:spacing w:after="156"/>
        <w:rPr>
          <w:rFonts w:hint="eastAsia" w:cs="宋体"/>
          <w:color w:val="auto"/>
          <w:sz w:val="21"/>
          <w:highlight w:val="none"/>
        </w:rPr>
      </w:pPr>
      <w:bookmarkStart w:id="2189" w:name="_Ref4616729"/>
      <w:r>
        <w:rPr>
          <w:rFonts w:hint="eastAsia" w:cs="宋体"/>
          <w:color w:val="auto"/>
          <w:sz w:val="21"/>
          <w:highlight w:val="none"/>
        </w:rPr>
        <w:t>13.4.1 依法必须招标的暂估价项目</w:t>
      </w:r>
      <w:bookmarkEnd w:id="2189"/>
    </w:p>
    <w:p w14:paraId="0AA18026">
      <w:pPr>
        <w:ind w:firstLine="600"/>
        <w:rPr>
          <w:rFonts w:hint="eastAsia" w:ascii="宋体" w:hAnsi="宋体" w:cs="宋体"/>
          <w:color w:val="auto"/>
          <w:szCs w:val="21"/>
          <w:highlight w:val="none"/>
        </w:rPr>
      </w:pPr>
      <w:r>
        <w:rPr>
          <w:rFonts w:hint="eastAsia" w:ascii="宋体" w:hAnsi="宋体" w:cs="宋体"/>
          <w:color w:val="auto"/>
          <w:szCs w:val="21"/>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7C17A77F">
      <w:pPr>
        <w:pStyle w:val="90"/>
        <w:numPr>
          <w:ilvl w:val="0"/>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专用合同条件约定由发包人和承包人共同作为招标人的，与组织招标工作有关的费用在专用合同条件中约定。</w:t>
      </w:r>
    </w:p>
    <w:p w14:paraId="6B367AF5">
      <w:pPr>
        <w:ind w:firstLine="600"/>
        <w:rPr>
          <w:rFonts w:hint="eastAsia" w:ascii="宋体" w:hAnsi="宋体" w:cs="宋体"/>
          <w:color w:val="auto"/>
          <w:szCs w:val="21"/>
          <w:highlight w:val="none"/>
        </w:rPr>
      </w:pPr>
      <w:r>
        <w:rPr>
          <w:rFonts w:hint="eastAsia" w:ascii="宋体" w:hAnsi="宋体" w:cs="宋体"/>
          <w:color w:val="auto"/>
          <w:szCs w:val="21"/>
          <w:highlight w:val="none"/>
        </w:rPr>
        <w:t>具体的招标程序以及发包人和承包人权利义务关系可在专用合同条件中约定。暂估价项目的中标金额与价格清单中所列暂估价的金额差以及相应的税金等其他费用应列入合同价格。</w:t>
      </w:r>
    </w:p>
    <w:p w14:paraId="2EDB1824">
      <w:pPr>
        <w:pStyle w:val="88"/>
        <w:numPr>
          <w:ilvl w:val="0"/>
          <w:numId w:val="0"/>
        </w:numPr>
        <w:spacing w:after="156"/>
        <w:rPr>
          <w:rFonts w:hint="eastAsia" w:cs="宋体"/>
          <w:color w:val="auto"/>
          <w:sz w:val="21"/>
          <w:highlight w:val="none"/>
        </w:rPr>
      </w:pPr>
      <w:bookmarkStart w:id="2190" w:name="_Ref4682312"/>
      <w:r>
        <w:rPr>
          <w:rFonts w:hint="eastAsia" w:cs="宋体"/>
          <w:color w:val="auto"/>
          <w:sz w:val="21"/>
          <w:highlight w:val="none"/>
        </w:rPr>
        <w:t>13.4.2 不属于依法必须招标的暂估价项目</w:t>
      </w:r>
      <w:bookmarkEnd w:id="2190"/>
    </w:p>
    <w:p w14:paraId="4DFB4011">
      <w:pPr>
        <w:ind w:firstLine="600"/>
        <w:rPr>
          <w:rFonts w:hint="eastAsia" w:ascii="宋体" w:hAnsi="宋体" w:cs="宋体"/>
          <w:color w:val="auto"/>
          <w:szCs w:val="21"/>
          <w:highlight w:val="none"/>
        </w:rPr>
      </w:pPr>
      <w:r>
        <w:rPr>
          <w:rFonts w:hint="eastAsia" w:ascii="宋体" w:hAnsi="宋体" w:cs="宋体"/>
          <w:color w:val="auto"/>
          <w:szCs w:val="21"/>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4FFAC840">
      <w:pPr>
        <w:ind w:firstLine="600"/>
        <w:rPr>
          <w:rFonts w:hint="eastAsia" w:ascii="宋体" w:hAnsi="宋体" w:cs="宋体"/>
          <w:color w:val="auto"/>
          <w:szCs w:val="21"/>
          <w:highlight w:val="none"/>
        </w:rPr>
      </w:pPr>
      <w:r>
        <w:rPr>
          <w:rFonts w:hint="eastAsia" w:ascii="宋体" w:hAnsi="宋体" w:cs="宋体"/>
          <w:color w:val="auto"/>
          <w:szCs w:val="21"/>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4C1DA61">
      <w:pPr>
        <w:pStyle w:val="87"/>
        <w:widowControl/>
        <w:numPr>
          <w:ilvl w:val="0"/>
          <w:numId w:val="0"/>
        </w:numPr>
        <w:spacing w:after="156"/>
        <w:rPr>
          <w:rFonts w:hint="eastAsia" w:ascii="宋体" w:hAnsi="宋体" w:eastAsia="宋体" w:cs="宋体"/>
          <w:b w:val="0"/>
          <w:bCs/>
          <w:color w:val="auto"/>
          <w:sz w:val="21"/>
          <w:szCs w:val="21"/>
          <w:highlight w:val="none"/>
        </w:rPr>
      </w:pPr>
      <w:bookmarkStart w:id="2191" w:name="_Ref4431250"/>
      <w:bookmarkStart w:id="2192" w:name="_Toc19557"/>
      <w:bookmarkStart w:id="2193" w:name="_Toc17663"/>
      <w:bookmarkStart w:id="2194" w:name="_Toc27685"/>
      <w:bookmarkStart w:id="2195" w:name="_Toc21794"/>
      <w:bookmarkStart w:id="2196" w:name="_Toc103175761"/>
      <w:bookmarkStart w:id="2197" w:name="_Toc21462"/>
      <w:bookmarkStart w:id="2198" w:name="_Toc6549"/>
      <w:bookmarkStart w:id="2199" w:name="_Toc3247"/>
      <w:bookmarkStart w:id="2200" w:name="_Toc8286"/>
      <w:r>
        <w:rPr>
          <w:rFonts w:hint="eastAsia" w:ascii="宋体" w:hAnsi="宋体" w:eastAsia="宋体" w:cs="宋体"/>
          <w:b w:val="0"/>
          <w:bCs/>
          <w:color w:val="auto"/>
          <w:sz w:val="21"/>
          <w:szCs w:val="21"/>
          <w:highlight w:val="none"/>
        </w:rPr>
        <w:t>13.5 暂列金额</w:t>
      </w:r>
      <w:bookmarkEnd w:id="2191"/>
      <w:bookmarkEnd w:id="2192"/>
      <w:bookmarkEnd w:id="2193"/>
      <w:bookmarkEnd w:id="2194"/>
      <w:bookmarkEnd w:id="2195"/>
      <w:bookmarkEnd w:id="2196"/>
      <w:bookmarkEnd w:id="2197"/>
      <w:bookmarkEnd w:id="2198"/>
      <w:bookmarkEnd w:id="2199"/>
      <w:bookmarkEnd w:id="2200"/>
      <w:r>
        <w:rPr>
          <w:rFonts w:hint="eastAsia" w:ascii="宋体" w:hAnsi="宋体" w:eastAsia="宋体" w:cs="宋体"/>
          <w:b w:val="0"/>
          <w:bCs/>
          <w:color w:val="auto"/>
          <w:sz w:val="21"/>
          <w:szCs w:val="21"/>
          <w:highlight w:val="none"/>
        </w:rPr>
        <w:t xml:space="preserve"> </w:t>
      </w:r>
      <w:bookmarkEnd w:id="2174"/>
      <w:bookmarkEnd w:id="2175"/>
    </w:p>
    <w:bookmarkEnd w:id="2176"/>
    <w:bookmarkEnd w:id="2177"/>
    <w:bookmarkEnd w:id="2178"/>
    <w:p w14:paraId="1D2E5AE5">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1831DC4A">
      <w:pPr>
        <w:ind w:firstLine="600"/>
        <w:rPr>
          <w:rFonts w:hint="eastAsia" w:ascii="宋体" w:hAnsi="宋体" w:cs="宋体"/>
          <w:color w:val="auto"/>
          <w:szCs w:val="21"/>
          <w:highlight w:val="none"/>
        </w:rPr>
      </w:pPr>
      <w:r>
        <w:rPr>
          <w:rFonts w:hint="eastAsia" w:ascii="宋体" w:hAnsi="宋体" w:cs="宋体"/>
          <w:color w:val="auto"/>
          <w:szCs w:val="21"/>
          <w:highlight w:val="none"/>
        </w:rPr>
        <w:t>对于每笔暂列金额，发包人可以指示用于下列支付：</w:t>
      </w:r>
    </w:p>
    <w:p w14:paraId="37BE2CB4">
      <w:pPr>
        <w:ind w:firstLine="600"/>
        <w:rPr>
          <w:rFonts w:hint="eastAsia" w:ascii="宋体" w:hAnsi="宋体" w:cs="宋体"/>
          <w:color w:val="auto"/>
          <w:szCs w:val="21"/>
          <w:highlight w:val="none"/>
        </w:rPr>
      </w:pPr>
      <w:r>
        <w:rPr>
          <w:rFonts w:hint="eastAsia" w:ascii="宋体" w:hAnsi="宋体" w:cs="宋体"/>
          <w:color w:val="auto"/>
          <w:szCs w:val="21"/>
          <w:highlight w:val="none"/>
        </w:rPr>
        <w:t>（1） 发包人根据第13.1款[发包人变更权]指示变更，决定对合同价格和付款计划表（如有）进行调整的、由承包人实施的工作（包括要提供的工程设备、材料和服务）；</w:t>
      </w:r>
    </w:p>
    <w:p w14:paraId="63AFE8DC">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14:paraId="631BEE07">
      <w:pPr>
        <w:ind w:firstLine="600"/>
        <w:rPr>
          <w:rFonts w:hint="eastAsia" w:ascii="宋体" w:hAnsi="宋体" w:cs="宋体"/>
          <w:color w:val="auto"/>
          <w:szCs w:val="21"/>
          <w:highlight w:val="none"/>
        </w:rPr>
      </w:pPr>
      <w:r>
        <w:rPr>
          <w:rFonts w:hint="eastAsia" w:ascii="宋体" w:hAnsi="宋体" w:cs="宋体"/>
          <w:color w:val="auto"/>
          <w:szCs w:val="21"/>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50573CF0">
      <w:pPr>
        <w:ind w:firstLine="600"/>
        <w:rPr>
          <w:rFonts w:hint="eastAsia" w:ascii="宋体" w:hAnsi="宋体" w:cs="宋体"/>
          <w:color w:val="auto"/>
          <w:szCs w:val="21"/>
          <w:highlight w:val="none"/>
        </w:rPr>
      </w:pPr>
      <w:r>
        <w:rPr>
          <w:rFonts w:hint="eastAsia" w:ascii="宋体" w:hAnsi="宋体" w:cs="宋体"/>
          <w:color w:val="auto"/>
          <w:szCs w:val="21"/>
          <w:highlight w:val="none"/>
        </w:rPr>
        <w:t>每份包含暂列金额的文件还应包括用以证明暂列金额的所有有效的发票、凭证和账户或收据。</w:t>
      </w:r>
    </w:p>
    <w:p w14:paraId="48F435D4">
      <w:pPr>
        <w:pStyle w:val="87"/>
        <w:widowControl/>
        <w:numPr>
          <w:ilvl w:val="0"/>
          <w:numId w:val="0"/>
        </w:numPr>
        <w:spacing w:after="156"/>
        <w:rPr>
          <w:rFonts w:hint="eastAsia" w:ascii="宋体" w:hAnsi="宋体" w:eastAsia="宋体" w:cs="宋体"/>
          <w:b w:val="0"/>
          <w:bCs/>
          <w:color w:val="auto"/>
          <w:sz w:val="21"/>
          <w:szCs w:val="21"/>
          <w:highlight w:val="none"/>
        </w:rPr>
      </w:pPr>
      <w:bookmarkStart w:id="2201" w:name="_Toc19054"/>
      <w:bookmarkStart w:id="2202" w:name="_Toc31641"/>
      <w:bookmarkStart w:id="2203" w:name="_Toc8618"/>
      <w:bookmarkStart w:id="2204" w:name="_Toc296503152"/>
      <w:bookmarkStart w:id="2205" w:name="_Ref4431438"/>
      <w:bookmarkStart w:id="2206" w:name="_Toc103175762"/>
      <w:bookmarkStart w:id="2207" w:name="_Toc18591"/>
      <w:bookmarkStart w:id="2208" w:name="_Toc337558845"/>
      <w:bookmarkStart w:id="2209" w:name="_Toc11939"/>
      <w:bookmarkStart w:id="2210" w:name="_Toc3958"/>
      <w:bookmarkStart w:id="2211" w:name="_Toc29102"/>
      <w:bookmarkStart w:id="2212" w:name="_Toc296346653"/>
      <w:bookmarkStart w:id="2213" w:name="_Toc28600"/>
      <w:r>
        <w:rPr>
          <w:rFonts w:hint="eastAsia" w:ascii="宋体" w:hAnsi="宋体" w:eastAsia="宋体" w:cs="宋体"/>
          <w:b w:val="0"/>
          <w:bCs/>
          <w:color w:val="auto"/>
          <w:sz w:val="21"/>
          <w:szCs w:val="21"/>
          <w:highlight w:val="none"/>
        </w:rPr>
        <w:t>13.6 计日工</w:t>
      </w:r>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14:paraId="6781C859">
      <w:pPr>
        <w:pStyle w:val="88"/>
        <w:numPr>
          <w:ilvl w:val="0"/>
          <w:numId w:val="0"/>
        </w:numPr>
        <w:spacing w:after="156"/>
        <w:rPr>
          <w:rFonts w:hint="eastAsia" w:cs="宋体"/>
          <w:color w:val="auto"/>
          <w:sz w:val="21"/>
          <w:highlight w:val="none"/>
        </w:rPr>
      </w:pPr>
      <w:r>
        <w:rPr>
          <w:rFonts w:hint="eastAsia" w:cs="宋体"/>
          <w:color w:val="auto"/>
          <w:sz w:val="21"/>
          <w:highlight w:val="none"/>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14:paraId="16AF3733">
      <w:pPr>
        <w:pStyle w:val="88"/>
        <w:numPr>
          <w:ilvl w:val="0"/>
          <w:numId w:val="0"/>
        </w:numPr>
        <w:spacing w:after="156"/>
        <w:rPr>
          <w:rFonts w:hint="eastAsia" w:cs="宋体"/>
          <w:color w:val="auto"/>
          <w:sz w:val="21"/>
          <w:highlight w:val="none"/>
        </w:rPr>
      </w:pPr>
      <w:r>
        <w:rPr>
          <w:rFonts w:hint="eastAsia" w:cs="宋体"/>
          <w:color w:val="auto"/>
          <w:sz w:val="21"/>
          <w:highlight w:val="none"/>
        </w:rPr>
        <w:t>13.6.2 采用计日工计价的任何一项工作，承包人应在该项工作实施过程中，每天提交以下报表和有关凭证报送工程师审查：</w:t>
      </w:r>
    </w:p>
    <w:p w14:paraId="6CED5E2F">
      <w:pPr>
        <w:ind w:firstLine="600"/>
        <w:rPr>
          <w:rFonts w:hint="eastAsia" w:ascii="宋体" w:hAnsi="宋体" w:cs="宋体"/>
          <w:color w:val="auto"/>
          <w:szCs w:val="21"/>
          <w:highlight w:val="none"/>
        </w:rPr>
      </w:pPr>
      <w:r>
        <w:rPr>
          <w:rFonts w:hint="eastAsia" w:ascii="宋体" w:hAnsi="宋体" w:cs="宋体"/>
          <w:color w:val="auto"/>
          <w:szCs w:val="21"/>
          <w:highlight w:val="none"/>
        </w:rPr>
        <w:t>（1） 工作名称、内容和数量；</w:t>
      </w:r>
    </w:p>
    <w:p w14:paraId="50F27269">
      <w:pPr>
        <w:ind w:firstLine="600"/>
        <w:rPr>
          <w:rFonts w:hint="eastAsia" w:ascii="宋体" w:hAnsi="宋体" w:cs="宋体"/>
          <w:color w:val="auto"/>
          <w:szCs w:val="21"/>
          <w:highlight w:val="none"/>
        </w:rPr>
      </w:pPr>
      <w:r>
        <w:rPr>
          <w:rFonts w:hint="eastAsia" w:ascii="宋体" w:hAnsi="宋体" w:cs="宋体"/>
          <w:color w:val="auto"/>
          <w:szCs w:val="21"/>
          <w:highlight w:val="none"/>
        </w:rPr>
        <w:t>（2） 投入该工作的所有人员的姓名、专业、工种、级别和耗用工时；</w:t>
      </w:r>
    </w:p>
    <w:p w14:paraId="6FBCC2DD">
      <w:pPr>
        <w:ind w:firstLine="600"/>
        <w:rPr>
          <w:rFonts w:hint="eastAsia" w:ascii="宋体" w:hAnsi="宋体" w:cs="宋体"/>
          <w:color w:val="auto"/>
          <w:szCs w:val="21"/>
          <w:highlight w:val="none"/>
        </w:rPr>
      </w:pPr>
      <w:r>
        <w:rPr>
          <w:rFonts w:hint="eastAsia" w:ascii="宋体" w:hAnsi="宋体" w:cs="宋体"/>
          <w:color w:val="auto"/>
          <w:szCs w:val="21"/>
          <w:highlight w:val="none"/>
        </w:rPr>
        <w:t>（3） 投入该工作的材料类别和数量；</w:t>
      </w:r>
    </w:p>
    <w:p w14:paraId="7094B76D">
      <w:pPr>
        <w:ind w:firstLine="600"/>
        <w:rPr>
          <w:rFonts w:hint="eastAsia" w:ascii="宋体" w:hAnsi="宋体" w:cs="宋体"/>
          <w:color w:val="auto"/>
          <w:szCs w:val="21"/>
          <w:highlight w:val="none"/>
        </w:rPr>
      </w:pPr>
      <w:r>
        <w:rPr>
          <w:rFonts w:hint="eastAsia" w:ascii="宋体" w:hAnsi="宋体" w:cs="宋体"/>
          <w:color w:val="auto"/>
          <w:szCs w:val="21"/>
          <w:highlight w:val="none"/>
        </w:rPr>
        <w:t>（4） 投入该工作的施工设备型号、台数和耗用台时；</w:t>
      </w:r>
    </w:p>
    <w:p w14:paraId="704F47C4">
      <w:pPr>
        <w:ind w:firstLine="600"/>
        <w:rPr>
          <w:rFonts w:hint="eastAsia" w:ascii="宋体" w:hAnsi="宋体" w:cs="宋体"/>
          <w:color w:val="auto"/>
          <w:szCs w:val="21"/>
          <w:highlight w:val="none"/>
        </w:rPr>
      </w:pPr>
      <w:r>
        <w:rPr>
          <w:rFonts w:hint="eastAsia" w:ascii="宋体" w:hAnsi="宋体" w:cs="宋体"/>
          <w:color w:val="auto"/>
          <w:szCs w:val="21"/>
          <w:highlight w:val="none"/>
        </w:rPr>
        <w:t>（5） 其他有关资料和凭证。</w:t>
      </w:r>
    </w:p>
    <w:p w14:paraId="25DD8BB4">
      <w:pPr>
        <w:ind w:firstLine="600"/>
        <w:rPr>
          <w:rFonts w:hint="eastAsia" w:ascii="宋体" w:hAnsi="宋体" w:cs="宋体"/>
          <w:color w:val="auto"/>
          <w:szCs w:val="21"/>
          <w:highlight w:val="none"/>
        </w:rPr>
      </w:pPr>
      <w:r>
        <w:rPr>
          <w:rFonts w:hint="eastAsia" w:ascii="宋体" w:hAnsi="宋体" w:cs="宋体"/>
          <w:color w:val="auto"/>
          <w:szCs w:val="21"/>
          <w:highlight w:val="none"/>
        </w:rPr>
        <w:t>计日工由承包人汇总后，列入最近一期进度付款申请单，由工程师审查并经发包人批准后列入进度付款。</w:t>
      </w:r>
    </w:p>
    <w:p w14:paraId="0C639C88">
      <w:pPr>
        <w:pStyle w:val="87"/>
        <w:widowControl/>
        <w:numPr>
          <w:ilvl w:val="0"/>
          <w:numId w:val="0"/>
        </w:numPr>
        <w:spacing w:after="156"/>
        <w:rPr>
          <w:rFonts w:hint="eastAsia" w:ascii="宋体" w:hAnsi="宋体" w:eastAsia="宋体" w:cs="宋体"/>
          <w:b w:val="0"/>
          <w:bCs/>
          <w:color w:val="auto"/>
          <w:sz w:val="21"/>
          <w:szCs w:val="21"/>
          <w:highlight w:val="none"/>
        </w:rPr>
      </w:pPr>
      <w:bookmarkStart w:id="2214" w:name="_Toc103175763"/>
      <w:bookmarkStart w:id="2215" w:name="_Toc173"/>
      <w:bookmarkStart w:id="2216" w:name="_Toc25636"/>
      <w:bookmarkStart w:id="2217" w:name="_Toc29573"/>
      <w:bookmarkStart w:id="2218" w:name="_Toc10316"/>
      <w:bookmarkStart w:id="2219" w:name="_Ref4617331"/>
      <w:bookmarkStart w:id="2220" w:name="_Toc30682"/>
      <w:bookmarkStart w:id="2221" w:name="_Toc13748"/>
      <w:bookmarkStart w:id="2222" w:name="_Toc8973"/>
      <w:bookmarkStart w:id="2223" w:name="_Toc13249"/>
      <w:bookmarkStart w:id="2224" w:name="_Ref4617318"/>
      <w:r>
        <w:rPr>
          <w:rFonts w:hint="eastAsia" w:ascii="宋体" w:hAnsi="宋体" w:eastAsia="宋体" w:cs="宋体"/>
          <w:b w:val="0"/>
          <w:bCs/>
          <w:color w:val="auto"/>
          <w:sz w:val="21"/>
          <w:szCs w:val="21"/>
          <w:highlight w:val="none"/>
        </w:rPr>
        <w:t>13.7 法律变化引起的调整</w:t>
      </w:r>
      <w:bookmarkEnd w:id="2214"/>
      <w:bookmarkEnd w:id="2215"/>
      <w:bookmarkEnd w:id="2216"/>
      <w:bookmarkEnd w:id="2217"/>
      <w:bookmarkEnd w:id="2218"/>
      <w:bookmarkEnd w:id="2219"/>
      <w:bookmarkEnd w:id="2220"/>
      <w:bookmarkEnd w:id="2221"/>
      <w:bookmarkEnd w:id="2222"/>
      <w:bookmarkEnd w:id="2223"/>
      <w:bookmarkEnd w:id="2224"/>
    </w:p>
    <w:p w14:paraId="131016C2">
      <w:pPr>
        <w:pStyle w:val="88"/>
        <w:numPr>
          <w:ilvl w:val="0"/>
          <w:numId w:val="0"/>
        </w:numPr>
        <w:spacing w:after="156"/>
        <w:rPr>
          <w:rFonts w:hint="eastAsia" w:cs="宋体"/>
          <w:color w:val="auto"/>
          <w:sz w:val="21"/>
          <w:highlight w:val="none"/>
        </w:rPr>
      </w:pPr>
      <w:r>
        <w:rPr>
          <w:rFonts w:hint="eastAsia" w:cs="宋体"/>
          <w:color w:val="auto"/>
          <w:sz w:val="21"/>
          <w:highlight w:val="none"/>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14:paraId="0FDA8DC9">
      <w:pPr>
        <w:pStyle w:val="88"/>
        <w:numPr>
          <w:ilvl w:val="0"/>
          <w:numId w:val="0"/>
        </w:numPr>
        <w:spacing w:after="156"/>
        <w:rPr>
          <w:rFonts w:hint="eastAsia" w:cs="宋体"/>
          <w:color w:val="auto"/>
          <w:sz w:val="21"/>
          <w:highlight w:val="none"/>
        </w:rPr>
      </w:pPr>
      <w:r>
        <w:rPr>
          <w:rFonts w:hint="eastAsia" w:cs="宋体"/>
          <w:color w:val="auto"/>
          <w:sz w:val="21"/>
          <w:highlight w:val="none"/>
        </w:rPr>
        <w:t>13.7.2 因法律变化引起的合同价格和工期调整，合同当事人无法达成一致的，由工程师按第3.6款[商定或确定]的约定处理。</w:t>
      </w:r>
    </w:p>
    <w:p w14:paraId="053F0814">
      <w:pPr>
        <w:pStyle w:val="88"/>
        <w:numPr>
          <w:ilvl w:val="0"/>
          <w:numId w:val="0"/>
        </w:numPr>
        <w:spacing w:after="156"/>
        <w:rPr>
          <w:rFonts w:hint="eastAsia" w:cs="宋体"/>
          <w:color w:val="auto"/>
          <w:sz w:val="21"/>
          <w:highlight w:val="none"/>
        </w:rPr>
      </w:pPr>
      <w:r>
        <w:rPr>
          <w:rFonts w:hint="eastAsia" w:cs="宋体"/>
          <w:color w:val="auto"/>
          <w:sz w:val="21"/>
          <w:highlight w:val="none"/>
        </w:rPr>
        <w:t>13.7.3 因承包人原因造成工期延误，在工期延误期间出现法律变化的，由此增加的费用和（或）延误的工期由承包人承担。</w:t>
      </w:r>
    </w:p>
    <w:p w14:paraId="4EBA480C">
      <w:pPr>
        <w:pStyle w:val="88"/>
        <w:numPr>
          <w:ilvl w:val="0"/>
          <w:numId w:val="0"/>
        </w:numPr>
        <w:spacing w:after="156"/>
        <w:rPr>
          <w:rFonts w:hint="eastAsia" w:cs="宋体"/>
          <w:color w:val="auto"/>
          <w:sz w:val="21"/>
          <w:highlight w:val="none"/>
        </w:rPr>
      </w:pPr>
      <w:r>
        <w:rPr>
          <w:rFonts w:hint="eastAsia" w:cs="宋体"/>
          <w:color w:val="auto"/>
          <w:sz w:val="21"/>
          <w:highlight w:val="none"/>
        </w:rPr>
        <w:t>13.7.4 因法律变化而需要对工程的实施进行任何调整的，承包人应迅速通知发包人，或者发包人应迅速通知承包人，并附上详细的辅助资料。发包人接到通知后，应根据第13.3款[变更程序]发出变更指示。</w:t>
      </w:r>
    </w:p>
    <w:p w14:paraId="11E814B3">
      <w:pPr>
        <w:pStyle w:val="87"/>
        <w:widowControl/>
        <w:numPr>
          <w:ilvl w:val="0"/>
          <w:numId w:val="0"/>
        </w:numPr>
        <w:spacing w:after="156"/>
        <w:rPr>
          <w:rFonts w:hint="eastAsia" w:ascii="宋体" w:hAnsi="宋体" w:eastAsia="宋体" w:cs="宋体"/>
          <w:b w:val="0"/>
          <w:bCs/>
          <w:color w:val="auto"/>
          <w:sz w:val="21"/>
          <w:szCs w:val="21"/>
          <w:highlight w:val="none"/>
        </w:rPr>
      </w:pPr>
      <w:bookmarkStart w:id="2225" w:name="_Ref18977613"/>
      <w:bookmarkStart w:id="2226" w:name="_Toc2888"/>
      <w:bookmarkStart w:id="2227" w:name="_Toc6218"/>
      <w:bookmarkStart w:id="2228" w:name="_Toc29078"/>
      <w:bookmarkStart w:id="2229" w:name="_Toc24724"/>
      <w:bookmarkStart w:id="2230" w:name="_Toc21757"/>
      <w:bookmarkStart w:id="2231" w:name="_Toc29668"/>
      <w:bookmarkStart w:id="2232" w:name="_Ref531955630"/>
      <w:bookmarkStart w:id="2233" w:name="_Toc103175764"/>
      <w:bookmarkStart w:id="2234" w:name="_Toc20024"/>
      <w:bookmarkStart w:id="2235" w:name="_Toc19041"/>
      <w:bookmarkStart w:id="2236" w:name="_Ref531955627"/>
      <w:r>
        <w:rPr>
          <w:rFonts w:hint="eastAsia" w:ascii="宋体" w:hAnsi="宋体" w:eastAsia="宋体" w:cs="宋体"/>
          <w:b w:val="0"/>
          <w:bCs/>
          <w:color w:val="auto"/>
          <w:sz w:val="21"/>
          <w:szCs w:val="21"/>
          <w:highlight w:val="none"/>
        </w:rPr>
        <w:t>13.8 市场价格波动引起的调整</w:t>
      </w:r>
      <w:bookmarkEnd w:id="2225"/>
      <w:bookmarkEnd w:id="2226"/>
      <w:bookmarkEnd w:id="2227"/>
      <w:bookmarkEnd w:id="2228"/>
      <w:bookmarkEnd w:id="2229"/>
      <w:bookmarkEnd w:id="2230"/>
      <w:bookmarkEnd w:id="2231"/>
      <w:bookmarkEnd w:id="2232"/>
      <w:bookmarkEnd w:id="2233"/>
      <w:bookmarkEnd w:id="2234"/>
      <w:bookmarkEnd w:id="2235"/>
      <w:bookmarkEnd w:id="2236"/>
    </w:p>
    <w:p w14:paraId="1E7E507E">
      <w:pPr>
        <w:pStyle w:val="88"/>
        <w:numPr>
          <w:ilvl w:val="0"/>
          <w:numId w:val="0"/>
        </w:numPr>
        <w:spacing w:after="156"/>
        <w:rPr>
          <w:rFonts w:hint="eastAsia" w:cs="宋体"/>
          <w:color w:val="auto"/>
          <w:sz w:val="21"/>
          <w:highlight w:val="none"/>
        </w:rPr>
      </w:pPr>
      <w:bookmarkStart w:id="2237" w:name="_Ref4709841"/>
      <w:r>
        <w:rPr>
          <w:rFonts w:hint="eastAsia" w:cs="宋体"/>
          <w:color w:val="auto"/>
          <w:sz w:val="21"/>
          <w:highlight w:val="none"/>
        </w:rPr>
        <w:t>13.8.1 主要工程材料、设备、人工价格与招标时基期价相比，波动幅度超过合同约定幅度的，双方按照合同约定的价格调整方式调整。</w:t>
      </w:r>
    </w:p>
    <w:p w14:paraId="0D53140C">
      <w:pPr>
        <w:pStyle w:val="88"/>
        <w:numPr>
          <w:ilvl w:val="0"/>
          <w:numId w:val="0"/>
        </w:numPr>
        <w:spacing w:after="156"/>
        <w:rPr>
          <w:rFonts w:hint="eastAsia" w:cs="宋体"/>
          <w:color w:val="auto"/>
          <w:sz w:val="21"/>
          <w:highlight w:val="none"/>
        </w:rPr>
      </w:pPr>
      <w:r>
        <w:rPr>
          <w:rFonts w:hint="eastAsia" w:cs="宋体"/>
          <w:color w:val="auto"/>
          <w:sz w:val="21"/>
          <w:highlight w:val="none"/>
        </w:rPr>
        <w:t>13.8.2 发包人与承包人在专用合同条件中约定采用《价格指数权重表》的，适用本项约定。</w:t>
      </w:r>
    </w:p>
    <w:p w14:paraId="521CCDFB">
      <w:pPr>
        <w:pStyle w:val="89"/>
        <w:numPr>
          <w:ilvl w:val="0"/>
          <w:numId w:val="0"/>
        </w:numPr>
        <w:spacing w:after="156"/>
        <w:rPr>
          <w:rFonts w:hint="eastAsia" w:cs="宋体"/>
          <w:color w:val="auto"/>
          <w:sz w:val="21"/>
          <w:highlight w:val="none"/>
        </w:rPr>
      </w:pPr>
      <w:r>
        <w:rPr>
          <w:rFonts w:hint="eastAsia" w:cs="宋体"/>
          <w:color w:val="auto"/>
          <w:sz w:val="21"/>
          <w:highlight w:val="none"/>
        </w:rPr>
        <w:t>13.8.2.1 双方当事人可以将部分主要工程材料、工程设备、人工价格及其他双方认为应当根据市场价格调整的费用列入附件6[价格指数权重表]，并根据以下公式计算差额并调整合同价格：</w:t>
      </w:r>
    </w:p>
    <w:bookmarkEnd w:id="2237"/>
    <w:p w14:paraId="7E425CE9">
      <w:pPr>
        <w:ind w:firstLine="600"/>
        <w:rPr>
          <w:rFonts w:hint="eastAsia" w:ascii="宋体" w:hAnsi="宋体" w:cs="宋体"/>
          <w:color w:val="auto"/>
          <w:szCs w:val="21"/>
          <w:highlight w:val="none"/>
        </w:rPr>
      </w:pPr>
      <w:bookmarkStart w:id="2238" w:name="_Ref4616996"/>
      <w:r>
        <w:rPr>
          <w:rFonts w:hint="eastAsia" w:ascii="宋体" w:hAnsi="宋体" w:cs="宋体"/>
          <w:color w:val="auto"/>
          <w:szCs w:val="21"/>
          <w:highlight w:val="none"/>
        </w:rPr>
        <w:t>（1） 价格调整公式</w:t>
      </w:r>
      <w:bookmarkEnd w:id="2238"/>
    </w:p>
    <w:p w14:paraId="3645D77F">
      <w:pPr>
        <w:rPr>
          <w:rFonts w:hint="eastAsia" w:ascii="宋体" w:hAnsi="宋体" w:cs="宋体"/>
          <w:color w:val="auto"/>
          <w:szCs w:val="21"/>
          <w:highlight w:val="none"/>
        </w:rPr>
      </w:pPr>
      <w:r>
        <w:rPr>
          <w:rFonts w:hint="eastAsia" w:ascii="宋体" w:hAnsi="宋体" w:cs="宋体"/>
          <w:color w:val="auto"/>
          <w:szCs w:val="21"/>
          <w:highlight w:val="none"/>
        </w:rPr>
        <w:drawing>
          <wp:inline distT="0" distB="0" distL="114300" distR="114300">
            <wp:extent cx="4777740" cy="678815"/>
            <wp:effectExtent l="0" t="0" r="381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2"/>
                    <a:stretch>
                      <a:fillRect/>
                    </a:stretch>
                  </pic:blipFill>
                  <pic:spPr>
                    <a:xfrm>
                      <a:off x="0" y="0"/>
                      <a:ext cx="4777740" cy="678815"/>
                    </a:xfrm>
                    <a:prstGeom prst="rect">
                      <a:avLst/>
                    </a:prstGeom>
                    <a:noFill/>
                    <a:ln>
                      <a:noFill/>
                    </a:ln>
                  </pic:spPr>
                </pic:pic>
              </a:graphicData>
            </a:graphic>
          </wp:inline>
        </w:drawing>
      </w:r>
    </w:p>
    <w:p w14:paraId="7FB4734C">
      <w:pPr>
        <w:ind w:firstLine="600"/>
        <w:rPr>
          <w:rFonts w:hint="eastAsia" w:ascii="宋体" w:hAnsi="宋体" w:cs="宋体"/>
          <w:color w:val="auto"/>
          <w:szCs w:val="21"/>
          <w:highlight w:val="none"/>
        </w:rPr>
      </w:pPr>
      <w:r>
        <w:rPr>
          <w:rFonts w:hint="eastAsia" w:ascii="宋体" w:hAnsi="宋体" w:cs="宋体"/>
          <w:color w:val="auto"/>
          <w:szCs w:val="21"/>
          <w:highlight w:val="none"/>
        </w:rPr>
        <w:t>公式中：△P---需调整的价格差额；</w:t>
      </w:r>
    </w:p>
    <w:p w14:paraId="1AC84B7C">
      <w:pPr>
        <w:ind w:firstLine="60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vertAlign w:val="subscript"/>
        </w:rPr>
        <w:t>O</w:t>
      </w:r>
      <w:r>
        <w:rPr>
          <w:rFonts w:hint="eastAsia" w:ascii="宋体" w:hAnsi="宋体" w:cs="宋体"/>
          <w:color w:val="auto"/>
          <w:szCs w:val="21"/>
          <w:highlight w:val="none"/>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14:paraId="7EC35F9E">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A ---定值权重（即不调部分的权重）； </w:t>
      </w:r>
    </w:p>
    <w:p w14:paraId="7FBF3CA2">
      <w:pPr>
        <w:ind w:firstLine="600"/>
        <w:rPr>
          <w:rFonts w:hint="eastAsia" w:ascii="宋体" w:hAnsi="宋体" w:cs="宋体"/>
          <w:color w:val="auto"/>
          <w:szCs w:val="21"/>
          <w:highlight w:val="none"/>
        </w:rPr>
      </w:pPr>
      <w:bookmarkStart w:id="2239" w:name="_Hlk24103184"/>
      <w:r>
        <w:rPr>
          <w:rFonts w:hint="eastAsia" w:ascii="宋体" w:hAnsi="宋体" w:cs="宋体"/>
          <w:color w:val="auto"/>
          <w:szCs w:val="21"/>
          <w:highlight w:val="none"/>
        </w:rPr>
        <w:t>B</w:t>
      </w:r>
      <w:r>
        <w:rPr>
          <w:rFonts w:hint="eastAsia" w:ascii="宋体" w:hAnsi="宋体" w:cs="宋体"/>
          <w:color w:val="auto"/>
          <w:szCs w:val="21"/>
          <w:highlight w:val="none"/>
          <w:vertAlign w:val="subscript"/>
        </w:rPr>
        <w:t>1</w:t>
      </w:r>
      <w:bookmarkEnd w:id="2239"/>
      <w:r>
        <w:rPr>
          <w:rFonts w:hint="eastAsia" w:ascii="宋体" w:hAnsi="宋体" w:cs="宋体"/>
          <w:color w:val="auto"/>
          <w:szCs w:val="21"/>
          <w:highlight w:val="none"/>
        </w:rPr>
        <w:t>；</w:t>
      </w:r>
      <w:bookmarkStart w:id="2240" w:name="_Hlk24103205"/>
      <w:r>
        <w:rPr>
          <w:rFonts w:hint="eastAsia" w:ascii="宋体" w:hAnsi="宋体" w:cs="宋体"/>
          <w:color w:val="auto"/>
          <w:szCs w:val="21"/>
          <w:highlight w:val="none"/>
        </w:rPr>
        <w:t>B</w:t>
      </w:r>
      <w:r>
        <w:rPr>
          <w:rFonts w:hint="eastAsia" w:ascii="宋体" w:hAnsi="宋体" w:cs="宋体"/>
          <w:color w:val="auto"/>
          <w:szCs w:val="21"/>
          <w:highlight w:val="none"/>
          <w:vertAlign w:val="subscript"/>
        </w:rPr>
        <w:t>2</w:t>
      </w:r>
      <w:bookmarkEnd w:id="2240"/>
      <w:r>
        <w:rPr>
          <w:rFonts w:hint="eastAsia" w:ascii="宋体" w:hAnsi="宋体" w:cs="宋体"/>
          <w:color w:val="auto"/>
          <w:szCs w:val="21"/>
          <w:highlight w:val="none"/>
        </w:rPr>
        <w:t>；</w:t>
      </w:r>
      <w:bookmarkStart w:id="2241" w:name="_Hlk24103220"/>
      <w:r>
        <w:rPr>
          <w:rFonts w:hint="eastAsia" w:ascii="宋体" w:hAnsi="宋体" w:cs="宋体"/>
          <w:color w:val="auto"/>
          <w:szCs w:val="21"/>
          <w:highlight w:val="none"/>
        </w:rPr>
        <w:t>B</w:t>
      </w:r>
      <w:r>
        <w:rPr>
          <w:rFonts w:hint="eastAsia" w:ascii="宋体" w:hAnsi="宋体" w:cs="宋体"/>
          <w:color w:val="auto"/>
          <w:szCs w:val="21"/>
          <w:highlight w:val="none"/>
          <w:vertAlign w:val="subscript"/>
        </w:rPr>
        <w:t>3</w:t>
      </w:r>
      <w:bookmarkEnd w:id="2241"/>
      <w:r>
        <w:rPr>
          <w:rFonts w:hint="eastAsia" w:ascii="宋体" w:hAnsi="宋体" w:cs="宋体"/>
          <w:color w:val="auto"/>
          <w:szCs w:val="21"/>
          <w:highlight w:val="none"/>
        </w:rPr>
        <w:t>；……</w:t>
      </w:r>
      <w:bookmarkStart w:id="2242" w:name="_Hlk24103245"/>
      <w:r>
        <w:rPr>
          <w:rFonts w:hint="eastAsia" w:ascii="宋体" w:hAnsi="宋体" w:cs="宋体"/>
          <w:color w:val="auto"/>
          <w:szCs w:val="21"/>
          <w:highlight w:val="none"/>
        </w:rPr>
        <w:t>B</w:t>
      </w:r>
      <w:r>
        <w:rPr>
          <w:rFonts w:hint="eastAsia" w:ascii="宋体" w:hAnsi="宋体" w:cs="宋体"/>
          <w:color w:val="auto"/>
          <w:szCs w:val="21"/>
          <w:highlight w:val="none"/>
          <w:vertAlign w:val="subscript"/>
        </w:rPr>
        <w:t>n</w:t>
      </w:r>
      <w:bookmarkEnd w:id="2242"/>
      <w:r>
        <w:rPr>
          <w:rFonts w:hint="eastAsia" w:ascii="宋体" w:hAnsi="宋体" w:cs="宋体"/>
          <w:color w:val="auto"/>
          <w:szCs w:val="21"/>
          <w:highlight w:val="none"/>
        </w:rPr>
        <w:t>---各可调因子的变值权重（即可调部分的权重）为各可调因子在投标函投标总报价中所占的比例，且A+B</w:t>
      </w:r>
      <w:r>
        <w:rPr>
          <w:rFonts w:hint="eastAsia" w:ascii="宋体" w:hAnsi="宋体" w:cs="宋体"/>
          <w:color w:val="auto"/>
          <w:szCs w:val="21"/>
          <w:highlight w:val="none"/>
          <w:vertAlign w:val="subscript"/>
        </w:rPr>
        <w:t>1</w:t>
      </w:r>
      <w:r>
        <w:rPr>
          <w:rFonts w:hint="eastAsia" w:ascii="宋体" w:hAnsi="宋体" w:cs="宋体"/>
          <w:color w:val="auto"/>
          <w:szCs w:val="21"/>
          <w:highlight w:val="none"/>
        </w:rPr>
        <w:t>+B</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+B</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+……+B</w:t>
      </w:r>
      <w:r>
        <w:rPr>
          <w:rFonts w:hint="eastAsia" w:ascii="宋体" w:hAnsi="宋体" w:cs="宋体"/>
          <w:color w:val="auto"/>
          <w:szCs w:val="21"/>
          <w:highlight w:val="none"/>
          <w:vertAlign w:val="subscript"/>
        </w:rPr>
        <w:t>n</w:t>
      </w:r>
      <w:r>
        <w:rPr>
          <w:rFonts w:hint="eastAsia" w:ascii="宋体" w:hAnsi="宋体" w:cs="宋体"/>
          <w:color w:val="auto"/>
          <w:szCs w:val="21"/>
          <w:highlight w:val="none"/>
        </w:rPr>
        <w:t>=1；</w:t>
      </w:r>
    </w:p>
    <w:p w14:paraId="2185F601">
      <w:pPr>
        <w:ind w:firstLine="600"/>
        <w:rPr>
          <w:rFonts w:hint="eastAsia" w:ascii="宋体" w:hAnsi="宋体" w:cs="宋体"/>
          <w:color w:val="auto"/>
          <w:szCs w:val="21"/>
          <w:highlight w:val="none"/>
        </w:rPr>
      </w:pPr>
      <w:r>
        <w:rPr>
          <w:rFonts w:hint="eastAsia" w:ascii="宋体" w:hAnsi="宋体" w:cs="宋体"/>
          <w:color w:val="auto"/>
          <w:szCs w:val="21"/>
          <w:highlight w:val="none"/>
        </w:rPr>
        <w:t>F</w:t>
      </w:r>
      <w:r>
        <w:rPr>
          <w:rFonts w:hint="eastAsia" w:ascii="宋体" w:hAnsi="宋体" w:cs="宋体"/>
          <w:color w:val="auto"/>
          <w:szCs w:val="21"/>
          <w:highlight w:val="none"/>
          <w:vertAlign w:val="subscript"/>
        </w:rPr>
        <w:t>t1</w:t>
      </w:r>
      <w:r>
        <w:rPr>
          <w:rFonts w:hint="eastAsia" w:ascii="宋体" w:hAnsi="宋体" w:cs="宋体"/>
          <w:color w:val="auto"/>
          <w:szCs w:val="21"/>
          <w:highlight w:val="none"/>
        </w:rPr>
        <w:t>；F</w:t>
      </w:r>
      <w:r>
        <w:rPr>
          <w:rFonts w:hint="eastAsia" w:ascii="宋体" w:hAnsi="宋体" w:cs="宋体"/>
          <w:color w:val="auto"/>
          <w:szCs w:val="21"/>
          <w:highlight w:val="none"/>
          <w:vertAlign w:val="subscript"/>
        </w:rPr>
        <w:t>t2</w:t>
      </w:r>
      <w:r>
        <w:rPr>
          <w:rFonts w:hint="eastAsia" w:ascii="宋体" w:hAnsi="宋体" w:cs="宋体"/>
          <w:color w:val="auto"/>
          <w:szCs w:val="21"/>
          <w:highlight w:val="none"/>
        </w:rPr>
        <w:t>；F</w:t>
      </w:r>
      <w:r>
        <w:rPr>
          <w:rFonts w:hint="eastAsia" w:ascii="宋体" w:hAnsi="宋体" w:cs="宋体"/>
          <w:color w:val="auto"/>
          <w:szCs w:val="21"/>
          <w:highlight w:val="none"/>
          <w:vertAlign w:val="subscript"/>
        </w:rPr>
        <w:t>t3</w:t>
      </w:r>
      <w:r>
        <w:rPr>
          <w:rFonts w:hint="eastAsia" w:ascii="宋体" w:hAnsi="宋体" w:cs="宋体"/>
          <w:color w:val="auto"/>
          <w:szCs w:val="21"/>
          <w:highlight w:val="none"/>
        </w:rPr>
        <w:t>；……F</w:t>
      </w:r>
      <w:r>
        <w:rPr>
          <w:rFonts w:hint="eastAsia" w:ascii="宋体" w:hAnsi="宋体" w:cs="宋体"/>
          <w:color w:val="auto"/>
          <w:szCs w:val="21"/>
          <w:highlight w:val="none"/>
          <w:vertAlign w:val="subscript"/>
        </w:rPr>
        <w:t>tn</w:t>
      </w:r>
      <w:r>
        <w:rPr>
          <w:rFonts w:hint="eastAsia" w:ascii="宋体" w:hAnsi="宋体" w:cs="宋体"/>
          <w:color w:val="auto"/>
          <w:szCs w:val="21"/>
          <w:highlight w:val="none"/>
        </w:rPr>
        <w:t>---各可调因子的当期价格指数，指付款证书相关周期最后一天的前42天的各可调因子的价格指数；</w:t>
      </w:r>
    </w:p>
    <w:p w14:paraId="1F4D10F0">
      <w:pPr>
        <w:ind w:firstLine="600"/>
        <w:rPr>
          <w:rFonts w:hint="eastAsia" w:ascii="宋体" w:hAnsi="宋体" w:cs="宋体"/>
          <w:color w:val="auto"/>
          <w:szCs w:val="21"/>
          <w:highlight w:val="none"/>
        </w:rPr>
      </w:pPr>
      <w:r>
        <w:rPr>
          <w:rFonts w:hint="eastAsia" w:ascii="宋体" w:hAnsi="宋体" w:cs="宋体"/>
          <w:color w:val="auto"/>
          <w:szCs w:val="21"/>
          <w:highlight w:val="none"/>
        </w:rPr>
        <w:t>F</w:t>
      </w:r>
      <w:r>
        <w:rPr>
          <w:rFonts w:hint="eastAsia" w:ascii="宋体" w:hAnsi="宋体" w:cs="宋体"/>
          <w:color w:val="auto"/>
          <w:szCs w:val="21"/>
          <w:highlight w:val="none"/>
          <w:vertAlign w:val="subscript"/>
        </w:rPr>
        <w:t>01</w:t>
      </w:r>
      <w:r>
        <w:rPr>
          <w:rFonts w:hint="eastAsia" w:ascii="宋体" w:hAnsi="宋体" w:cs="宋体"/>
          <w:color w:val="auto"/>
          <w:szCs w:val="21"/>
          <w:highlight w:val="none"/>
        </w:rPr>
        <w:t>；F</w:t>
      </w:r>
      <w:r>
        <w:rPr>
          <w:rFonts w:hint="eastAsia" w:ascii="宋体" w:hAnsi="宋体" w:cs="宋体"/>
          <w:color w:val="auto"/>
          <w:szCs w:val="21"/>
          <w:highlight w:val="none"/>
          <w:vertAlign w:val="subscript"/>
        </w:rPr>
        <w:t>02</w:t>
      </w:r>
      <w:r>
        <w:rPr>
          <w:rFonts w:hint="eastAsia" w:ascii="宋体" w:hAnsi="宋体" w:cs="宋体"/>
          <w:color w:val="auto"/>
          <w:szCs w:val="21"/>
          <w:highlight w:val="none"/>
        </w:rPr>
        <w:t>；F</w:t>
      </w:r>
      <w:r>
        <w:rPr>
          <w:rFonts w:hint="eastAsia" w:ascii="宋体" w:hAnsi="宋体" w:cs="宋体"/>
          <w:color w:val="auto"/>
          <w:szCs w:val="21"/>
          <w:highlight w:val="none"/>
          <w:vertAlign w:val="subscript"/>
        </w:rPr>
        <w:t>03</w:t>
      </w:r>
      <w:r>
        <w:rPr>
          <w:rFonts w:hint="eastAsia" w:ascii="宋体" w:hAnsi="宋体" w:cs="宋体"/>
          <w:color w:val="auto"/>
          <w:szCs w:val="21"/>
          <w:highlight w:val="none"/>
        </w:rPr>
        <w:t>；……F</w:t>
      </w:r>
      <w:r>
        <w:rPr>
          <w:rFonts w:hint="eastAsia" w:ascii="宋体" w:hAnsi="宋体" w:cs="宋体"/>
          <w:color w:val="auto"/>
          <w:szCs w:val="21"/>
          <w:highlight w:val="none"/>
          <w:vertAlign w:val="subscript"/>
        </w:rPr>
        <w:t>0n</w:t>
      </w:r>
      <w:r>
        <w:rPr>
          <w:rFonts w:hint="eastAsia" w:ascii="宋体" w:hAnsi="宋体" w:cs="宋体"/>
          <w:color w:val="auto"/>
          <w:szCs w:val="21"/>
          <w:highlight w:val="none"/>
        </w:rPr>
        <w:t>---各可调因子的基本价格指数，指基准日期的各可调因子的价格指数。</w:t>
      </w:r>
    </w:p>
    <w:p w14:paraId="01867ED4">
      <w:pPr>
        <w:ind w:firstLine="600"/>
        <w:rPr>
          <w:rFonts w:hint="eastAsia" w:ascii="宋体" w:hAnsi="宋体" w:cs="宋体"/>
          <w:color w:val="auto"/>
          <w:szCs w:val="21"/>
          <w:highlight w:val="none"/>
        </w:rPr>
      </w:pPr>
      <w:r>
        <w:rPr>
          <w:rFonts w:hint="eastAsia" w:ascii="宋体" w:hAnsi="宋体" w:cs="宋体"/>
          <w:color w:val="auto"/>
          <w:szCs w:val="21"/>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0B98C10A">
      <w:pPr>
        <w:ind w:firstLine="600"/>
        <w:rPr>
          <w:rFonts w:hint="eastAsia" w:ascii="宋体" w:hAnsi="宋体" w:cs="宋体"/>
          <w:color w:val="auto"/>
          <w:szCs w:val="21"/>
          <w:highlight w:val="none"/>
        </w:rPr>
      </w:pPr>
      <w:r>
        <w:rPr>
          <w:rFonts w:hint="eastAsia" w:ascii="宋体" w:hAnsi="宋体" w:cs="宋体"/>
          <w:color w:val="auto"/>
          <w:szCs w:val="21"/>
          <w:highlight w:val="none"/>
        </w:rPr>
        <w:t>（2） 暂时确定调整差额</w:t>
      </w:r>
    </w:p>
    <w:p w14:paraId="6AB32E53">
      <w:pPr>
        <w:ind w:firstLine="600"/>
        <w:rPr>
          <w:rFonts w:hint="eastAsia" w:ascii="宋体" w:hAnsi="宋体" w:cs="宋体"/>
          <w:color w:val="auto"/>
          <w:szCs w:val="21"/>
          <w:highlight w:val="none"/>
        </w:rPr>
      </w:pPr>
      <w:r>
        <w:rPr>
          <w:rFonts w:hint="eastAsia" w:ascii="宋体" w:hAnsi="宋体" w:cs="宋体"/>
          <w:color w:val="auto"/>
          <w:szCs w:val="21"/>
          <w:highlight w:val="none"/>
        </w:rPr>
        <w:t>在计算调整差额时得不到当期价格指数的，可暂用上一次价格指数计算，并在以后的付款中再按实际价格指数进行调整。</w:t>
      </w:r>
    </w:p>
    <w:p w14:paraId="73354181">
      <w:pPr>
        <w:ind w:firstLine="600"/>
        <w:rPr>
          <w:rFonts w:hint="eastAsia" w:ascii="宋体" w:hAnsi="宋体" w:cs="宋体"/>
          <w:color w:val="auto"/>
          <w:szCs w:val="21"/>
          <w:highlight w:val="none"/>
        </w:rPr>
      </w:pPr>
      <w:r>
        <w:rPr>
          <w:rFonts w:hint="eastAsia" w:ascii="宋体" w:hAnsi="宋体" w:cs="宋体"/>
          <w:color w:val="auto"/>
          <w:szCs w:val="21"/>
          <w:highlight w:val="none"/>
        </w:rPr>
        <w:t>（3） 权重的调整</w:t>
      </w:r>
    </w:p>
    <w:p w14:paraId="2A83293F">
      <w:pPr>
        <w:ind w:firstLine="600"/>
        <w:rPr>
          <w:rFonts w:hint="eastAsia" w:ascii="宋体" w:hAnsi="宋体" w:cs="宋体"/>
          <w:color w:val="auto"/>
          <w:szCs w:val="21"/>
          <w:highlight w:val="none"/>
        </w:rPr>
      </w:pPr>
      <w:r>
        <w:rPr>
          <w:rFonts w:hint="eastAsia" w:ascii="宋体" w:hAnsi="宋体" w:cs="宋体"/>
          <w:color w:val="auto"/>
          <w:szCs w:val="21"/>
          <w:highlight w:val="none"/>
        </w:rPr>
        <w:t>按第13.1款[发包人变更权]约定的变更导致原定合同中的权重不合理的，由工程师与承包人和发包人协商后进行调整。</w:t>
      </w:r>
    </w:p>
    <w:p w14:paraId="7E8D0D72">
      <w:pPr>
        <w:ind w:firstLine="600"/>
        <w:rPr>
          <w:rFonts w:hint="eastAsia" w:ascii="宋体" w:hAnsi="宋体" w:cs="宋体"/>
          <w:color w:val="auto"/>
          <w:szCs w:val="21"/>
          <w:highlight w:val="none"/>
        </w:rPr>
      </w:pPr>
      <w:r>
        <w:rPr>
          <w:rFonts w:hint="eastAsia" w:ascii="宋体" w:hAnsi="宋体" w:cs="宋体"/>
          <w:color w:val="auto"/>
          <w:szCs w:val="21"/>
          <w:highlight w:val="none"/>
        </w:rPr>
        <w:t>（4） 承包人原因工期延误后的价格调整</w:t>
      </w:r>
    </w:p>
    <w:p w14:paraId="07D00CA7">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14:paraId="56C80566">
      <w:pPr>
        <w:ind w:firstLine="600"/>
        <w:rPr>
          <w:rFonts w:hint="eastAsia" w:ascii="宋体" w:hAnsi="宋体" w:cs="宋体"/>
          <w:color w:val="auto"/>
          <w:szCs w:val="21"/>
          <w:highlight w:val="none"/>
        </w:rPr>
      </w:pPr>
      <w:r>
        <w:rPr>
          <w:rFonts w:hint="eastAsia" w:ascii="宋体" w:hAnsi="宋体" w:cs="宋体"/>
          <w:color w:val="auto"/>
          <w:szCs w:val="21"/>
          <w:highlight w:val="none"/>
        </w:rPr>
        <w:t>（5） 发包人引起的工期延误后的价格调整</w:t>
      </w:r>
    </w:p>
    <w:p w14:paraId="27ED0F6C">
      <w:pPr>
        <w:ind w:firstLine="600"/>
        <w:rPr>
          <w:rFonts w:hint="eastAsia" w:ascii="宋体" w:hAnsi="宋体" w:cs="宋体"/>
          <w:color w:val="auto"/>
          <w:szCs w:val="21"/>
          <w:highlight w:val="none"/>
        </w:rPr>
      </w:pPr>
      <w:r>
        <w:rPr>
          <w:rFonts w:hint="eastAsia" w:ascii="宋体" w:hAnsi="宋体" w:cs="宋体"/>
          <w:color w:val="auto"/>
          <w:szCs w:val="21"/>
          <w:highlight w:val="none"/>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5C905C65">
      <w:pPr>
        <w:pStyle w:val="89"/>
        <w:numPr>
          <w:ilvl w:val="0"/>
          <w:numId w:val="0"/>
        </w:numPr>
        <w:spacing w:after="156"/>
        <w:rPr>
          <w:rFonts w:hint="eastAsia" w:cs="宋体"/>
          <w:color w:val="auto"/>
          <w:sz w:val="21"/>
          <w:highlight w:val="none"/>
        </w:rPr>
      </w:pPr>
      <w:r>
        <w:rPr>
          <w:rFonts w:hint="eastAsia" w:cs="宋体"/>
          <w:color w:val="auto"/>
          <w:sz w:val="21"/>
          <w:highlight w:val="none"/>
        </w:rPr>
        <w:t>13.8.2.2 未列入</w:t>
      </w:r>
      <w:bookmarkStart w:id="2243" w:name="_Hlk24494865"/>
      <w:r>
        <w:rPr>
          <w:rFonts w:hint="eastAsia" w:cs="宋体"/>
          <w:color w:val="auto"/>
          <w:sz w:val="21"/>
          <w:highlight w:val="none"/>
        </w:rPr>
        <w:t>《价格指数权重表》</w:t>
      </w:r>
      <w:bookmarkEnd w:id="2243"/>
      <w:r>
        <w:rPr>
          <w:rFonts w:hint="eastAsia" w:cs="宋体"/>
          <w:color w:val="auto"/>
          <w:sz w:val="21"/>
          <w:highlight w:val="none"/>
        </w:rPr>
        <w:t>的费用不因市场变化而调整。</w:t>
      </w:r>
    </w:p>
    <w:p w14:paraId="14D64E5D">
      <w:pPr>
        <w:pStyle w:val="88"/>
        <w:numPr>
          <w:ilvl w:val="0"/>
          <w:numId w:val="0"/>
        </w:numPr>
        <w:spacing w:after="156"/>
        <w:rPr>
          <w:rFonts w:hint="eastAsia" w:cs="宋体"/>
          <w:color w:val="auto"/>
          <w:sz w:val="21"/>
          <w:highlight w:val="none"/>
        </w:rPr>
      </w:pPr>
      <w:r>
        <w:rPr>
          <w:rFonts w:hint="eastAsia" w:cs="宋体"/>
          <w:color w:val="auto"/>
          <w:sz w:val="21"/>
          <w:highlight w:val="none"/>
        </w:rPr>
        <w:t>13.8.3 双方约定采用其他方式调整合同价款的，以专用合同条件约定为准。</w:t>
      </w:r>
    </w:p>
    <w:p w14:paraId="16063CC9">
      <w:pPr>
        <w:pStyle w:val="86"/>
        <w:numPr>
          <w:ilvl w:val="0"/>
          <w:numId w:val="0"/>
        </w:numPr>
        <w:rPr>
          <w:rFonts w:hint="eastAsia" w:ascii="宋体" w:hAnsi="宋体" w:eastAsia="宋体" w:cs="宋体"/>
          <w:b w:val="0"/>
          <w:color w:val="auto"/>
          <w:sz w:val="21"/>
          <w:szCs w:val="21"/>
          <w:highlight w:val="none"/>
        </w:rPr>
      </w:pPr>
      <w:bookmarkStart w:id="2244" w:name="_Toc15617"/>
      <w:bookmarkStart w:id="2245" w:name="_Toc20347"/>
      <w:bookmarkStart w:id="2246" w:name="_Toc14833"/>
      <w:bookmarkStart w:id="2247" w:name="_Toc22260"/>
      <w:bookmarkStart w:id="2248" w:name="_Toc13397"/>
      <w:bookmarkStart w:id="2249" w:name="_Toc103175765"/>
      <w:bookmarkStart w:id="2250" w:name="_Toc12380"/>
      <w:bookmarkStart w:id="2251" w:name="_Toc2977"/>
      <w:bookmarkStart w:id="2252" w:name="_Toc7221"/>
      <w:bookmarkStart w:id="2253" w:name="_Toc21715"/>
      <w:bookmarkStart w:id="2254" w:name="_Ref531955885"/>
      <w:bookmarkStart w:id="2255" w:name="_Ref531955880"/>
      <w:bookmarkStart w:id="2256" w:name="_Toc28532"/>
      <w:r>
        <w:rPr>
          <w:rFonts w:hint="eastAsia" w:ascii="宋体" w:hAnsi="宋体" w:eastAsia="宋体" w:cs="宋体"/>
          <w:b w:val="0"/>
          <w:color w:val="auto"/>
          <w:sz w:val="21"/>
          <w:szCs w:val="21"/>
          <w:highlight w:val="none"/>
        </w:rPr>
        <w:t>第14条 合同价格与支付</w:t>
      </w:r>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14:paraId="0524A2B9">
      <w:pPr>
        <w:pStyle w:val="87"/>
        <w:widowControl/>
        <w:numPr>
          <w:ilvl w:val="0"/>
          <w:numId w:val="0"/>
        </w:numPr>
        <w:spacing w:after="156"/>
        <w:rPr>
          <w:rFonts w:hint="eastAsia" w:ascii="宋体" w:hAnsi="宋体" w:eastAsia="宋体" w:cs="宋体"/>
          <w:b w:val="0"/>
          <w:bCs/>
          <w:color w:val="auto"/>
          <w:sz w:val="21"/>
          <w:szCs w:val="21"/>
          <w:highlight w:val="none"/>
        </w:rPr>
      </w:pPr>
      <w:bookmarkStart w:id="2257" w:name="_Toc20822"/>
      <w:bookmarkStart w:id="2258" w:name="_Ref4431531"/>
      <w:bookmarkStart w:id="2259" w:name="_Toc103175766"/>
      <w:bookmarkStart w:id="2260" w:name="_Toc31667"/>
      <w:bookmarkStart w:id="2261" w:name="_Toc4981"/>
      <w:bookmarkStart w:id="2262" w:name="_Ref4431521"/>
      <w:bookmarkStart w:id="2263" w:name="_Toc31853"/>
      <w:bookmarkStart w:id="2264" w:name="_Toc25078"/>
      <w:bookmarkStart w:id="2265" w:name="_Toc9857"/>
      <w:bookmarkStart w:id="2266" w:name="_Toc15027"/>
      <w:bookmarkStart w:id="2267" w:name="_Toc30395"/>
      <w:r>
        <w:rPr>
          <w:rFonts w:hint="eastAsia" w:ascii="宋体" w:hAnsi="宋体" w:eastAsia="宋体" w:cs="宋体"/>
          <w:b w:val="0"/>
          <w:bCs/>
          <w:color w:val="auto"/>
          <w:sz w:val="21"/>
          <w:szCs w:val="21"/>
          <w:highlight w:val="none"/>
        </w:rPr>
        <w:t>14.1 合同价格形式</w:t>
      </w:r>
      <w:bookmarkEnd w:id="2257"/>
      <w:bookmarkEnd w:id="2258"/>
      <w:bookmarkEnd w:id="2259"/>
      <w:bookmarkEnd w:id="2260"/>
      <w:bookmarkEnd w:id="2261"/>
      <w:bookmarkEnd w:id="2262"/>
      <w:bookmarkEnd w:id="2263"/>
      <w:bookmarkEnd w:id="2264"/>
      <w:bookmarkEnd w:id="2265"/>
      <w:bookmarkEnd w:id="2266"/>
      <w:bookmarkEnd w:id="2267"/>
    </w:p>
    <w:p w14:paraId="5E62A587">
      <w:pPr>
        <w:pStyle w:val="88"/>
        <w:numPr>
          <w:ilvl w:val="0"/>
          <w:numId w:val="0"/>
        </w:numPr>
        <w:spacing w:after="156"/>
        <w:rPr>
          <w:rFonts w:hint="eastAsia" w:cs="宋体"/>
          <w:color w:val="auto"/>
          <w:sz w:val="21"/>
          <w:highlight w:val="none"/>
        </w:rPr>
      </w:pPr>
      <w:r>
        <w:rPr>
          <w:rFonts w:hint="eastAsia" w:cs="宋体"/>
          <w:color w:val="auto"/>
          <w:sz w:val="21"/>
          <w:highlight w:val="none"/>
        </w:rPr>
        <w:t>14.1.1 除专用合同条件中另有约定外，本合同为总价合同，除根据第13条[变更与调整]，以及合同中其它相关增减金额的约定进行调整外，合同价格不做调整。</w:t>
      </w:r>
    </w:p>
    <w:p w14:paraId="242C8BD9">
      <w:pPr>
        <w:pStyle w:val="88"/>
        <w:numPr>
          <w:ilvl w:val="0"/>
          <w:numId w:val="0"/>
        </w:numPr>
        <w:spacing w:after="156"/>
        <w:rPr>
          <w:rFonts w:hint="eastAsia" w:cs="宋体"/>
          <w:color w:val="auto"/>
          <w:sz w:val="21"/>
          <w:highlight w:val="none"/>
        </w:rPr>
      </w:pPr>
      <w:r>
        <w:rPr>
          <w:rFonts w:hint="eastAsia" w:cs="宋体"/>
          <w:color w:val="auto"/>
          <w:sz w:val="21"/>
          <w:highlight w:val="none"/>
        </w:rPr>
        <w:t>14.1.2 除专用合同条件另有约定外：</w:t>
      </w:r>
    </w:p>
    <w:p w14:paraId="5749980B">
      <w:pPr>
        <w:ind w:firstLine="600"/>
        <w:rPr>
          <w:rFonts w:hint="eastAsia" w:ascii="宋体" w:hAnsi="宋体" w:cs="宋体"/>
          <w:color w:val="auto"/>
          <w:szCs w:val="21"/>
          <w:highlight w:val="none"/>
        </w:rPr>
      </w:pPr>
      <w:r>
        <w:rPr>
          <w:rFonts w:hint="eastAsia" w:ascii="宋体" w:hAnsi="宋体" w:cs="宋体"/>
          <w:color w:val="auto"/>
          <w:szCs w:val="21"/>
          <w:highlight w:val="none"/>
        </w:rPr>
        <w:t>（1） 工程款的支付应以合同协议书约定的签约合同价格为基础，按照合同约定进行调整；</w:t>
      </w:r>
    </w:p>
    <w:p w14:paraId="58F4596A">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承包人应支付根据法律规定或合同约定应由其支付的各项税费，除第13.7款[法律变化引起的调整]约定外，合同价格不应因任何这些税费进行调整；</w:t>
      </w:r>
    </w:p>
    <w:p w14:paraId="6B7F13B4">
      <w:pPr>
        <w:ind w:firstLine="600"/>
        <w:rPr>
          <w:rFonts w:hint="eastAsia" w:ascii="宋体" w:hAnsi="宋体" w:cs="宋体"/>
          <w:color w:val="auto"/>
          <w:szCs w:val="21"/>
          <w:highlight w:val="none"/>
        </w:rPr>
      </w:pPr>
      <w:r>
        <w:rPr>
          <w:rFonts w:hint="eastAsia" w:ascii="宋体" w:hAnsi="宋体" w:cs="宋体"/>
          <w:color w:val="auto"/>
          <w:szCs w:val="21"/>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22899544">
      <w:pPr>
        <w:pStyle w:val="88"/>
        <w:numPr>
          <w:ilvl w:val="0"/>
          <w:numId w:val="0"/>
        </w:numPr>
        <w:spacing w:after="156"/>
        <w:rPr>
          <w:rFonts w:hint="eastAsia" w:cs="宋体"/>
          <w:color w:val="auto"/>
          <w:sz w:val="21"/>
          <w:highlight w:val="none"/>
        </w:rPr>
      </w:pPr>
      <w:r>
        <w:rPr>
          <w:rFonts w:hint="eastAsia" w:cs="宋体"/>
          <w:color w:val="auto"/>
          <w:sz w:val="21"/>
          <w:highlight w:val="none"/>
        </w:rPr>
        <w:t>14.1.3 合同约定工程的某部分按照实际完成的工程量进行支付的，应按照专用合同条件的约定进行计量和估价，并据此调整合同价格。</w:t>
      </w:r>
    </w:p>
    <w:p w14:paraId="7EC0D4B7">
      <w:pPr>
        <w:pStyle w:val="87"/>
        <w:widowControl/>
        <w:numPr>
          <w:ilvl w:val="0"/>
          <w:numId w:val="0"/>
        </w:numPr>
        <w:spacing w:after="156"/>
        <w:rPr>
          <w:rFonts w:hint="eastAsia" w:ascii="宋体" w:hAnsi="宋体" w:eastAsia="宋体" w:cs="宋体"/>
          <w:b w:val="0"/>
          <w:bCs/>
          <w:color w:val="auto"/>
          <w:sz w:val="21"/>
          <w:szCs w:val="21"/>
          <w:highlight w:val="none"/>
        </w:rPr>
      </w:pPr>
      <w:bookmarkStart w:id="2268" w:name="_Toc23328"/>
      <w:bookmarkStart w:id="2269" w:name="_Ref531956884"/>
      <w:bookmarkStart w:id="2270" w:name="_Toc17513"/>
      <w:bookmarkStart w:id="2271" w:name="_Ref531956881"/>
      <w:bookmarkStart w:id="2272" w:name="_Toc27069"/>
      <w:bookmarkStart w:id="2273" w:name="_Toc2335"/>
      <w:bookmarkStart w:id="2274" w:name="_Toc22637"/>
      <w:bookmarkStart w:id="2275" w:name="_Toc22283"/>
      <w:bookmarkStart w:id="2276" w:name="_Toc103175767"/>
      <w:bookmarkStart w:id="2277" w:name="_Toc29290"/>
      <w:bookmarkStart w:id="2278" w:name="_Toc27874"/>
      <w:r>
        <w:rPr>
          <w:rFonts w:hint="eastAsia" w:ascii="宋体" w:hAnsi="宋体" w:eastAsia="宋体" w:cs="宋体"/>
          <w:b w:val="0"/>
          <w:bCs/>
          <w:color w:val="auto"/>
          <w:sz w:val="21"/>
          <w:szCs w:val="21"/>
          <w:highlight w:val="none"/>
        </w:rPr>
        <w:t>14.2 预付款</w:t>
      </w:r>
      <w:bookmarkEnd w:id="2268"/>
      <w:bookmarkEnd w:id="2269"/>
      <w:bookmarkEnd w:id="2270"/>
      <w:bookmarkEnd w:id="2271"/>
      <w:bookmarkEnd w:id="2272"/>
      <w:bookmarkEnd w:id="2273"/>
      <w:bookmarkEnd w:id="2274"/>
      <w:bookmarkEnd w:id="2275"/>
      <w:bookmarkEnd w:id="2276"/>
      <w:bookmarkEnd w:id="2277"/>
      <w:bookmarkEnd w:id="2278"/>
    </w:p>
    <w:p w14:paraId="0F1BA06A">
      <w:pPr>
        <w:pStyle w:val="88"/>
        <w:numPr>
          <w:ilvl w:val="0"/>
          <w:numId w:val="0"/>
        </w:numPr>
        <w:spacing w:after="156"/>
        <w:rPr>
          <w:rFonts w:hint="eastAsia" w:cs="宋体"/>
          <w:color w:val="auto"/>
          <w:sz w:val="21"/>
          <w:highlight w:val="none"/>
        </w:rPr>
      </w:pPr>
      <w:r>
        <w:rPr>
          <w:rFonts w:hint="eastAsia" w:cs="宋体"/>
          <w:color w:val="auto"/>
          <w:sz w:val="21"/>
          <w:highlight w:val="none"/>
        </w:rPr>
        <w:t>14.2.1 预付款支付</w:t>
      </w:r>
    </w:p>
    <w:p w14:paraId="6AB09CFC">
      <w:pPr>
        <w:ind w:firstLine="600"/>
        <w:rPr>
          <w:rFonts w:hint="eastAsia" w:ascii="宋体" w:hAnsi="宋体" w:cs="宋体"/>
          <w:color w:val="auto"/>
          <w:szCs w:val="21"/>
          <w:highlight w:val="none"/>
        </w:rPr>
      </w:pPr>
      <w:r>
        <w:rPr>
          <w:rFonts w:hint="eastAsia" w:ascii="宋体" w:hAnsi="宋体" w:cs="宋体"/>
          <w:color w:val="auto"/>
          <w:szCs w:val="21"/>
          <w:highlight w:val="none"/>
        </w:rPr>
        <w:t>预付款的额度和支付按照专用合同条件约定执行。预付款应当专用于承包人为合同工程的设计和工程实施购置材料、工程设备、施工设备、修建临时设施以及组织施工队伍进场等合同工作。</w:t>
      </w:r>
    </w:p>
    <w:p w14:paraId="37787631">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除专用合同条件另有约定外，预付款在进度付款中同比例扣回。在颁发工程接收证书前，提前解除合同的，尚未扣完的预付款应与合同价款一并结算。</w:t>
      </w:r>
    </w:p>
    <w:p w14:paraId="182C24A7">
      <w:pPr>
        <w:ind w:firstLine="600"/>
        <w:rPr>
          <w:rFonts w:hint="eastAsia" w:ascii="宋体" w:hAnsi="宋体" w:cs="宋体"/>
          <w:color w:val="auto"/>
          <w:szCs w:val="21"/>
          <w:highlight w:val="none"/>
        </w:rPr>
      </w:pPr>
      <w:r>
        <w:rPr>
          <w:rFonts w:hint="eastAsia" w:ascii="宋体" w:hAnsi="宋体" w:cs="宋体"/>
          <w:color w:val="auto"/>
          <w:szCs w:val="21"/>
          <w:highlight w:val="none"/>
        </w:rPr>
        <w:t>发包人逾期支付预付款超过7天的，承包人有权向发包人发出要求预付的催告通知，发包人收到通知后7天内仍未支付的，承包人有权暂停施工，并按第15.1.1项[发包人违约的情形]执行。</w:t>
      </w:r>
    </w:p>
    <w:p w14:paraId="1AD5411A">
      <w:pPr>
        <w:pStyle w:val="88"/>
        <w:numPr>
          <w:ilvl w:val="0"/>
          <w:numId w:val="0"/>
        </w:numPr>
        <w:spacing w:after="156"/>
        <w:rPr>
          <w:rFonts w:hint="eastAsia" w:cs="宋体"/>
          <w:color w:val="auto"/>
          <w:sz w:val="21"/>
          <w:highlight w:val="none"/>
        </w:rPr>
      </w:pPr>
      <w:bookmarkStart w:id="2279" w:name="_Ref531956907"/>
      <w:bookmarkStart w:id="2280" w:name="_Ref4797624"/>
      <w:bookmarkStart w:id="2281" w:name="_Hlk54429963"/>
      <w:r>
        <w:rPr>
          <w:rFonts w:hint="eastAsia" w:cs="宋体"/>
          <w:color w:val="auto"/>
          <w:sz w:val="21"/>
          <w:highlight w:val="none"/>
        </w:rPr>
        <w:t>14.2.2 预付款</w:t>
      </w:r>
      <w:bookmarkEnd w:id="2279"/>
      <w:r>
        <w:rPr>
          <w:rFonts w:hint="eastAsia" w:cs="宋体"/>
          <w:color w:val="auto"/>
          <w:sz w:val="21"/>
          <w:highlight w:val="none"/>
        </w:rPr>
        <w:t>担保</w:t>
      </w:r>
      <w:bookmarkEnd w:id="2280"/>
    </w:p>
    <w:bookmarkEnd w:id="2281"/>
    <w:p w14:paraId="29B3362F">
      <w:pPr>
        <w:ind w:firstLine="600"/>
        <w:rPr>
          <w:rFonts w:hint="eastAsia" w:ascii="宋体" w:hAnsi="宋体" w:cs="宋体"/>
          <w:color w:val="auto"/>
          <w:szCs w:val="21"/>
          <w:highlight w:val="none"/>
        </w:rPr>
      </w:pPr>
      <w:r>
        <w:rPr>
          <w:rFonts w:hint="eastAsia" w:ascii="宋体" w:hAnsi="宋体" w:cs="宋体"/>
          <w:color w:val="auto"/>
          <w:szCs w:val="21"/>
          <w:highlight w:val="none"/>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14:paraId="40AE1E41">
      <w:pPr>
        <w:ind w:firstLine="600"/>
        <w:rPr>
          <w:rFonts w:hint="eastAsia" w:ascii="宋体" w:hAnsi="宋体" w:cs="宋体"/>
          <w:color w:val="auto"/>
          <w:szCs w:val="21"/>
          <w:highlight w:val="none"/>
        </w:rPr>
      </w:pPr>
      <w:r>
        <w:rPr>
          <w:rFonts w:hint="eastAsia" w:ascii="宋体" w:hAnsi="宋体" w:cs="宋体"/>
          <w:color w:val="auto"/>
          <w:szCs w:val="21"/>
          <w:highlight w:val="none"/>
        </w:rPr>
        <w:t>发包人在工程款中逐期扣回预付款后，预付款担保额度应相应减少，但剩余的预付款担保金额不得低于未被扣回的预付款金额。</w:t>
      </w:r>
    </w:p>
    <w:p w14:paraId="21210427">
      <w:pPr>
        <w:pStyle w:val="87"/>
        <w:widowControl/>
        <w:numPr>
          <w:ilvl w:val="0"/>
          <w:numId w:val="0"/>
        </w:numPr>
        <w:spacing w:after="156"/>
        <w:rPr>
          <w:rFonts w:hint="eastAsia" w:ascii="宋体" w:hAnsi="宋体" w:eastAsia="宋体" w:cs="宋体"/>
          <w:b w:val="0"/>
          <w:bCs/>
          <w:color w:val="auto"/>
          <w:sz w:val="21"/>
          <w:szCs w:val="21"/>
          <w:highlight w:val="none"/>
        </w:rPr>
      </w:pPr>
      <w:bookmarkStart w:id="2282" w:name="_Toc4784193"/>
      <w:bookmarkEnd w:id="2282"/>
      <w:bookmarkStart w:id="2283" w:name="_Toc4784195"/>
      <w:bookmarkEnd w:id="2283"/>
      <w:bookmarkStart w:id="2284" w:name="_Toc4784194"/>
      <w:bookmarkEnd w:id="2284"/>
      <w:bookmarkStart w:id="2285" w:name="_Toc103175768"/>
      <w:bookmarkStart w:id="2286" w:name="_Toc24695"/>
      <w:bookmarkStart w:id="2287" w:name="_Toc32489"/>
      <w:bookmarkStart w:id="2288" w:name="_Ref531956963"/>
      <w:bookmarkStart w:id="2289" w:name="_Toc24930"/>
      <w:bookmarkStart w:id="2290" w:name="_Toc19801"/>
      <w:bookmarkStart w:id="2291" w:name="_Toc11107"/>
      <w:bookmarkStart w:id="2292" w:name="_Toc31157"/>
      <w:bookmarkStart w:id="2293" w:name="_Toc11192"/>
      <w:bookmarkStart w:id="2294" w:name="_Toc12319"/>
      <w:bookmarkStart w:id="2295" w:name="_Ref531956967"/>
      <w:bookmarkStart w:id="2296" w:name="_Ref4623398"/>
      <w:r>
        <w:rPr>
          <w:rFonts w:hint="eastAsia" w:ascii="宋体" w:hAnsi="宋体" w:eastAsia="宋体" w:cs="宋体"/>
          <w:b w:val="0"/>
          <w:bCs/>
          <w:color w:val="auto"/>
          <w:sz w:val="21"/>
          <w:szCs w:val="21"/>
          <w:highlight w:val="none"/>
        </w:rPr>
        <w:t>14.3 工程进度款</w:t>
      </w:r>
      <w:bookmarkEnd w:id="2285"/>
      <w:bookmarkEnd w:id="2286"/>
      <w:bookmarkEnd w:id="2287"/>
      <w:bookmarkEnd w:id="2288"/>
      <w:bookmarkEnd w:id="2289"/>
      <w:bookmarkEnd w:id="2290"/>
      <w:bookmarkEnd w:id="2291"/>
      <w:bookmarkEnd w:id="2292"/>
      <w:bookmarkEnd w:id="2293"/>
      <w:bookmarkEnd w:id="2294"/>
      <w:bookmarkEnd w:id="2295"/>
      <w:bookmarkEnd w:id="2296"/>
    </w:p>
    <w:p w14:paraId="401C8896">
      <w:pPr>
        <w:pStyle w:val="88"/>
        <w:numPr>
          <w:ilvl w:val="0"/>
          <w:numId w:val="0"/>
        </w:numPr>
        <w:spacing w:after="156"/>
        <w:rPr>
          <w:rFonts w:hint="eastAsia" w:cs="宋体"/>
          <w:color w:val="auto"/>
          <w:sz w:val="21"/>
          <w:highlight w:val="none"/>
        </w:rPr>
      </w:pPr>
      <w:bookmarkStart w:id="2297" w:name="_Ref531956987"/>
      <w:bookmarkStart w:id="2298" w:name="_Ref532679934"/>
      <w:r>
        <w:rPr>
          <w:rFonts w:hint="eastAsia" w:cs="宋体"/>
          <w:color w:val="auto"/>
          <w:sz w:val="21"/>
          <w:highlight w:val="none"/>
        </w:rPr>
        <w:t>14.3.1 工程进度付款申请</w:t>
      </w:r>
      <w:bookmarkEnd w:id="2297"/>
      <w:bookmarkEnd w:id="2298"/>
    </w:p>
    <w:p w14:paraId="2B39776F">
      <w:pPr>
        <w:ind w:firstLine="600"/>
        <w:rPr>
          <w:rFonts w:hint="eastAsia" w:ascii="宋体" w:hAnsi="宋体" w:cs="宋体"/>
          <w:color w:val="auto"/>
          <w:szCs w:val="21"/>
          <w:highlight w:val="none"/>
        </w:rPr>
      </w:pPr>
      <w:r>
        <w:rPr>
          <w:rFonts w:hint="eastAsia" w:ascii="宋体" w:hAnsi="宋体" w:cs="宋体"/>
          <w:color w:val="auto"/>
          <w:szCs w:val="21"/>
          <w:highlight w:val="none"/>
        </w:rPr>
        <w:t>（1）人工费的申请</w:t>
      </w:r>
    </w:p>
    <w:p w14:paraId="1DBE85FB">
      <w:pPr>
        <w:ind w:firstLine="600"/>
        <w:rPr>
          <w:rFonts w:hint="eastAsia" w:ascii="宋体" w:hAnsi="宋体" w:cs="宋体"/>
          <w:color w:val="auto"/>
          <w:szCs w:val="21"/>
          <w:highlight w:val="none"/>
        </w:rPr>
      </w:pPr>
      <w:r>
        <w:rPr>
          <w:rFonts w:hint="eastAsia" w:ascii="宋体" w:hAnsi="宋体" w:cs="宋体"/>
          <w:color w:val="auto"/>
          <w:szCs w:val="21"/>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14:paraId="02197936">
      <w:pPr>
        <w:ind w:firstLine="600"/>
        <w:rPr>
          <w:rFonts w:hint="eastAsia" w:ascii="宋体" w:hAnsi="宋体" w:cs="宋体"/>
          <w:color w:val="auto"/>
          <w:szCs w:val="21"/>
          <w:highlight w:val="none"/>
        </w:rPr>
      </w:pPr>
      <w:r>
        <w:rPr>
          <w:rFonts w:hint="eastAsia" w:ascii="宋体" w:hAnsi="宋体" w:cs="宋体"/>
          <w:color w:val="auto"/>
          <w:szCs w:val="21"/>
          <w:highlight w:val="none"/>
        </w:rPr>
        <w:t>（2）除专用合同条件另有约定外，承包人应在每月月末向工程师提交进度付款申请单，该进度付款申请单应包括下列内容：</w:t>
      </w:r>
    </w:p>
    <w:p w14:paraId="6C3D3C69">
      <w:pPr>
        <w:ind w:firstLine="600"/>
        <w:rPr>
          <w:rFonts w:hint="eastAsia" w:ascii="宋体" w:hAnsi="宋体" w:cs="宋体"/>
          <w:color w:val="auto"/>
          <w:szCs w:val="21"/>
          <w:highlight w:val="none"/>
        </w:rPr>
      </w:pPr>
      <w:bookmarkStart w:id="2299" w:name="_Ref24496054"/>
      <w:r>
        <w:rPr>
          <w:rFonts w:hint="eastAsia" w:ascii="宋体" w:hAnsi="宋体" w:cs="宋体"/>
          <w:color w:val="auto"/>
          <w:szCs w:val="21"/>
          <w:highlight w:val="none"/>
        </w:rPr>
        <w:t>1） 截至本次付款周期内已完成工作对应的金额；</w:t>
      </w:r>
      <w:bookmarkEnd w:id="2299"/>
    </w:p>
    <w:p w14:paraId="731BE5ED">
      <w:pPr>
        <w:ind w:firstLine="600"/>
        <w:rPr>
          <w:rFonts w:hint="eastAsia" w:ascii="宋体" w:hAnsi="宋体" w:cs="宋体"/>
          <w:color w:val="auto"/>
          <w:szCs w:val="21"/>
          <w:highlight w:val="none"/>
        </w:rPr>
      </w:pPr>
      <w:r>
        <w:rPr>
          <w:rFonts w:hint="eastAsia" w:ascii="宋体" w:hAnsi="宋体" w:cs="宋体"/>
          <w:color w:val="auto"/>
          <w:szCs w:val="21"/>
          <w:highlight w:val="none"/>
        </w:rPr>
        <w:t>2） 扣除依据本款第（1）目约定中已扣除的人工费金额；</w:t>
      </w:r>
    </w:p>
    <w:p w14:paraId="0BC3AF5C">
      <w:pPr>
        <w:ind w:firstLine="600"/>
        <w:rPr>
          <w:rFonts w:hint="eastAsia" w:ascii="宋体" w:hAnsi="宋体" w:cs="宋体"/>
          <w:color w:val="auto"/>
          <w:szCs w:val="21"/>
          <w:highlight w:val="none"/>
        </w:rPr>
      </w:pPr>
      <w:r>
        <w:rPr>
          <w:rFonts w:hint="eastAsia" w:ascii="宋体" w:hAnsi="宋体" w:cs="宋体"/>
          <w:color w:val="auto"/>
          <w:szCs w:val="21"/>
          <w:highlight w:val="none"/>
        </w:rPr>
        <w:t>3） 根据第13条[变更与调整]应增加和扣减的变更金额；</w:t>
      </w:r>
    </w:p>
    <w:p w14:paraId="357F08FF">
      <w:pPr>
        <w:ind w:firstLine="600"/>
        <w:rPr>
          <w:rFonts w:hint="eastAsia" w:ascii="宋体" w:hAnsi="宋体" w:cs="宋体"/>
          <w:color w:val="auto"/>
          <w:szCs w:val="21"/>
          <w:highlight w:val="none"/>
        </w:rPr>
      </w:pPr>
      <w:r>
        <w:rPr>
          <w:rFonts w:hint="eastAsia" w:ascii="宋体" w:hAnsi="宋体" w:cs="宋体"/>
          <w:color w:val="auto"/>
          <w:szCs w:val="21"/>
          <w:highlight w:val="none"/>
        </w:rPr>
        <w:t>4） 根据第14.2款[预付款]约定应支付的预付款和扣减的返还预付款；</w:t>
      </w:r>
    </w:p>
    <w:p w14:paraId="3231B006">
      <w:pPr>
        <w:ind w:firstLine="600"/>
        <w:rPr>
          <w:rFonts w:hint="eastAsia" w:ascii="宋体" w:hAnsi="宋体" w:cs="宋体"/>
          <w:color w:val="auto"/>
          <w:szCs w:val="21"/>
          <w:highlight w:val="none"/>
        </w:rPr>
      </w:pPr>
      <w:r>
        <w:rPr>
          <w:rFonts w:hint="eastAsia" w:ascii="宋体" w:hAnsi="宋体" w:cs="宋体"/>
          <w:color w:val="auto"/>
          <w:szCs w:val="21"/>
          <w:highlight w:val="none"/>
        </w:rPr>
        <w:t>5） 根据第14.6.2项[质量保证金的预留]约定应预留的质量保证金金额；</w:t>
      </w:r>
    </w:p>
    <w:p w14:paraId="656749FC">
      <w:pPr>
        <w:ind w:firstLine="600"/>
        <w:rPr>
          <w:rFonts w:hint="eastAsia" w:ascii="宋体" w:hAnsi="宋体" w:cs="宋体"/>
          <w:color w:val="auto"/>
          <w:szCs w:val="21"/>
          <w:highlight w:val="none"/>
        </w:rPr>
      </w:pPr>
      <w:r>
        <w:rPr>
          <w:rFonts w:hint="eastAsia" w:ascii="宋体" w:hAnsi="宋体" w:cs="宋体"/>
          <w:color w:val="auto"/>
          <w:szCs w:val="21"/>
          <w:highlight w:val="none"/>
        </w:rPr>
        <w:t>6） 根据第19条[索赔]应增加和扣减的索赔金额；</w:t>
      </w:r>
    </w:p>
    <w:p w14:paraId="2C893ADE">
      <w:pPr>
        <w:ind w:firstLine="600"/>
        <w:rPr>
          <w:rFonts w:hint="eastAsia" w:ascii="宋体" w:hAnsi="宋体" w:cs="宋体"/>
          <w:color w:val="auto"/>
          <w:szCs w:val="21"/>
          <w:highlight w:val="none"/>
        </w:rPr>
      </w:pPr>
      <w:r>
        <w:rPr>
          <w:rFonts w:hint="eastAsia" w:ascii="宋体" w:hAnsi="宋体" w:cs="宋体"/>
          <w:color w:val="auto"/>
          <w:szCs w:val="21"/>
          <w:highlight w:val="none"/>
        </w:rPr>
        <w:t>7） 对已签发的进度款支付证书中出现错误的修正，应在本次进度付款中支付或扣除的金额；</w:t>
      </w:r>
    </w:p>
    <w:p w14:paraId="1FE15B93">
      <w:pPr>
        <w:ind w:firstLine="600"/>
        <w:rPr>
          <w:rFonts w:hint="eastAsia" w:ascii="宋体" w:hAnsi="宋体" w:cs="宋体"/>
          <w:color w:val="auto"/>
          <w:szCs w:val="21"/>
          <w:highlight w:val="none"/>
        </w:rPr>
      </w:pPr>
      <w:r>
        <w:rPr>
          <w:rFonts w:hint="eastAsia" w:ascii="宋体" w:hAnsi="宋体" w:cs="宋体"/>
          <w:color w:val="auto"/>
          <w:szCs w:val="21"/>
          <w:highlight w:val="none"/>
        </w:rPr>
        <w:t>8） 根据合同约定应增加和扣减的其他金额。</w:t>
      </w:r>
    </w:p>
    <w:p w14:paraId="7EB2BC0D">
      <w:pPr>
        <w:pStyle w:val="88"/>
        <w:numPr>
          <w:ilvl w:val="0"/>
          <w:numId w:val="0"/>
        </w:numPr>
        <w:spacing w:after="156"/>
        <w:rPr>
          <w:rFonts w:hint="eastAsia" w:cs="宋体"/>
          <w:color w:val="auto"/>
          <w:sz w:val="21"/>
          <w:highlight w:val="none"/>
        </w:rPr>
      </w:pPr>
      <w:bookmarkStart w:id="2300" w:name="_Ref531957608"/>
      <w:r>
        <w:rPr>
          <w:rFonts w:hint="eastAsia" w:cs="宋体"/>
          <w:color w:val="auto"/>
          <w:sz w:val="21"/>
          <w:highlight w:val="none"/>
        </w:rPr>
        <w:t>14.3.2 进度付款审核和支付</w:t>
      </w:r>
      <w:bookmarkEnd w:id="2300"/>
    </w:p>
    <w:p w14:paraId="7DB52BC8">
      <w:pPr>
        <w:pStyle w:val="90"/>
        <w:numPr>
          <w:ilvl w:val="0"/>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579AED7E">
      <w:pPr>
        <w:ind w:firstLine="600"/>
        <w:rPr>
          <w:rFonts w:hint="eastAsia" w:ascii="宋体" w:hAnsi="宋体" w:cs="宋体"/>
          <w:color w:val="auto"/>
          <w:szCs w:val="21"/>
          <w:highlight w:val="none"/>
        </w:rPr>
      </w:pPr>
      <w:r>
        <w:rPr>
          <w:rFonts w:hint="eastAsia" w:ascii="宋体" w:hAnsi="宋体" w:cs="宋体"/>
          <w:color w:val="auto"/>
          <w:szCs w:val="21"/>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14:paraId="27E6A70F">
      <w:pPr>
        <w:pStyle w:val="90"/>
        <w:numPr>
          <w:ilvl w:val="0"/>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14:paraId="37CE7FAF">
      <w:pPr>
        <w:pStyle w:val="90"/>
        <w:numPr>
          <w:ilvl w:val="0"/>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发包人签发进度款支付证书，不表明发包人已同意、批准或接受了承包人完成的相应部分的工作。</w:t>
      </w:r>
    </w:p>
    <w:p w14:paraId="57A76E6B">
      <w:pPr>
        <w:pStyle w:val="88"/>
        <w:numPr>
          <w:ilvl w:val="0"/>
          <w:numId w:val="0"/>
        </w:numPr>
        <w:spacing w:after="156"/>
        <w:rPr>
          <w:rFonts w:hint="eastAsia" w:cs="宋体"/>
          <w:color w:val="auto"/>
          <w:sz w:val="21"/>
          <w:highlight w:val="none"/>
        </w:rPr>
      </w:pPr>
      <w:bookmarkStart w:id="2301" w:name="_Ref531957023"/>
      <w:r>
        <w:rPr>
          <w:rFonts w:hint="eastAsia" w:cs="宋体"/>
          <w:color w:val="auto"/>
          <w:sz w:val="21"/>
          <w:highlight w:val="none"/>
        </w:rPr>
        <w:t>14.3.3 进度付款的修正</w:t>
      </w:r>
      <w:bookmarkEnd w:id="2301"/>
    </w:p>
    <w:p w14:paraId="624C6AE5">
      <w:pPr>
        <w:ind w:firstLine="600"/>
        <w:rPr>
          <w:rFonts w:hint="eastAsia" w:ascii="宋体" w:hAnsi="宋体" w:cs="宋体"/>
          <w:color w:val="auto"/>
          <w:szCs w:val="21"/>
          <w:highlight w:val="none"/>
        </w:rPr>
      </w:pPr>
      <w:r>
        <w:rPr>
          <w:rFonts w:hint="eastAsia" w:ascii="宋体" w:hAnsi="宋体" w:cs="宋体"/>
          <w:color w:val="auto"/>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3F976177">
      <w:pPr>
        <w:pStyle w:val="87"/>
        <w:widowControl/>
        <w:numPr>
          <w:ilvl w:val="0"/>
          <w:numId w:val="0"/>
        </w:numPr>
        <w:spacing w:after="156"/>
        <w:rPr>
          <w:rFonts w:hint="eastAsia" w:ascii="宋体" w:hAnsi="宋体" w:eastAsia="宋体" w:cs="宋体"/>
          <w:b w:val="0"/>
          <w:bCs/>
          <w:color w:val="auto"/>
          <w:sz w:val="21"/>
          <w:szCs w:val="21"/>
          <w:highlight w:val="none"/>
        </w:rPr>
      </w:pPr>
      <w:bookmarkStart w:id="2302" w:name="_Toc2720"/>
      <w:bookmarkStart w:id="2303" w:name="_Toc103175769"/>
      <w:bookmarkStart w:id="2304" w:name="_Ref4538578"/>
      <w:bookmarkStart w:id="2305" w:name="_Toc16297"/>
      <w:bookmarkStart w:id="2306" w:name="_Toc28764"/>
      <w:bookmarkStart w:id="2307" w:name="_Toc25109"/>
      <w:bookmarkStart w:id="2308" w:name="_Toc26945"/>
      <w:bookmarkStart w:id="2309" w:name="_Toc17906"/>
      <w:bookmarkStart w:id="2310" w:name="_Toc17999"/>
      <w:bookmarkStart w:id="2311" w:name="_Toc26062"/>
      <w:bookmarkStart w:id="2312" w:name="_Ref536647822"/>
      <w:bookmarkStart w:id="2313" w:name="_Ref536647814"/>
      <w:r>
        <w:rPr>
          <w:rFonts w:hint="eastAsia" w:ascii="宋体" w:hAnsi="宋体" w:eastAsia="宋体" w:cs="宋体"/>
          <w:b w:val="0"/>
          <w:bCs/>
          <w:color w:val="auto"/>
          <w:sz w:val="21"/>
          <w:szCs w:val="21"/>
          <w:highlight w:val="none"/>
        </w:rPr>
        <w:t>14.4 付款计划表</w:t>
      </w:r>
      <w:bookmarkEnd w:id="2302"/>
      <w:bookmarkEnd w:id="2303"/>
      <w:bookmarkEnd w:id="2304"/>
      <w:bookmarkEnd w:id="2305"/>
      <w:bookmarkEnd w:id="2306"/>
      <w:bookmarkEnd w:id="2307"/>
      <w:bookmarkEnd w:id="2308"/>
      <w:bookmarkEnd w:id="2309"/>
      <w:bookmarkEnd w:id="2310"/>
      <w:bookmarkEnd w:id="2311"/>
    </w:p>
    <w:p w14:paraId="0A3BC975">
      <w:pPr>
        <w:pStyle w:val="88"/>
        <w:numPr>
          <w:ilvl w:val="0"/>
          <w:numId w:val="0"/>
        </w:numPr>
        <w:spacing w:after="156"/>
        <w:rPr>
          <w:rFonts w:hint="eastAsia" w:cs="宋体"/>
          <w:color w:val="auto"/>
          <w:sz w:val="21"/>
          <w:highlight w:val="none"/>
        </w:rPr>
      </w:pPr>
      <w:bookmarkStart w:id="2314" w:name="_Ref4570974"/>
      <w:r>
        <w:rPr>
          <w:rFonts w:hint="eastAsia" w:cs="宋体"/>
          <w:color w:val="auto"/>
          <w:sz w:val="21"/>
          <w:highlight w:val="none"/>
        </w:rPr>
        <w:t>14.4.1 付款计划表的编制要求</w:t>
      </w:r>
      <w:bookmarkEnd w:id="2314"/>
    </w:p>
    <w:p w14:paraId="3A29F13D">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除专用合同条件另有约定外，付款计划表按如下要求编制：</w:t>
      </w:r>
    </w:p>
    <w:p w14:paraId="6546AF77">
      <w:pPr>
        <w:ind w:firstLine="600"/>
        <w:rPr>
          <w:rFonts w:hint="eastAsia" w:ascii="宋体" w:hAnsi="宋体" w:cs="宋体"/>
          <w:color w:val="auto"/>
          <w:szCs w:val="21"/>
          <w:highlight w:val="none"/>
        </w:rPr>
      </w:pPr>
      <w:r>
        <w:rPr>
          <w:rFonts w:hint="eastAsia" w:ascii="宋体" w:hAnsi="宋体" w:cs="宋体"/>
          <w:color w:val="auto"/>
          <w:szCs w:val="21"/>
          <w:highlight w:val="none"/>
        </w:rPr>
        <w:t>（1） 付款计划表中所列的每期付款金额，应为第14.3.1项[工程进度付款申请]每期进度款的估算金额；</w:t>
      </w:r>
    </w:p>
    <w:p w14:paraId="63BE197C">
      <w:pPr>
        <w:ind w:firstLine="600"/>
        <w:rPr>
          <w:rFonts w:hint="eastAsia" w:ascii="宋体" w:hAnsi="宋体" w:cs="宋体"/>
          <w:color w:val="auto"/>
          <w:szCs w:val="21"/>
          <w:highlight w:val="none"/>
        </w:rPr>
      </w:pPr>
      <w:r>
        <w:rPr>
          <w:rFonts w:hint="eastAsia" w:ascii="宋体" w:hAnsi="宋体" w:cs="宋体"/>
          <w:color w:val="auto"/>
          <w:szCs w:val="21"/>
          <w:highlight w:val="none"/>
        </w:rPr>
        <w:t>（2） 实际进度与项目进度计划不一致的，合同当事人可按照第3.6款[商定或确定]修改付款计划表；</w:t>
      </w:r>
    </w:p>
    <w:p w14:paraId="4CB3678E">
      <w:pPr>
        <w:ind w:firstLine="600"/>
        <w:rPr>
          <w:rFonts w:hint="eastAsia" w:ascii="宋体" w:hAnsi="宋体" w:cs="宋体"/>
          <w:color w:val="auto"/>
          <w:szCs w:val="21"/>
          <w:highlight w:val="none"/>
        </w:rPr>
      </w:pPr>
      <w:r>
        <w:rPr>
          <w:rFonts w:hint="eastAsia" w:ascii="宋体" w:hAnsi="宋体" w:cs="宋体"/>
          <w:color w:val="auto"/>
          <w:szCs w:val="21"/>
          <w:highlight w:val="none"/>
        </w:rPr>
        <w:t>（3） 不采用付款计划表的，承包人应向工程师提交按季度编制的支付估算付款计划表，用于支付参考。</w:t>
      </w:r>
    </w:p>
    <w:p w14:paraId="698743DC">
      <w:pPr>
        <w:pStyle w:val="88"/>
        <w:numPr>
          <w:ilvl w:val="0"/>
          <w:numId w:val="0"/>
        </w:numPr>
        <w:spacing w:after="156"/>
        <w:rPr>
          <w:rFonts w:hint="eastAsia" w:cs="宋体"/>
          <w:color w:val="auto"/>
          <w:sz w:val="21"/>
          <w:highlight w:val="none"/>
        </w:rPr>
      </w:pPr>
      <w:bookmarkStart w:id="2315" w:name="_Ref4571011"/>
      <w:r>
        <w:rPr>
          <w:rFonts w:hint="eastAsia" w:cs="宋体"/>
          <w:color w:val="auto"/>
          <w:sz w:val="21"/>
          <w:highlight w:val="none"/>
        </w:rPr>
        <w:t>14.4.2 付款计划表的编制与审批</w:t>
      </w:r>
      <w:bookmarkEnd w:id="2315"/>
    </w:p>
    <w:p w14:paraId="362CA124">
      <w:pPr>
        <w:ind w:firstLine="600"/>
        <w:rPr>
          <w:rFonts w:hint="eastAsia" w:ascii="宋体" w:hAnsi="宋体" w:cs="宋体"/>
          <w:color w:val="auto"/>
          <w:szCs w:val="21"/>
          <w:highlight w:val="none"/>
        </w:rPr>
      </w:pPr>
      <w:r>
        <w:rPr>
          <w:rFonts w:hint="eastAsia" w:ascii="宋体" w:hAnsi="宋体" w:cs="宋体"/>
          <w:color w:val="auto"/>
          <w:szCs w:val="21"/>
          <w:highlight w:val="none"/>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14:paraId="1104EE07">
      <w:pPr>
        <w:ind w:firstLine="600"/>
        <w:rPr>
          <w:rFonts w:hint="eastAsia" w:ascii="宋体" w:hAnsi="宋体" w:cs="宋体"/>
          <w:color w:val="auto"/>
          <w:szCs w:val="21"/>
          <w:highlight w:val="none"/>
        </w:rPr>
      </w:pPr>
      <w:r>
        <w:rPr>
          <w:rFonts w:hint="eastAsia" w:ascii="宋体" w:hAnsi="宋体" w:cs="宋体"/>
          <w:color w:val="auto"/>
          <w:szCs w:val="21"/>
          <w:highlight w:val="none"/>
        </w:rPr>
        <w:t>（2） 工程师应在收到付款计划表后7天内完成审核并报送发包人。发包人应在收到经工程师审核的付款计划表后7天内完成审批，经发包人批准的付款计划表为有约束力的付款计划表。</w:t>
      </w:r>
    </w:p>
    <w:p w14:paraId="2A11344C">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发包人逾期未完成付款计划表审批的，也未及时要求承包人进行修正和提供补充资料的，则承包人提交的付款计划表视为已经获得发包人批准。</w:t>
      </w:r>
    </w:p>
    <w:p w14:paraId="3DA9FF74">
      <w:pPr>
        <w:pStyle w:val="87"/>
        <w:widowControl/>
        <w:numPr>
          <w:ilvl w:val="0"/>
          <w:numId w:val="0"/>
        </w:numPr>
        <w:spacing w:after="156"/>
        <w:rPr>
          <w:rFonts w:hint="eastAsia" w:ascii="宋体" w:hAnsi="宋体" w:eastAsia="宋体" w:cs="宋体"/>
          <w:b w:val="0"/>
          <w:bCs/>
          <w:color w:val="auto"/>
          <w:sz w:val="21"/>
          <w:szCs w:val="21"/>
          <w:highlight w:val="none"/>
        </w:rPr>
      </w:pPr>
      <w:bookmarkStart w:id="2316" w:name="_Ref4538634"/>
      <w:bookmarkStart w:id="2317" w:name="_Toc1863"/>
      <w:bookmarkStart w:id="2318" w:name="_Toc23678"/>
      <w:bookmarkStart w:id="2319" w:name="_Toc14659"/>
      <w:bookmarkStart w:id="2320" w:name="_Toc26814"/>
      <w:bookmarkStart w:id="2321" w:name="_Toc25759"/>
      <w:bookmarkStart w:id="2322" w:name="_Toc19936"/>
      <w:bookmarkStart w:id="2323" w:name="_Toc837"/>
      <w:bookmarkStart w:id="2324" w:name="_Toc16342"/>
      <w:bookmarkStart w:id="2325" w:name="_Toc103175770"/>
      <w:r>
        <w:rPr>
          <w:rFonts w:hint="eastAsia" w:ascii="宋体" w:hAnsi="宋体" w:eastAsia="宋体" w:cs="宋体"/>
          <w:b w:val="0"/>
          <w:bCs/>
          <w:color w:val="auto"/>
          <w:sz w:val="21"/>
          <w:szCs w:val="21"/>
          <w:highlight w:val="none"/>
        </w:rPr>
        <w:t>14.5 竣工结算</w:t>
      </w:r>
      <w:bookmarkEnd w:id="2316"/>
      <w:bookmarkEnd w:id="2317"/>
      <w:bookmarkEnd w:id="2318"/>
      <w:bookmarkEnd w:id="2319"/>
      <w:bookmarkEnd w:id="2320"/>
      <w:bookmarkEnd w:id="2321"/>
      <w:bookmarkEnd w:id="2322"/>
      <w:bookmarkEnd w:id="2323"/>
      <w:bookmarkEnd w:id="2324"/>
      <w:bookmarkEnd w:id="2325"/>
    </w:p>
    <w:p w14:paraId="4FC6090F">
      <w:pPr>
        <w:pStyle w:val="88"/>
        <w:numPr>
          <w:ilvl w:val="0"/>
          <w:numId w:val="0"/>
        </w:numPr>
        <w:spacing w:after="156"/>
        <w:rPr>
          <w:rFonts w:hint="eastAsia" w:cs="宋体"/>
          <w:color w:val="auto"/>
          <w:sz w:val="21"/>
          <w:highlight w:val="none"/>
        </w:rPr>
      </w:pPr>
      <w:bookmarkStart w:id="2326" w:name="_Ref4571361"/>
      <w:r>
        <w:rPr>
          <w:rFonts w:hint="eastAsia" w:cs="宋体"/>
          <w:color w:val="auto"/>
          <w:sz w:val="21"/>
          <w:highlight w:val="none"/>
        </w:rPr>
        <w:t>14.5.1 竣工结算申请</w:t>
      </w:r>
      <w:bookmarkEnd w:id="2326"/>
    </w:p>
    <w:p w14:paraId="2D473582">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1AFD1643">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除专用合同条件另有约定外，竣工结算申请单应包括以下内容：</w:t>
      </w:r>
    </w:p>
    <w:p w14:paraId="09BA7CD5">
      <w:pPr>
        <w:ind w:firstLine="600"/>
        <w:rPr>
          <w:rFonts w:hint="eastAsia" w:ascii="宋体" w:hAnsi="宋体" w:cs="宋体"/>
          <w:color w:val="auto"/>
          <w:szCs w:val="21"/>
          <w:highlight w:val="none"/>
        </w:rPr>
      </w:pPr>
      <w:r>
        <w:rPr>
          <w:rFonts w:hint="eastAsia" w:ascii="宋体" w:hAnsi="宋体" w:cs="宋体"/>
          <w:color w:val="auto"/>
          <w:szCs w:val="21"/>
          <w:highlight w:val="none"/>
        </w:rPr>
        <w:t>（1） 竣工结算合同价格；</w:t>
      </w:r>
    </w:p>
    <w:p w14:paraId="1E1826A2">
      <w:pPr>
        <w:ind w:firstLine="600"/>
        <w:rPr>
          <w:rFonts w:hint="eastAsia" w:ascii="宋体" w:hAnsi="宋体" w:cs="宋体"/>
          <w:color w:val="auto"/>
          <w:szCs w:val="21"/>
          <w:highlight w:val="none"/>
        </w:rPr>
      </w:pPr>
      <w:r>
        <w:rPr>
          <w:rFonts w:hint="eastAsia" w:ascii="宋体" w:hAnsi="宋体" w:cs="宋体"/>
          <w:color w:val="auto"/>
          <w:szCs w:val="21"/>
          <w:highlight w:val="none"/>
        </w:rPr>
        <w:t>（2） 发包人已支付承包人的款项；</w:t>
      </w:r>
    </w:p>
    <w:p w14:paraId="26C90F10">
      <w:pPr>
        <w:ind w:firstLine="600"/>
        <w:rPr>
          <w:rFonts w:hint="eastAsia" w:ascii="宋体" w:hAnsi="宋体" w:cs="宋体"/>
          <w:color w:val="auto"/>
          <w:szCs w:val="21"/>
          <w:highlight w:val="none"/>
        </w:rPr>
      </w:pPr>
      <w:r>
        <w:rPr>
          <w:rFonts w:hint="eastAsia" w:ascii="宋体" w:hAnsi="宋体" w:cs="宋体"/>
          <w:color w:val="auto"/>
          <w:szCs w:val="21"/>
          <w:highlight w:val="none"/>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14:paraId="2493257B">
      <w:pPr>
        <w:ind w:firstLine="600"/>
        <w:rPr>
          <w:rFonts w:hint="eastAsia" w:ascii="宋体" w:hAnsi="宋体" w:cs="宋体"/>
          <w:color w:val="auto"/>
          <w:szCs w:val="21"/>
          <w:highlight w:val="none"/>
        </w:rPr>
      </w:pPr>
      <w:r>
        <w:rPr>
          <w:rFonts w:hint="eastAsia" w:ascii="宋体" w:hAnsi="宋体" w:cs="宋体"/>
          <w:color w:val="auto"/>
          <w:szCs w:val="21"/>
          <w:highlight w:val="none"/>
        </w:rPr>
        <w:t>（4） 发包人应支付承包人的合同价款。</w:t>
      </w:r>
    </w:p>
    <w:p w14:paraId="4C0E0531">
      <w:pPr>
        <w:pStyle w:val="88"/>
        <w:numPr>
          <w:ilvl w:val="0"/>
          <w:numId w:val="0"/>
        </w:numPr>
        <w:spacing w:after="156"/>
        <w:rPr>
          <w:rFonts w:hint="eastAsia" w:cs="宋体"/>
          <w:color w:val="auto"/>
          <w:sz w:val="21"/>
          <w:highlight w:val="none"/>
        </w:rPr>
      </w:pPr>
      <w:bookmarkStart w:id="2327" w:name="_Ref4571384"/>
      <w:r>
        <w:rPr>
          <w:rFonts w:hint="eastAsia" w:cs="宋体"/>
          <w:color w:val="auto"/>
          <w:sz w:val="21"/>
          <w:highlight w:val="none"/>
        </w:rPr>
        <w:t>14.5.2 竣工结算审核</w:t>
      </w:r>
      <w:bookmarkEnd w:id="2327"/>
    </w:p>
    <w:p w14:paraId="36347851">
      <w:pPr>
        <w:ind w:firstLine="600"/>
        <w:rPr>
          <w:rFonts w:hint="eastAsia" w:ascii="宋体" w:hAnsi="宋体" w:cs="宋体"/>
          <w:color w:val="auto"/>
          <w:szCs w:val="21"/>
          <w:highlight w:val="none"/>
        </w:rPr>
      </w:pPr>
      <w:r>
        <w:rPr>
          <w:rFonts w:hint="eastAsia" w:ascii="宋体" w:hAnsi="宋体" w:cs="宋体"/>
          <w:color w:val="auto"/>
          <w:szCs w:val="21"/>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0AC18E36">
      <w:pPr>
        <w:ind w:firstLine="600"/>
        <w:rPr>
          <w:rFonts w:hint="eastAsia" w:ascii="宋体" w:hAnsi="宋体" w:cs="宋体"/>
          <w:color w:val="auto"/>
          <w:szCs w:val="21"/>
          <w:highlight w:val="none"/>
        </w:rPr>
      </w:pPr>
      <w:r>
        <w:rPr>
          <w:rFonts w:hint="eastAsia" w:ascii="宋体" w:hAnsi="宋体" w:cs="宋体"/>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4A0F563">
      <w:pPr>
        <w:ind w:firstLine="600"/>
        <w:rPr>
          <w:rFonts w:hint="eastAsia" w:ascii="宋体" w:hAnsi="宋体" w:cs="宋体"/>
          <w:color w:val="auto"/>
          <w:szCs w:val="21"/>
          <w:highlight w:val="none"/>
        </w:rPr>
      </w:pPr>
      <w:bookmarkStart w:id="2328" w:name="_Ref4618006"/>
      <w:r>
        <w:rPr>
          <w:rFonts w:hint="eastAsia" w:ascii="宋体" w:hAnsi="宋体" w:cs="宋体"/>
          <w:color w:val="auto"/>
          <w:szCs w:val="21"/>
          <w:highlight w:val="none"/>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2328"/>
    </w:p>
    <w:p w14:paraId="3A0F34AC">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14:paraId="4A5B57A9">
      <w:pPr>
        <w:pStyle w:val="88"/>
        <w:numPr>
          <w:ilvl w:val="0"/>
          <w:numId w:val="0"/>
        </w:numPr>
        <w:spacing w:after="156"/>
        <w:rPr>
          <w:rFonts w:hint="eastAsia" w:cs="宋体"/>
          <w:color w:val="auto"/>
          <w:sz w:val="21"/>
          <w:highlight w:val="none"/>
        </w:rPr>
      </w:pPr>
      <w:bookmarkStart w:id="2329" w:name="_Ref15484305"/>
      <w:r>
        <w:rPr>
          <w:rFonts w:hint="eastAsia" w:cs="宋体"/>
          <w:color w:val="auto"/>
          <w:sz w:val="21"/>
          <w:highlight w:val="none"/>
        </w:rPr>
        <w:t>14.5.3 扫尾工作清单</w:t>
      </w:r>
      <w:bookmarkEnd w:id="2329"/>
    </w:p>
    <w:p w14:paraId="4FAE3D17">
      <w:pPr>
        <w:ind w:firstLine="600"/>
        <w:rPr>
          <w:rFonts w:hint="eastAsia" w:ascii="宋体" w:hAnsi="宋体" w:cs="宋体"/>
          <w:color w:val="auto"/>
          <w:szCs w:val="21"/>
          <w:highlight w:val="none"/>
        </w:rPr>
      </w:pPr>
      <w:r>
        <w:rPr>
          <w:rFonts w:hint="eastAsia" w:ascii="宋体" w:hAnsi="宋体" w:cs="宋体"/>
          <w:color w:val="auto"/>
          <w:szCs w:val="21"/>
          <w:highlight w:val="none"/>
        </w:rPr>
        <w:t>经双方协商，部分工作在工程竣工验收后进行的，承包人应当编制扫尾工作清单，扫尾工作清单中应当列明承包人应当完成的扫尾工作的内容及完成时间。</w:t>
      </w:r>
    </w:p>
    <w:p w14:paraId="60CB9003">
      <w:pPr>
        <w:ind w:firstLine="600"/>
        <w:rPr>
          <w:rFonts w:hint="eastAsia" w:ascii="宋体" w:hAnsi="宋体" w:cs="宋体"/>
          <w:color w:val="auto"/>
          <w:szCs w:val="21"/>
          <w:highlight w:val="none"/>
        </w:rPr>
      </w:pPr>
      <w:r>
        <w:rPr>
          <w:rFonts w:hint="eastAsia" w:ascii="宋体" w:hAnsi="宋体" w:cs="宋体"/>
          <w:color w:val="auto"/>
          <w:szCs w:val="21"/>
          <w:highlight w:val="none"/>
        </w:rPr>
        <w:t>承包人完成扫尾工作清单中的内容应取得的费用包含在第14.5.1项[竣工结算申请]及第14.5.2项[竣工结算审核]中一并结算。</w:t>
      </w:r>
    </w:p>
    <w:p w14:paraId="7B776536">
      <w:pPr>
        <w:ind w:firstLine="600"/>
        <w:rPr>
          <w:rFonts w:hint="eastAsia" w:ascii="宋体" w:hAnsi="宋体" w:cs="宋体"/>
          <w:color w:val="auto"/>
          <w:szCs w:val="21"/>
          <w:highlight w:val="none"/>
        </w:rPr>
      </w:pPr>
      <w:r>
        <w:rPr>
          <w:rFonts w:hint="eastAsia" w:ascii="宋体" w:hAnsi="宋体" w:cs="宋体"/>
          <w:color w:val="auto"/>
          <w:szCs w:val="21"/>
          <w:highlight w:val="none"/>
        </w:rPr>
        <w:t>扫尾工作的缺陷责任期按第11条[缺陷责任与保修]处理。承包人未能按照扫尾工作清单约定的完成时间完成扫尾工作的，视为承包人原因导致的工程质量缺陷按照第11.3款[缺陷调查]处理。</w:t>
      </w:r>
    </w:p>
    <w:p w14:paraId="266135FE">
      <w:pPr>
        <w:pStyle w:val="87"/>
        <w:widowControl/>
        <w:numPr>
          <w:ilvl w:val="0"/>
          <w:numId w:val="0"/>
        </w:numPr>
        <w:spacing w:after="156"/>
        <w:rPr>
          <w:rFonts w:hint="eastAsia" w:ascii="宋体" w:hAnsi="宋体" w:eastAsia="宋体" w:cs="宋体"/>
          <w:b w:val="0"/>
          <w:bCs/>
          <w:color w:val="auto"/>
          <w:sz w:val="21"/>
          <w:szCs w:val="21"/>
          <w:highlight w:val="none"/>
        </w:rPr>
      </w:pPr>
      <w:bookmarkStart w:id="2330" w:name="_Toc6884"/>
      <w:bookmarkStart w:id="2331" w:name="_Toc18240"/>
      <w:bookmarkStart w:id="2332" w:name="_Toc19084"/>
      <w:bookmarkStart w:id="2333" w:name="_Toc19449"/>
      <w:bookmarkStart w:id="2334" w:name="_Ref4582115"/>
      <w:bookmarkStart w:id="2335" w:name="_Ref4571100"/>
      <w:bookmarkStart w:id="2336" w:name="_Ref4617582"/>
      <w:bookmarkStart w:id="2337" w:name="_Ref4617592"/>
      <w:bookmarkStart w:id="2338" w:name="_Toc17318"/>
      <w:bookmarkStart w:id="2339" w:name="_Ref4571127"/>
      <w:bookmarkStart w:id="2340" w:name="_Toc17882"/>
      <w:bookmarkStart w:id="2341" w:name="_Ref15395020"/>
      <w:bookmarkStart w:id="2342" w:name="_Toc9515"/>
      <w:bookmarkStart w:id="2343" w:name="_Toc9164"/>
      <w:bookmarkStart w:id="2344" w:name="_Toc103175771"/>
      <w:bookmarkStart w:id="2345" w:name="_Hlk15394931"/>
      <w:r>
        <w:rPr>
          <w:rFonts w:hint="eastAsia" w:ascii="宋体" w:hAnsi="宋体" w:eastAsia="宋体" w:cs="宋体"/>
          <w:b w:val="0"/>
          <w:bCs/>
          <w:color w:val="auto"/>
          <w:sz w:val="21"/>
          <w:szCs w:val="21"/>
          <w:highlight w:val="none"/>
        </w:rPr>
        <w:t>14.6 质量保证金</w:t>
      </w:r>
      <w:bookmarkEnd w:id="2312"/>
      <w:bookmarkEnd w:id="2313"/>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r>
        <w:rPr>
          <w:rFonts w:hint="eastAsia" w:ascii="宋体" w:hAnsi="宋体" w:eastAsia="宋体" w:cs="宋体"/>
          <w:b w:val="0"/>
          <w:bCs/>
          <w:color w:val="auto"/>
          <w:sz w:val="21"/>
          <w:szCs w:val="21"/>
          <w:highlight w:val="none"/>
        </w:rPr>
        <w:t xml:space="preserve"> </w:t>
      </w:r>
    </w:p>
    <w:p w14:paraId="7AC81FAB">
      <w:pPr>
        <w:ind w:firstLine="600"/>
        <w:rPr>
          <w:rFonts w:hint="eastAsia" w:ascii="宋体" w:hAnsi="宋体" w:cs="宋体"/>
          <w:color w:val="auto"/>
          <w:szCs w:val="21"/>
          <w:highlight w:val="none"/>
        </w:rPr>
      </w:pPr>
      <w:r>
        <w:rPr>
          <w:rFonts w:hint="eastAsia" w:ascii="宋体" w:hAnsi="宋体" w:cs="宋体"/>
          <w:color w:val="auto"/>
          <w:szCs w:val="21"/>
          <w:highlight w:val="none"/>
        </w:rPr>
        <w:t>经合同当事人协商一致提供质量保证金的，应在专用合同条件中予以明确。在工程项目竣工前，承包人已经提供履约担保的，发包人不得同时要求承包人提供质量保证金。</w:t>
      </w:r>
    </w:p>
    <w:bookmarkEnd w:id="2345"/>
    <w:p w14:paraId="39D246FA">
      <w:pPr>
        <w:pStyle w:val="88"/>
        <w:numPr>
          <w:ilvl w:val="0"/>
          <w:numId w:val="0"/>
        </w:numPr>
        <w:spacing w:after="156"/>
        <w:rPr>
          <w:rFonts w:hint="eastAsia" w:cs="宋体"/>
          <w:color w:val="auto"/>
          <w:sz w:val="21"/>
          <w:highlight w:val="none"/>
        </w:rPr>
      </w:pPr>
      <w:bookmarkStart w:id="2346" w:name="_Ref531955069"/>
      <w:bookmarkStart w:id="2347" w:name="_Ref531957153"/>
      <w:r>
        <w:rPr>
          <w:rFonts w:hint="eastAsia" w:cs="宋体"/>
          <w:color w:val="auto"/>
          <w:sz w:val="21"/>
          <w:highlight w:val="none"/>
        </w:rPr>
        <w:t>14.6.1 承包人提供质量保证金的方式</w:t>
      </w:r>
      <w:bookmarkEnd w:id="2346"/>
    </w:p>
    <w:p w14:paraId="7E84FCF4">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承包人提供质量保证金有以下三种方式：</w:t>
      </w:r>
    </w:p>
    <w:p w14:paraId="27169FFC">
      <w:pPr>
        <w:ind w:firstLine="600"/>
        <w:rPr>
          <w:rFonts w:hint="eastAsia" w:ascii="宋体" w:hAnsi="宋体" w:cs="宋体"/>
          <w:color w:val="auto"/>
          <w:szCs w:val="21"/>
          <w:highlight w:val="none"/>
        </w:rPr>
      </w:pPr>
      <w:bookmarkStart w:id="2348" w:name="_Ref531955096"/>
      <w:r>
        <w:rPr>
          <w:rFonts w:hint="eastAsia" w:ascii="宋体" w:hAnsi="宋体" w:cs="宋体"/>
          <w:color w:val="auto"/>
          <w:szCs w:val="21"/>
          <w:highlight w:val="none"/>
        </w:rPr>
        <w:t>（1） 提交工程质量保证担保；</w:t>
      </w:r>
      <w:bookmarkEnd w:id="2348"/>
    </w:p>
    <w:p w14:paraId="70A4971A">
      <w:pPr>
        <w:ind w:firstLine="600"/>
        <w:rPr>
          <w:rFonts w:hint="eastAsia" w:ascii="宋体" w:hAnsi="宋体" w:cs="宋体"/>
          <w:color w:val="auto"/>
          <w:szCs w:val="21"/>
          <w:highlight w:val="none"/>
        </w:rPr>
      </w:pPr>
      <w:bookmarkStart w:id="2349" w:name="_Ref531955107"/>
      <w:r>
        <w:rPr>
          <w:rFonts w:hint="eastAsia" w:ascii="宋体" w:hAnsi="宋体" w:cs="宋体"/>
          <w:color w:val="auto"/>
          <w:szCs w:val="21"/>
          <w:highlight w:val="none"/>
        </w:rPr>
        <w:t>（2） 预留相应比例的工程款；</w:t>
      </w:r>
      <w:bookmarkEnd w:id="2349"/>
    </w:p>
    <w:p w14:paraId="18C504CC">
      <w:pPr>
        <w:ind w:firstLine="600"/>
        <w:rPr>
          <w:rFonts w:hint="eastAsia" w:ascii="宋体" w:hAnsi="宋体" w:cs="宋体"/>
          <w:color w:val="auto"/>
          <w:szCs w:val="21"/>
          <w:highlight w:val="none"/>
        </w:rPr>
      </w:pPr>
      <w:bookmarkStart w:id="2350" w:name="_Ref531955117"/>
      <w:r>
        <w:rPr>
          <w:rFonts w:hint="eastAsia" w:ascii="宋体" w:hAnsi="宋体" w:cs="宋体"/>
          <w:color w:val="auto"/>
          <w:szCs w:val="21"/>
          <w:highlight w:val="none"/>
        </w:rPr>
        <w:t>（3） 双方约定的其他方式。</w:t>
      </w:r>
      <w:bookmarkEnd w:id="2350"/>
    </w:p>
    <w:p w14:paraId="370C3537">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3F3B378D">
      <w:pPr>
        <w:pStyle w:val="88"/>
        <w:numPr>
          <w:ilvl w:val="0"/>
          <w:numId w:val="0"/>
        </w:numPr>
        <w:spacing w:after="156"/>
        <w:rPr>
          <w:rFonts w:hint="eastAsia" w:cs="宋体"/>
          <w:color w:val="auto"/>
          <w:sz w:val="21"/>
          <w:highlight w:val="none"/>
        </w:rPr>
      </w:pPr>
      <w:bookmarkStart w:id="2351" w:name="_Ref15419738"/>
      <w:bookmarkStart w:id="2352" w:name="_Ref18931667"/>
      <w:r>
        <w:rPr>
          <w:rFonts w:hint="eastAsia" w:cs="宋体"/>
          <w:color w:val="auto"/>
          <w:sz w:val="21"/>
          <w:highlight w:val="none"/>
        </w:rPr>
        <w:t>14.6.2 质量保证金的预留</w:t>
      </w:r>
      <w:bookmarkEnd w:id="2351"/>
      <w:bookmarkEnd w:id="2352"/>
    </w:p>
    <w:p w14:paraId="51E5660A">
      <w:pPr>
        <w:ind w:firstLine="600"/>
        <w:rPr>
          <w:rFonts w:hint="eastAsia" w:ascii="宋体" w:hAnsi="宋体" w:cs="宋体"/>
          <w:color w:val="auto"/>
          <w:szCs w:val="21"/>
          <w:highlight w:val="none"/>
        </w:rPr>
      </w:pPr>
      <w:r>
        <w:rPr>
          <w:rFonts w:hint="eastAsia" w:ascii="宋体" w:hAnsi="宋体" w:cs="宋体"/>
          <w:color w:val="auto"/>
          <w:szCs w:val="21"/>
          <w:highlight w:val="none"/>
        </w:rPr>
        <w:t>双方约定采用预留相应比例的工程款方式提供质量保证金的，质量保证金的预留有以下三种方式：</w:t>
      </w:r>
    </w:p>
    <w:p w14:paraId="647588BF">
      <w:pPr>
        <w:ind w:firstLine="600"/>
        <w:rPr>
          <w:rFonts w:hint="eastAsia" w:ascii="宋体" w:hAnsi="宋体" w:cs="宋体"/>
          <w:color w:val="auto"/>
          <w:szCs w:val="21"/>
          <w:highlight w:val="none"/>
        </w:rPr>
      </w:pPr>
      <w:bookmarkStart w:id="2353" w:name="_Hlk18840714"/>
      <w:bookmarkStart w:id="2354" w:name="_Ref531955143"/>
      <w:r>
        <w:rPr>
          <w:rFonts w:hint="eastAsia" w:ascii="宋体" w:hAnsi="宋体" w:cs="宋体"/>
          <w:color w:val="auto"/>
          <w:szCs w:val="21"/>
          <w:highlight w:val="none"/>
        </w:rPr>
        <w:t>（1） 按专用合同条件的约定在支付工程进度款时逐次预留，直至预留的质量保证金总额达到专用合同条件约定的金额或比例为止</w:t>
      </w:r>
      <w:bookmarkEnd w:id="2353"/>
      <w:r>
        <w:rPr>
          <w:rFonts w:hint="eastAsia" w:ascii="宋体" w:hAnsi="宋体" w:cs="宋体"/>
          <w:color w:val="auto"/>
          <w:szCs w:val="21"/>
          <w:highlight w:val="none"/>
        </w:rPr>
        <w:t>。在此情形下，质量保证金的计算基数不包括预付款的支付、扣回以及价格调整的金额；</w:t>
      </w:r>
      <w:bookmarkEnd w:id="2354"/>
    </w:p>
    <w:p w14:paraId="5680F131">
      <w:pPr>
        <w:ind w:firstLine="600"/>
        <w:rPr>
          <w:rFonts w:hint="eastAsia" w:ascii="宋体" w:hAnsi="宋体" w:cs="宋体"/>
          <w:color w:val="auto"/>
          <w:szCs w:val="21"/>
          <w:highlight w:val="none"/>
        </w:rPr>
      </w:pPr>
      <w:bookmarkStart w:id="2355" w:name="_Ref531955151"/>
      <w:r>
        <w:rPr>
          <w:rFonts w:hint="eastAsia" w:ascii="宋体" w:hAnsi="宋体" w:cs="宋体"/>
          <w:color w:val="auto"/>
          <w:szCs w:val="21"/>
          <w:highlight w:val="none"/>
        </w:rPr>
        <w:t>（2） 工程竣工结算时一次性预留质量保证金；</w:t>
      </w:r>
      <w:bookmarkEnd w:id="2355"/>
    </w:p>
    <w:p w14:paraId="59D5CDE3">
      <w:pPr>
        <w:ind w:firstLine="600"/>
        <w:rPr>
          <w:rFonts w:hint="eastAsia" w:ascii="宋体" w:hAnsi="宋体" w:cs="宋体"/>
          <w:color w:val="auto"/>
          <w:szCs w:val="21"/>
          <w:highlight w:val="none"/>
        </w:rPr>
      </w:pPr>
      <w:bookmarkStart w:id="2356" w:name="_Ref531955161"/>
      <w:r>
        <w:rPr>
          <w:rFonts w:hint="eastAsia" w:ascii="宋体" w:hAnsi="宋体" w:cs="宋体"/>
          <w:color w:val="auto"/>
          <w:szCs w:val="21"/>
          <w:highlight w:val="none"/>
        </w:rPr>
        <w:t>（3） 双方约定的其他预留方式。</w:t>
      </w:r>
      <w:bookmarkEnd w:id="2356"/>
    </w:p>
    <w:p w14:paraId="1F4EDB38">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011AAD66">
      <w:pPr>
        <w:pStyle w:val="88"/>
        <w:numPr>
          <w:ilvl w:val="0"/>
          <w:numId w:val="0"/>
        </w:numPr>
        <w:spacing w:after="156"/>
        <w:rPr>
          <w:rFonts w:hint="eastAsia" w:cs="宋体"/>
          <w:color w:val="auto"/>
          <w:sz w:val="21"/>
          <w:highlight w:val="none"/>
        </w:rPr>
      </w:pPr>
      <w:bookmarkStart w:id="2357" w:name="_Ref532690096"/>
      <w:bookmarkStart w:id="2358" w:name="_Ref4571243"/>
      <w:r>
        <w:rPr>
          <w:rFonts w:hint="eastAsia" w:cs="宋体"/>
          <w:color w:val="auto"/>
          <w:sz w:val="21"/>
          <w:highlight w:val="none"/>
        </w:rPr>
        <w:t>14.6.3 质量保证金的</w:t>
      </w:r>
      <w:bookmarkEnd w:id="2357"/>
      <w:r>
        <w:rPr>
          <w:rFonts w:hint="eastAsia" w:cs="宋体"/>
          <w:color w:val="auto"/>
          <w:sz w:val="21"/>
          <w:highlight w:val="none"/>
        </w:rPr>
        <w:t>返还</w:t>
      </w:r>
      <w:bookmarkEnd w:id="2358"/>
    </w:p>
    <w:p w14:paraId="4167AB87">
      <w:pPr>
        <w:ind w:firstLine="600"/>
        <w:rPr>
          <w:rFonts w:hint="eastAsia" w:ascii="宋体" w:hAnsi="宋体" w:cs="宋体"/>
          <w:color w:val="auto"/>
          <w:szCs w:val="21"/>
          <w:highlight w:val="none"/>
        </w:rPr>
      </w:pPr>
      <w:r>
        <w:rPr>
          <w:rFonts w:hint="eastAsia" w:ascii="宋体" w:hAnsi="宋体" w:cs="宋体"/>
          <w:color w:val="auto"/>
          <w:szCs w:val="21"/>
          <w:highlight w:val="none"/>
        </w:rPr>
        <w:t>缺陷责任期内，承包人认真履行合同约定的责任，缺陷责任期满，发包人根据第11.6款[缺陷责任期终止证书]向承包人颁发缺陷责任期终止证书后，承包人可向发包人申请返还质量保证金。</w:t>
      </w:r>
    </w:p>
    <w:p w14:paraId="12FC6E2D">
      <w:pPr>
        <w:ind w:firstLine="600"/>
        <w:rPr>
          <w:rFonts w:hint="eastAsia" w:ascii="宋体" w:hAnsi="宋体" w:cs="宋体"/>
          <w:color w:val="auto"/>
          <w:szCs w:val="21"/>
          <w:highlight w:val="none"/>
        </w:rPr>
      </w:pPr>
      <w:r>
        <w:rPr>
          <w:rFonts w:hint="eastAsia" w:ascii="宋体" w:hAnsi="宋体" w:cs="宋体"/>
          <w:color w:val="auto"/>
          <w:szCs w:val="21"/>
          <w:highlight w:val="none"/>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14:paraId="71A7F67A">
      <w:pPr>
        <w:ind w:firstLine="600"/>
        <w:rPr>
          <w:rFonts w:hint="eastAsia" w:ascii="宋体" w:hAnsi="宋体" w:cs="宋体"/>
          <w:color w:val="auto"/>
          <w:szCs w:val="21"/>
          <w:highlight w:val="none"/>
        </w:rPr>
      </w:pPr>
      <w:r>
        <w:rPr>
          <w:rFonts w:hint="eastAsia" w:ascii="宋体" w:hAnsi="宋体" w:cs="宋体"/>
          <w:color w:val="auto"/>
          <w:szCs w:val="21"/>
          <w:highlight w:val="none"/>
        </w:rPr>
        <w:t>发包人和承包人对质量保证金预留、返还以及工程维修质量、费用有争议的，按本合同第20条[争议解决]约定的争议和纠纷解决程序处理。</w:t>
      </w:r>
    </w:p>
    <w:bookmarkEnd w:id="2347"/>
    <w:p w14:paraId="1E4FFB1A">
      <w:pPr>
        <w:pStyle w:val="87"/>
        <w:widowControl/>
        <w:numPr>
          <w:ilvl w:val="0"/>
          <w:numId w:val="0"/>
        </w:numPr>
        <w:spacing w:after="156"/>
        <w:rPr>
          <w:rFonts w:hint="eastAsia" w:ascii="宋体" w:hAnsi="宋体" w:eastAsia="宋体" w:cs="宋体"/>
          <w:b w:val="0"/>
          <w:bCs/>
          <w:color w:val="auto"/>
          <w:sz w:val="21"/>
          <w:szCs w:val="21"/>
          <w:highlight w:val="none"/>
        </w:rPr>
      </w:pPr>
      <w:bookmarkStart w:id="2359" w:name="_Ref531957341"/>
      <w:bookmarkStart w:id="2360" w:name="_Ref531957339"/>
      <w:bookmarkStart w:id="2361" w:name="_Toc32430"/>
      <w:bookmarkStart w:id="2362" w:name="_Toc16840"/>
      <w:bookmarkStart w:id="2363" w:name="_Toc18739"/>
      <w:bookmarkStart w:id="2364" w:name="_Toc18517"/>
      <w:bookmarkStart w:id="2365" w:name="_Toc16874"/>
      <w:bookmarkStart w:id="2366" w:name="_Toc16983"/>
      <w:bookmarkStart w:id="2367" w:name="_Toc8579"/>
      <w:bookmarkStart w:id="2368" w:name="_Toc10904"/>
      <w:bookmarkStart w:id="2369" w:name="_Toc103175772"/>
      <w:r>
        <w:rPr>
          <w:rFonts w:hint="eastAsia" w:ascii="宋体" w:hAnsi="宋体" w:eastAsia="宋体" w:cs="宋体"/>
          <w:b w:val="0"/>
          <w:bCs/>
          <w:color w:val="auto"/>
          <w:sz w:val="21"/>
          <w:szCs w:val="21"/>
          <w:highlight w:val="none"/>
        </w:rPr>
        <w:t>14.7 最终结清</w:t>
      </w:r>
      <w:bookmarkEnd w:id="2359"/>
      <w:bookmarkEnd w:id="2360"/>
      <w:bookmarkEnd w:id="2361"/>
      <w:bookmarkEnd w:id="2362"/>
      <w:bookmarkEnd w:id="2363"/>
      <w:bookmarkEnd w:id="2364"/>
      <w:bookmarkEnd w:id="2365"/>
      <w:bookmarkEnd w:id="2366"/>
      <w:bookmarkEnd w:id="2367"/>
      <w:bookmarkEnd w:id="2368"/>
      <w:bookmarkEnd w:id="2369"/>
      <w:r>
        <w:rPr>
          <w:rFonts w:hint="eastAsia" w:ascii="宋体" w:hAnsi="宋体" w:eastAsia="宋体" w:cs="宋体"/>
          <w:b w:val="0"/>
          <w:bCs/>
          <w:color w:val="auto"/>
          <w:sz w:val="21"/>
          <w:szCs w:val="21"/>
          <w:highlight w:val="none"/>
        </w:rPr>
        <w:t xml:space="preserve"> </w:t>
      </w:r>
    </w:p>
    <w:p w14:paraId="7E25E4D1">
      <w:pPr>
        <w:pStyle w:val="88"/>
        <w:numPr>
          <w:ilvl w:val="0"/>
          <w:numId w:val="0"/>
        </w:numPr>
        <w:spacing w:after="156"/>
        <w:rPr>
          <w:rFonts w:hint="eastAsia" w:cs="宋体"/>
          <w:color w:val="auto"/>
          <w:sz w:val="21"/>
          <w:highlight w:val="none"/>
        </w:rPr>
      </w:pPr>
      <w:bookmarkStart w:id="2370" w:name="_Ref531957350"/>
      <w:r>
        <w:rPr>
          <w:rFonts w:hint="eastAsia" w:cs="宋体"/>
          <w:color w:val="auto"/>
          <w:sz w:val="21"/>
          <w:highlight w:val="none"/>
        </w:rPr>
        <w:t>14.7.1 最终结清申请</w:t>
      </w:r>
      <w:bookmarkEnd w:id="2370"/>
      <w:r>
        <w:rPr>
          <w:rFonts w:hint="eastAsia" w:cs="宋体"/>
          <w:color w:val="auto"/>
          <w:sz w:val="21"/>
          <w:highlight w:val="none"/>
        </w:rPr>
        <w:t>单</w:t>
      </w:r>
    </w:p>
    <w:p w14:paraId="52290A22">
      <w:pPr>
        <w:ind w:firstLine="600"/>
        <w:rPr>
          <w:rFonts w:hint="eastAsia" w:ascii="宋体" w:hAnsi="宋体" w:cs="宋体"/>
          <w:color w:val="auto"/>
          <w:szCs w:val="21"/>
          <w:highlight w:val="none"/>
        </w:rPr>
      </w:pPr>
      <w:r>
        <w:rPr>
          <w:rFonts w:hint="eastAsia" w:ascii="宋体" w:hAnsi="宋体" w:cs="宋体"/>
          <w:color w:val="auto"/>
          <w:szCs w:val="21"/>
          <w:highlight w:val="none"/>
        </w:rPr>
        <w:t>（1） 除专用合同条件另有约定外，承包人应在缺陷责任期终止证书颁发后7天内，按专用合同条件约定的份数向发包人提交最终结清申请单，并提供相关证明材料。</w:t>
      </w:r>
    </w:p>
    <w:p w14:paraId="559C3801">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除专用合同条件另有约定外，最终结清申请单应列明质量保证金、应扣除的质量保证金、缺陷责任期内发生的增减费用。</w:t>
      </w:r>
    </w:p>
    <w:p w14:paraId="38695696">
      <w:pPr>
        <w:ind w:firstLine="600"/>
        <w:rPr>
          <w:rFonts w:hint="eastAsia" w:ascii="宋体" w:hAnsi="宋体" w:cs="宋体"/>
          <w:color w:val="auto"/>
          <w:szCs w:val="21"/>
          <w:highlight w:val="none"/>
        </w:rPr>
      </w:pPr>
      <w:r>
        <w:rPr>
          <w:rFonts w:hint="eastAsia" w:ascii="宋体" w:hAnsi="宋体" w:cs="宋体"/>
          <w:color w:val="auto"/>
          <w:szCs w:val="21"/>
          <w:highlight w:val="none"/>
        </w:rPr>
        <w:t>（2） 发包人对最终结清申请单内容有异议的，有权要求承包人进行修正和提供补充资料，承包人应向发包人提交修正后的最终结清申请单。</w:t>
      </w:r>
    </w:p>
    <w:p w14:paraId="1A13F680">
      <w:pPr>
        <w:pStyle w:val="88"/>
        <w:numPr>
          <w:ilvl w:val="0"/>
          <w:numId w:val="0"/>
        </w:numPr>
        <w:spacing w:after="156"/>
        <w:rPr>
          <w:rFonts w:hint="eastAsia" w:cs="宋体"/>
          <w:color w:val="auto"/>
          <w:sz w:val="21"/>
          <w:highlight w:val="none"/>
        </w:rPr>
      </w:pPr>
      <w:bookmarkStart w:id="2371" w:name="_Ref531957369"/>
      <w:bookmarkStart w:id="2372" w:name="_Ref4624099"/>
      <w:r>
        <w:rPr>
          <w:rFonts w:hint="eastAsia" w:cs="宋体"/>
          <w:color w:val="auto"/>
          <w:sz w:val="21"/>
          <w:highlight w:val="none"/>
        </w:rPr>
        <w:t>14.7.2 最终结清证书</w:t>
      </w:r>
      <w:bookmarkEnd w:id="2371"/>
      <w:r>
        <w:rPr>
          <w:rFonts w:hint="eastAsia" w:cs="宋体"/>
          <w:color w:val="auto"/>
          <w:sz w:val="21"/>
          <w:highlight w:val="none"/>
        </w:rPr>
        <w:t>和支付</w:t>
      </w:r>
      <w:bookmarkEnd w:id="2372"/>
    </w:p>
    <w:p w14:paraId="2EDBF2DA">
      <w:pPr>
        <w:ind w:firstLine="600"/>
        <w:rPr>
          <w:rFonts w:hint="eastAsia" w:ascii="宋体" w:hAnsi="宋体" w:cs="宋体"/>
          <w:color w:val="auto"/>
          <w:szCs w:val="21"/>
          <w:highlight w:val="none"/>
        </w:rPr>
      </w:pPr>
      <w:r>
        <w:rPr>
          <w:rFonts w:hint="eastAsia" w:ascii="宋体" w:hAnsi="宋体" w:cs="宋体"/>
          <w:color w:val="auto"/>
          <w:szCs w:val="21"/>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4D82100C">
      <w:pPr>
        <w:ind w:firstLine="600"/>
        <w:rPr>
          <w:rFonts w:hint="eastAsia" w:ascii="宋体" w:hAnsi="宋体" w:cs="宋体"/>
          <w:color w:val="auto"/>
          <w:szCs w:val="21"/>
          <w:highlight w:val="none"/>
        </w:rPr>
      </w:pPr>
      <w:r>
        <w:rPr>
          <w:rFonts w:hint="eastAsia" w:ascii="宋体" w:hAnsi="宋体" w:cs="宋体"/>
          <w:color w:val="auto"/>
          <w:szCs w:val="21"/>
          <w:highlight w:val="none"/>
        </w:rPr>
        <w:t>（2） 除专用合同条件另有约定外，发包人应在颁发最终结清证书后7天内完成支付。发包人逾期支付的，按照贷款市场报价利率（LPR）支付利息；逾期支付超过56天的，按照贷款市场报价利率（LPR）的两倍支付利息。</w:t>
      </w:r>
    </w:p>
    <w:p w14:paraId="43BC9D62">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承包人对发包人颁发的最终结清证书有异议的，按第20条[争议解决]的约定办理。</w:t>
      </w:r>
    </w:p>
    <w:p w14:paraId="23691643">
      <w:pPr>
        <w:pStyle w:val="86"/>
        <w:numPr>
          <w:ilvl w:val="0"/>
          <w:numId w:val="0"/>
        </w:numPr>
        <w:rPr>
          <w:rFonts w:hint="eastAsia" w:ascii="宋体" w:hAnsi="宋体" w:eastAsia="宋体" w:cs="宋体"/>
          <w:b w:val="0"/>
          <w:color w:val="auto"/>
          <w:sz w:val="21"/>
          <w:szCs w:val="21"/>
          <w:highlight w:val="none"/>
        </w:rPr>
      </w:pPr>
      <w:bookmarkStart w:id="2373" w:name="_Toc19384"/>
      <w:bookmarkStart w:id="2374" w:name="_Toc24144"/>
      <w:bookmarkStart w:id="2375" w:name="_Ref11920407"/>
      <w:bookmarkStart w:id="2376" w:name="_Toc15045"/>
      <w:bookmarkStart w:id="2377" w:name="_Toc103175773"/>
      <w:bookmarkStart w:id="2378" w:name="_Toc21256"/>
      <w:bookmarkStart w:id="2379" w:name="_Toc27708"/>
      <w:bookmarkStart w:id="2380" w:name="_Ref11874957"/>
      <w:bookmarkStart w:id="2381" w:name="_Toc18714"/>
      <w:bookmarkStart w:id="2382" w:name="_Toc893"/>
      <w:bookmarkStart w:id="2383" w:name="_Toc17839"/>
      <w:bookmarkStart w:id="2384" w:name="_Toc4080"/>
      <w:bookmarkStart w:id="2385" w:name="_Toc12060"/>
      <w:bookmarkStart w:id="2386" w:name="_Ref11920396"/>
      <w:r>
        <w:rPr>
          <w:rFonts w:hint="eastAsia" w:ascii="宋体" w:hAnsi="宋体" w:eastAsia="宋体" w:cs="宋体"/>
          <w:b w:val="0"/>
          <w:color w:val="auto"/>
          <w:sz w:val="21"/>
          <w:szCs w:val="21"/>
          <w:highlight w:val="none"/>
        </w:rPr>
        <w:t>第15条 违约</w:t>
      </w:r>
      <w:bookmarkEnd w:id="2052"/>
      <w:bookmarkEnd w:id="2066"/>
      <w:bookmarkEnd w:id="2067"/>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p>
    <w:p w14:paraId="3AA097FE">
      <w:pPr>
        <w:pStyle w:val="87"/>
        <w:widowControl/>
        <w:numPr>
          <w:ilvl w:val="0"/>
          <w:numId w:val="0"/>
        </w:numPr>
        <w:spacing w:after="156"/>
        <w:rPr>
          <w:rFonts w:hint="eastAsia" w:ascii="宋体" w:hAnsi="宋体" w:eastAsia="宋体" w:cs="宋体"/>
          <w:b w:val="0"/>
          <w:bCs/>
          <w:color w:val="auto"/>
          <w:sz w:val="21"/>
          <w:szCs w:val="21"/>
          <w:highlight w:val="none"/>
        </w:rPr>
      </w:pPr>
      <w:bookmarkStart w:id="2387" w:name="_Toc13389"/>
      <w:bookmarkStart w:id="2388" w:name="_Ref4534376"/>
      <w:bookmarkStart w:id="2389" w:name="_Toc15683"/>
      <w:bookmarkStart w:id="2390" w:name="_Toc103175774"/>
      <w:bookmarkStart w:id="2391" w:name="_Toc29027"/>
      <w:bookmarkStart w:id="2392" w:name="_Toc8706"/>
      <w:bookmarkStart w:id="2393" w:name="_Toc32231"/>
      <w:bookmarkStart w:id="2394" w:name="_Toc15073"/>
      <w:bookmarkStart w:id="2395" w:name="_Ref4534384"/>
      <w:bookmarkStart w:id="2396" w:name="_Toc31782"/>
      <w:bookmarkStart w:id="2397" w:name="_Ref4534411"/>
      <w:bookmarkStart w:id="2398" w:name="_Ref4534399"/>
      <w:bookmarkStart w:id="2399" w:name="_Toc21406"/>
      <w:r>
        <w:rPr>
          <w:rFonts w:hint="eastAsia" w:ascii="宋体" w:hAnsi="宋体" w:eastAsia="宋体" w:cs="宋体"/>
          <w:b w:val="0"/>
          <w:bCs/>
          <w:color w:val="auto"/>
          <w:sz w:val="21"/>
          <w:szCs w:val="21"/>
          <w:highlight w:val="none"/>
        </w:rPr>
        <w:t>15.1 发包人违约</w:t>
      </w:r>
      <w:bookmarkEnd w:id="2387"/>
      <w:bookmarkEnd w:id="2388"/>
      <w:bookmarkEnd w:id="2389"/>
      <w:bookmarkEnd w:id="2390"/>
      <w:bookmarkEnd w:id="2391"/>
      <w:bookmarkEnd w:id="2392"/>
      <w:bookmarkEnd w:id="2393"/>
      <w:bookmarkEnd w:id="2394"/>
      <w:bookmarkEnd w:id="2395"/>
      <w:bookmarkEnd w:id="2396"/>
      <w:bookmarkEnd w:id="2397"/>
      <w:bookmarkEnd w:id="2398"/>
      <w:bookmarkEnd w:id="2399"/>
    </w:p>
    <w:p w14:paraId="40D47EA2">
      <w:pPr>
        <w:pStyle w:val="88"/>
        <w:numPr>
          <w:ilvl w:val="0"/>
          <w:numId w:val="0"/>
        </w:numPr>
        <w:spacing w:after="156"/>
        <w:rPr>
          <w:rFonts w:hint="eastAsia" w:cs="宋体"/>
          <w:color w:val="auto"/>
          <w:sz w:val="21"/>
          <w:highlight w:val="none"/>
        </w:rPr>
      </w:pPr>
      <w:bookmarkStart w:id="2400" w:name="_Ref3841087"/>
      <w:r>
        <w:rPr>
          <w:rFonts w:hint="eastAsia" w:cs="宋体"/>
          <w:color w:val="auto"/>
          <w:sz w:val="21"/>
          <w:highlight w:val="none"/>
        </w:rPr>
        <w:t>15.1.1 发包人违约的情形</w:t>
      </w:r>
      <w:bookmarkEnd w:id="2400"/>
    </w:p>
    <w:p w14:paraId="0753FFE1">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除专用合同条件另有约定外，在合同履行过程中发生的下列情形，属于发包人违约：</w:t>
      </w:r>
    </w:p>
    <w:p w14:paraId="420C1DDB">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（1） 因发包人原因导致开始工作日期延误的； </w:t>
      </w:r>
    </w:p>
    <w:p w14:paraId="1A369585">
      <w:pPr>
        <w:ind w:firstLine="600"/>
        <w:rPr>
          <w:rFonts w:hint="eastAsia" w:ascii="宋体" w:hAnsi="宋体" w:cs="宋体"/>
          <w:color w:val="auto"/>
          <w:szCs w:val="21"/>
          <w:highlight w:val="none"/>
        </w:rPr>
      </w:pPr>
      <w:r>
        <w:rPr>
          <w:rFonts w:hint="eastAsia" w:ascii="宋体" w:hAnsi="宋体" w:cs="宋体"/>
          <w:color w:val="auto"/>
          <w:szCs w:val="21"/>
          <w:highlight w:val="none"/>
        </w:rPr>
        <w:t>（2） 因发包人原因未能按合同约定支付合同价款的；</w:t>
      </w:r>
    </w:p>
    <w:p w14:paraId="300F00A2">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发包人违反第13.1.1项约定，自行实施被取消的工作或转由他人实施的；</w:t>
      </w:r>
    </w:p>
    <w:p w14:paraId="2AAE56C8">
      <w:pPr>
        <w:ind w:firstLine="600"/>
        <w:rPr>
          <w:rFonts w:hint="eastAsia" w:ascii="宋体" w:hAnsi="宋体" w:cs="宋体"/>
          <w:color w:val="auto"/>
          <w:szCs w:val="21"/>
          <w:highlight w:val="none"/>
        </w:rPr>
      </w:pPr>
      <w:r>
        <w:rPr>
          <w:rFonts w:hint="eastAsia" w:ascii="宋体" w:hAnsi="宋体" w:cs="宋体"/>
          <w:color w:val="auto"/>
          <w:szCs w:val="21"/>
          <w:highlight w:val="none"/>
        </w:rPr>
        <w:t>（4） 因发包人违反合同约定造成工程暂停施工的；</w:t>
      </w:r>
    </w:p>
    <w:p w14:paraId="5B3C71D3">
      <w:pPr>
        <w:ind w:firstLine="600"/>
        <w:rPr>
          <w:rFonts w:hint="eastAsia" w:ascii="宋体" w:hAnsi="宋体" w:cs="宋体"/>
          <w:color w:val="auto"/>
          <w:szCs w:val="21"/>
          <w:highlight w:val="none"/>
        </w:rPr>
      </w:pPr>
      <w:r>
        <w:rPr>
          <w:rFonts w:hint="eastAsia" w:ascii="宋体" w:hAnsi="宋体" w:cs="宋体"/>
          <w:color w:val="auto"/>
          <w:szCs w:val="21"/>
          <w:highlight w:val="none"/>
        </w:rPr>
        <w:t>（5） 工程师无正当理由没有在约定期限内发出复工指示，导致承包人无法复工的；</w:t>
      </w:r>
    </w:p>
    <w:p w14:paraId="2AA3849F">
      <w:pPr>
        <w:ind w:firstLine="600"/>
        <w:rPr>
          <w:rFonts w:hint="eastAsia" w:ascii="宋体" w:hAnsi="宋体" w:cs="宋体"/>
          <w:color w:val="auto"/>
          <w:szCs w:val="21"/>
          <w:highlight w:val="none"/>
        </w:rPr>
      </w:pPr>
      <w:r>
        <w:rPr>
          <w:rFonts w:hint="eastAsia" w:ascii="宋体" w:hAnsi="宋体" w:cs="宋体"/>
          <w:color w:val="auto"/>
          <w:szCs w:val="21"/>
          <w:highlight w:val="none"/>
        </w:rPr>
        <w:t>（6） 发包人明确表示或者以其行为表明不履行合同主要义务的；</w:t>
      </w:r>
    </w:p>
    <w:p w14:paraId="57D5A306">
      <w:pPr>
        <w:ind w:firstLine="600"/>
        <w:rPr>
          <w:rFonts w:hint="eastAsia" w:ascii="宋体" w:hAnsi="宋体" w:cs="宋体"/>
          <w:color w:val="auto"/>
          <w:szCs w:val="21"/>
          <w:highlight w:val="none"/>
        </w:rPr>
      </w:pPr>
      <w:r>
        <w:rPr>
          <w:rFonts w:hint="eastAsia" w:ascii="宋体" w:hAnsi="宋体" w:cs="宋体"/>
          <w:color w:val="auto"/>
          <w:szCs w:val="21"/>
          <w:highlight w:val="none"/>
        </w:rPr>
        <w:t>（7） 发包人未能按照合同约定履行其他义务的。</w:t>
      </w:r>
    </w:p>
    <w:p w14:paraId="16E2689E">
      <w:pPr>
        <w:pStyle w:val="88"/>
        <w:numPr>
          <w:ilvl w:val="0"/>
          <w:numId w:val="0"/>
        </w:numPr>
        <w:spacing w:after="156"/>
        <w:rPr>
          <w:rFonts w:hint="eastAsia" w:cs="宋体"/>
          <w:color w:val="auto"/>
          <w:sz w:val="21"/>
          <w:highlight w:val="none"/>
        </w:rPr>
      </w:pPr>
      <w:bookmarkStart w:id="2401" w:name="_Ref4535692"/>
      <w:r>
        <w:rPr>
          <w:rFonts w:hint="eastAsia" w:cs="宋体"/>
          <w:color w:val="auto"/>
          <w:sz w:val="21"/>
          <w:highlight w:val="none"/>
        </w:rPr>
        <w:t>15.1.2 通知改正</w:t>
      </w:r>
      <w:bookmarkEnd w:id="2401"/>
    </w:p>
    <w:p w14:paraId="51B4F232">
      <w:pPr>
        <w:ind w:firstLine="600"/>
        <w:rPr>
          <w:rFonts w:hint="eastAsia" w:ascii="宋体" w:hAnsi="宋体" w:cs="宋体"/>
          <w:color w:val="auto"/>
          <w:szCs w:val="21"/>
          <w:highlight w:val="none"/>
        </w:rPr>
      </w:pPr>
      <w:bookmarkStart w:id="2402" w:name="_Hlk16248297"/>
      <w:r>
        <w:rPr>
          <w:rFonts w:hint="eastAsia" w:ascii="宋体" w:hAnsi="宋体" w:cs="宋体"/>
          <w:color w:val="auto"/>
          <w:szCs w:val="21"/>
          <w:highlight w:val="none"/>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2402"/>
    </w:p>
    <w:p w14:paraId="358EA956">
      <w:pPr>
        <w:pStyle w:val="88"/>
        <w:numPr>
          <w:ilvl w:val="0"/>
          <w:numId w:val="0"/>
        </w:numPr>
        <w:spacing w:after="156"/>
        <w:rPr>
          <w:rFonts w:hint="eastAsia" w:cs="宋体"/>
          <w:color w:val="auto"/>
          <w:sz w:val="21"/>
          <w:highlight w:val="none"/>
        </w:rPr>
      </w:pPr>
      <w:bookmarkStart w:id="2403" w:name="_Ref3841132"/>
      <w:r>
        <w:rPr>
          <w:rFonts w:hint="eastAsia" w:cs="宋体"/>
          <w:color w:val="auto"/>
          <w:sz w:val="21"/>
          <w:highlight w:val="none"/>
        </w:rPr>
        <w:t>15.1.3 发包人违约的责任</w:t>
      </w:r>
      <w:bookmarkEnd w:id="2403"/>
    </w:p>
    <w:p w14:paraId="1171FEA5">
      <w:pPr>
        <w:ind w:firstLine="600"/>
        <w:rPr>
          <w:rFonts w:hint="eastAsia" w:ascii="宋体" w:hAnsi="宋体" w:cs="宋体"/>
          <w:color w:val="auto"/>
          <w:szCs w:val="21"/>
          <w:highlight w:val="none"/>
        </w:rPr>
      </w:pPr>
      <w:bookmarkStart w:id="2404" w:name="_Hlk16247984"/>
      <w:r>
        <w:rPr>
          <w:rFonts w:hint="eastAsia" w:ascii="宋体" w:hAnsi="宋体" w:cs="宋体"/>
          <w:color w:val="auto"/>
          <w:szCs w:val="21"/>
          <w:highlight w:val="none"/>
        </w:rPr>
        <w:t>发包人应承担因其违约给承包人增加的费用和（或）延误的工期，并支付承包人合理的利润。此外，合同当事人可在专用合同条件中另行约定发包人违约责任的承担方式和计算方法。</w:t>
      </w:r>
      <w:bookmarkEnd w:id="2404"/>
    </w:p>
    <w:p w14:paraId="2CFDD44F">
      <w:pPr>
        <w:pStyle w:val="87"/>
        <w:widowControl/>
        <w:numPr>
          <w:ilvl w:val="0"/>
          <w:numId w:val="0"/>
        </w:numPr>
        <w:spacing w:after="156"/>
        <w:rPr>
          <w:rFonts w:hint="eastAsia" w:ascii="宋体" w:hAnsi="宋体" w:eastAsia="宋体" w:cs="宋体"/>
          <w:b w:val="0"/>
          <w:bCs/>
          <w:color w:val="auto"/>
          <w:sz w:val="21"/>
          <w:szCs w:val="21"/>
          <w:highlight w:val="none"/>
        </w:rPr>
      </w:pPr>
      <w:bookmarkStart w:id="2405" w:name="_Toc4449"/>
      <w:bookmarkStart w:id="2406" w:name="_Toc1555"/>
      <w:bookmarkStart w:id="2407" w:name="_Ref11958663"/>
      <w:bookmarkStart w:id="2408" w:name="_Ref11958660"/>
      <w:bookmarkStart w:id="2409" w:name="_Toc22975"/>
      <w:bookmarkStart w:id="2410" w:name="_Toc30898"/>
      <w:bookmarkStart w:id="2411" w:name="_Toc27942"/>
      <w:bookmarkStart w:id="2412" w:name="_Toc8344"/>
      <w:bookmarkStart w:id="2413" w:name="_Toc103175775"/>
      <w:bookmarkStart w:id="2414" w:name="_Toc29387"/>
      <w:bookmarkStart w:id="2415" w:name="_Toc17493"/>
      <w:r>
        <w:rPr>
          <w:rFonts w:hint="eastAsia" w:ascii="宋体" w:hAnsi="宋体" w:eastAsia="宋体" w:cs="宋体"/>
          <w:b w:val="0"/>
          <w:bCs/>
          <w:color w:val="auto"/>
          <w:sz w:val="21"/>
          <w:szCs w:val="21"/>
          <w:highlight w:val="none"/>
        </w:rPr>
        <w:t>15.2 承包人违约</w:t>
      </w:r>
      <w:bookmarkEnd w:id="2405"/>
      <w:bookmarkEnd w:id="2406"/>
      <w:bookmarkEnd w:id="2407"/>
      <w:bookmarkEnd w:id="2408"/>
      <w:bookmarkEnd w:id="2409"/>
      <w:bookmarkEnd w:id="2410"/>
      <w:bookmarkEnd w:id="2411"/>
      <w:bookmarkEnd w:id="2412"/>
      <w:bookmarkEnd w:id="2413"/>
      <w:bookmarkEnd w:id="2414"/>
      <w:bookmarkEnd w:id="2415"/>
    </w:p>
    <w:p w14:paraId="1D084004">
      <w:pPr>
        <w:pStyle w:val="88"/>
        <w:numPr>
          <w:ilvl w:val="0"/>
          <w:numId w:val="0"/>
        </w:numPr>
        <w:spacing w:after="156"/>
        <w:rPr>
          <w:rFonts w:hint="eastAsia" w:cs="宋体"/>
          <w:color w:val="auto"/>
          <w:sz w:val="21"/>
          <w:highlight w:val="none"/>
        </w:rPr>
      </w:pPr>
      <w:bookmarkStart w:id="2416" w:name="_Ref3841153"/>
      <w:r>
        <w:rPr>
          <w:rFonts w:hint="eastAsia" w:cs="宋体"/>
          <w:color w:val="auto"/>
          <w:sz w:val="21"/>
          <w:highlight w:val="none"/>
        </w:rPr>
        <w:t>15.2.1 承包人违约的情形</w:t>
      </w:r>
      <w:bookmarkEnd w:id="2416"/>
    </w:p>
    <w:p w14:paraId="2290418F">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除专用合同条件另有约定外，在履行合同过程中发生的下列情况之一的，属于承包人违约：</w:t>
      </w:r>
    </w:p>
    <w:p w14:paraId="43DF7649">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承包人的原因导致的承包人文件、实施和竣工的工程不符合法律法规、工程质量验收标准以及合同约定；</w:t>
      </w:r>
    </w:p>
    <w:p w14:paraId="0E6D85D2">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承包人违反合同约定进行转包或违法分包的；</w:t>
      </w:r>
    </w:p>
    <w:p w14:paraId="55931ACD">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承包人违反约定采购和使用不合格材料或工程设备；</w:t>
      </w:r>
    </w:p>
    <w:p w14:paraId="43E5CEE0">
      <w:pPr>
        <w:ind w:firstLine="600"/>
        <w:rPr>
          <w:rFonts w:hint="eastAsia" w:ascii="宋体" w:hAnsi="宋体" w:cs="宋体"/>
          <w:color w:val="auto"/>
          <w:szCs w:val="21"/>
          <w:highlight w:val="none"/>
        </w:rPr>
      </w:pPr>
      <w:r>
        <w:rPr>
          <w:rFonts w:hint="eastAsia" w:ascii="宋体" w:hAnsi="宋体" w:cs="宋体"/>
          <w:color w:val="auto"/>
          <w:szCs w:val="21"/>
          <w:highlight w:val="none"/>
        </w:rPr>
        <w:t>（4） 因承包人原因导致工程质量不符合合同要求的；</w:t>
      </w:r>
    </w:p>
    <w:p w14:paraId="20270052">
      <w:pPr>
        <w:ind w:firstLine="600"/>
        <w:rPr>
          <w:rFonts w:hint="eastAsia" w:ascii="宋体" w:hAnsi="宋体" w:cs="宋体"/>
          <w:color w:val="auto"/>
          <w:szCs w:val="21"/>
          <w:highlight w:val="none"/>
        </w:rPr>
      </w:pPr>
      <w:r>
        <w:rPr>
          <w:rFonts w:hint="eastAsia" w:ascii="宋体" w:hAnsi="宋体" w:cs="宋体"/>
          <w:color w:val="auto"/>
          <w:szCs w:val="21"/>
          <w:highlight w:val="none"/>
        </w:rPr>
        <w:t>（5） 承包人未经工程师批准，擅自将已按合同约定进入施工现场的施工设备、临时设施或材料撤离施工现场；</w:t>
      </w:r>
    </w:p>
    <w:p w14:paraId="43F8A0D5">
      <w:pPr>
        <w:ind w:firstLine="600"/>
        <w:rPr>
          <w:rFonts w:hint="eastAsia" w:ascii="宋体" w:hAnsi="宋体" w:cs="宋体"/>
          <w:color w:val="auto"/>
          <w:szCs w:val="21"/>
          <w:highlight w:val="none"/>
        </w:rPr>
      </w:pPr>
      <w:r>
        <w:rPr>
          <w:rFonts w:hint="eastAsia" w:ascii="宋体" w:hAnsi="宋体" w:cs="宋体"/>
          <w:color w:val="auto"/>
          <w:szCs w:val="21"/>
          <w:highlight w:val="none"/>
        </w:rPr>
        <w:t>（6） 承包人未能按项目进度计划及时完成合同约定的工作，造成工期延误；</w:t>
      </w:r>
    </w:p>
    <w:p w14:paraId="1D7F715D">
      <w:pPr>
        <w:ind w:firstLine="600"/>
        <w:rPr>
          <w:rFonts w:hint="eastAsia" w:ascii="宋体" w:hAnsi="宋体" w:cs="宋体"/>
          <w:color w:val="auto"/>
          <w:szCs w:val="21"/>
          <w:highlight w:val="none"/>
        </w:rPr>
      </w:pPr>
      <w:r>
        <w:rPr>
          <w:rFonts w:hint="eastAsia" w:ascii="宋体" w:hAnsi="宋体" w:cs="宋体"/>
          <w:color w:val="auto"/>
          <w:szCs w:val="21"/>
          <w:highlight w:val="none"/>
        </w:rPr>
        <w:t>（7） 由于承包人原因未能通过竣工试验或竣工后试验的；</w:t>
      </w:r>
    </w:p>
    <w:p w14:paraId="29E022F4">
      <w:pPr>
        <w:ind w:firstLine="600"/>
        <w:rPr>
          <w:rFonts w:hint="eastAsia" w:ascii="宋体" w:hAnsi="宋体" w:cs="宋体"/>
          <w:color w:val="auto"/>
          <w:szCs w:val="21"/>
          <w:highlight w:val="none"/>
        </w:rPr>
      </w:pPr>
      <w:r>
        <w:rPr>
          <w:rFonts w:hint="eastAsia" w:ascii="宋体" w:hAnsi="宋体" w:cs="宋体"/>
          <w:color w:val="auto"/>
          <w:szCs w:val="21"/>
          <w:highlight w:val="none"/>
        </w:rPr>
        <w:t>（8） 承包人在缺陷责任期及保修期内，未能在合理期限对工程缺陷进行修复，或拒绝按发包人指示进行修复的；</w:t>
      </w:r>
    </w:p>
    <w:p w14:paraId="36A9E5BB">
      <w:pPr>
        <w:ind w:firstLine="600"/>
        <w:rPr>
          <w:rFonts w:hint="eastAsia" w:ascii="宋体" w:hAnsi="宋体" w:cs="宋体"/>
          <w:color w:val="auto"/>
          <w:szCs w:val="21"/>
          <w:highlight w:val="none"/>
        </w:rPr>
      </w:pPr>
      <w:r>
        <w:rPr>
          <w:rFonts w:hint="eastAsia" w:ascii="宋体" w:hAnsi="宋体" w:cs="宋体"/>
          <w:color w:val="auto"/>
          <w:szCs w:val="21"/>
          <w:highlight w:val="none"/>
        </w:rPr>
        <w:t>（9） 承包人明确表示或者以其行为表明不履行合同主要义务的；</w:t>
      </w:r>
    </w:p>
    <w:p w14:paraId="4ED558AD">
      <w:pPr>
        <w:ind w:firstLine="600"/>
        <w:rPr>
          <w:rFonts w:hint="eastAsia" w:ascii="宋体" w:hAnsi="宋体" w:cs="宋体"/>
          <w:color w:val="auto"/>
          <w:szCs w:val="21"/>
          <w:highlight w:val="none"/>
        </w:rPr>
      </w:pPr>
      <w:r>
        <w:rPr>
          <w:rFonts w:hint="eastAsia" w:ascii="宋体" w:hAnsi="宋体" w:cs="宋体"/>
          <w:color w:val="auto"/>
          <w:szCs w:val="21"/>
          <w:highlight w:val="none"/>
        </w:rPr>
        <w:t>（10） 承包人未能按照合同约定履行其他义务的。</w:t>
      </w:r>
    </w:p>
    <w:p w14:paraId="19891CDE">
      <w:pPr>
        <w:pStyle w:val="88"/>
        <w:numPr>
          <w:ilvl w:val="0"/>
          <w:numId w:val="0"/>
        </w:numPr>
        <w:spacing w:after="156"/>
        <w:rPr>
          <w:rFonts w:hint="eastAsia" w:cs="宋体"/>
          <w:color w:val="auto"/>
          <w:sz w:val="21"/>
          <w:highlight w:val="none"/>
        </w:rPr>
      </w:pPr>
      <w:bookmarkStart w:id="2417" w:name="_Ref531958512"/>
      <w:r>
        <w:rPr>
          <w:rFonts w:hint="eastAsia" w:cs="宋体"/>
          <w:color w:val="auto"/>
          <w:sz w:val="21"/>
          <w:highlight w:val="none"/>
        </w:rPr>
        <w:t>15.2.2 通知改正</w:t>
      </w:r>
      <w:bookmarkEnd w:id="2417"/>
    </w:p>
    <w:p w14:paraId="7005E7DB">
      <w:pPr>
        <w:ind w:firstLine="600"/>
        <w:rPr>
          <w:rFonts w:hint="eastAsia" w:ascii="宋体" w:hAnsi="宋体" w:cs="宋体"/>
          <w:color w:val="auto"/>
          <w:szCs w:val="21"/>
          <w:highlight w:val="none"/>
        </w:rPr>
      </w:pPr>
      <w:r>
        <w:rPr>
          <w:rFonts w:hint="eastAsia" w:ascii="宋体" w:hAnsi="宋体" w:cs="宋体"/>
          <w:color w:val="auto"/>
          <w:szCs w:val="21"/>
          <w:highlight w:val="none"/>
        </w:rPr>
        <w:t>承包人发生除第15.2.1项第(7)目、第(9)目约定以外的其他违约情况时，工程师可在专用合同条件约定的合理期限内向承包人发出整改通知，要求其在指定的期限内改正。</w:t>
      </w:r>
    </w:p>
    <w:p w14:paraId="4B4F91FD">
      <w:pPr>
        <w:pStyle w:val="88"/>
        <w:numPr>
          <w:ilvl w:val="0"/>
          <w:numId w:val="0"/>
        </w:numPr>
        <w:spacing w:after="156"/>
        <w:rPr>
          <w:rFonts w:hint="eastAsia" w:cs="宋体"/>
          <w:color w:val="auto"/>
          <w:sz w:val="21"/>
          <w:highlight w:val="none"/>
        </w:rPr>
      </w:pPr>
      <w:bookmarkStart w:id="2418" w:name="_Ref3841166"/>
      <w:r>
        <w:rPr>
          <w:rFonts w:hint="eastAsia" w:cs="宋体"/>
          <w:color w:val="auto"/>
          <w:sz w:val="21"/>
          <w:highlight w:val="none"/>
        </w:rPr>
        <w:t>15.2.3 承包人违约的责任</w:t>
      </w:r>
      <w:bookmarkEnd w:id="2418"/>
    </w:p>
    <w:p w14:paraId="256B594E">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承包人应承担因其违约行为而增加的费用和（或）延误的工期。此外，合同当事人可在专用合同条件中另行约定承包人违约责任的承担方式和计算方法。</w:t>
      </w:r>
    </w:p>
    <w:p w14:paraId="435DD562">
      <w:pPr>
        <w:pStyle w:val="87"/>
        <w:widowControl/>
        <w:numPr>
          <w:ilvl w:val="0"/>
          <w:numId w:val="0"/>
        </w:numPr>
        <w:spacing w:after="156"/>
        <w:rPr>
          <w:rFonts w:hint="eastAsia" w:ascii="宋体" w:hAnsi="宋体" w:eastAsia="宋体" w:cs="宋体"/>
          <w:b w:val="0"/>
          <w:bCs/>
          <w:color w:val="auto"/>
          <w:sz w:val="21"/>
          <w:szCs w:val="21"/>
          <w:highlight w:val="none"/>
        </w:rPr>
      </w:pPr>
      <w:bookmarkStart w:id="2419" w:name="_Toc16623"/>
      <w:bookmarkStart w:id="2420" w:name="_Toc16988"/>
      <w:bookmarkStart w:id="2421" w:name="_Toc31695"/>
      <w:bookmarkStart w:id="2422" w:name="_Toc103175776"/>
      <w:bookmarkStart w:id="2423" w:name="_Toc31629"/>
      <w:bookmarkStart w:id="2424" w:name="_Toc30514"/>
      <w:bookmarkStart w:id="2425" w:name="_Toc6253"/>
      <w:bookmarkStart w:id="2426" w:name="_Toc32415"/>
      <w:bookmarkStart w:id="2427" w:name="_Toc14718"/>
      <w:r>
        <w:rPr>
          <w:rFonts w:hint="eastAsia" w:ascii="宋体" w:hAnsi="宋体" w:eastAsia="宋体" w:cs="宋体"/>
          <w:b w:val="0"/>
          <w:bCs/>
          <w:color w:val="auto"/>
          <w:sz w:val="21"/>
          <w:szCs w:val="21"/>
          <w:highlight w:val="none"/>
        </w:rPr>
        <w:t>15.3 第三人造成的违约</w:t>
      </w:r>
      <w:bookmarkEnd w:id="2419"/>
      <w:bookmarkEnd w:id="2420"/>
      <w:bookmarkEnd w:id="2421"/>
      <w:bookmarkEnd w:id="2422"/>
      <w:bookmarkEnd w:id="2423"/>
      <w:bookmarkEnd w:id="2424"/>
      <w:bookmarkEnd w:id="2425"/>
      <w:bookmarkEnd w:id="2426"/>
      <w:bookmarkEnd w:id="2427"/>
    </w:p>
    <w:p w14:paraId="52848989">
      <w:pPr>
        <w:ind w:firstLine="600"/>
        <w:rPr>
          <w:rFonts w:hint="eastAsia" w:ascii="宋体" w:hAnsi="宋体" w:cs="宋体"/>
          <w:color w:val="auto"/>
          <w:szCs w:val="21"/>
          <w:highlight w:val="none"/>
        </w:rPr>
      </w:pPr>
      <w:r>
        <w:rPr>
          <w:rFonts w:hint="eastAsia" w:ascii="宋体" w:hAnsi="宋体" w:cs="宋体"/>
          <w:color w:val="auto"/>
          <w:szCs w:val="21"/>
          <w:highlight w:val="none"/>
        </w:rPr>
        <w:t>在履行合同过程中，一方当事人因第三人的原因造成违约的，应当向对方当事人承担违约责任。一方当事人和第三人之间的纠纷，依照法律规定或者按照约定解决。</w:t>
      </w:r>
    </w:p>
    <w:p w14:paraId="3DDE384F">
      <w:pPr>
        <w:pStyle w:val="86"/>
        <w:numPr>
          <w:ilvl w:val="0"/>
          <w:numId w:val="0"/>
        </w:numPr>
        <w:rPr>
          <w:rFonts w:hint="eastAsia" w:ascii="宋体" w:hAnsi="宋体" w:eastAsia="宋体" w:cs="宋体"/>
          <w:b w:val="0"/>
          <w:color w:val="auto"/>
          <w:sz w:val="21"/>
          <w:szCs w:val="21"/>
          <w:highlight w:val="none"/>
        </w:rPr>
      </w:pPr>
      <w:bookmarkStart w:id="2428" w:name="_Toc4112"/>
      <w:bookmarkStart w:id="2429" w:name="_Toc6630"/>
      <w:bookmarkStart w:id="2430" w:name="_Toc103175777"/>
      <w:bookmarkStart w:id="2431" w:name="_Ref4510572"/>
      <w:bookmarkStart w:id="2432" w:name="_Toc12974"/>
      <w:bookmarkStart w:id="2433" w:name="_Toc27301"/>
      <w:bookmarkStart w:id="2434" w:name="_Toc13574"/>
      <w:bookmarkStart w:id="2435" w:name="_Toc4621"/>
      <w:bookmarkStart w:id="2436" w:name="_Toc12912"/>
      <w:bookmarkStart w:id="2437" w:name="_Toc1973"/>
      <w:bookmarkStart w:id="2438" w:name="_Toc4878"/>
      <w:bookmarkStart w:id="2439" w:name="_Toc24566"/>
      <w:bookmarkStart w:id="2440" w:name="_Ref3840457"/>
      <w:bookmarkStart w:id="2441" w:name="_Ref532142069"/>
      <w:r>
        <w:rPr>
          <w:rFonts w:hint="eastAsia" w:ascii="宋体" w:hAnsi="宋体" w:eastAsia="宋体" w:cs="宋体"/>
          <w:b w:val="0"/>
          <w:color w:val="auto"/>
          <w:sz w:val="21"/>
          <w:szCs w:val="21"/>
          <w:highlight w:val="none"/>
        </w:rPr>
        <w:t>第16条 合同解除</w:t>
      </w:r>
      <w:bookmarkEnd w:id="2428"/>
      <w:bookmarkEnd w:id="2429"/>
      <w:bookmarkEnd w:id="2430"/>
      <w:bookmarkEnd w:id="2431"/>
      <w:bookmarkEnd w:id="2432"/>
      <w:bookmarkEnd w:id="2433"/>
      <w:bookmarkEnd w:id="2434"/>
      <w:bookmarkEnd w:id="2435"/>
      <w:bookmarkEnd w:id="2436"/>
      <w:bookmarkEnd w:id="2437"/>
      <w:bookmarkEnd w:id="2438"/>
      <w:bookmarkEnd w:id="2439"/>
    </w:p>
    <w:p w14:paraId="2F4B83E4">
      <w:pPr>
        <w:pStyle w:val="87"/>
        <w:widowControl/>
        <w:numPr>
          <w:ilvl w:val="0"/>
          <w:numId w:val="0"/>
        </w:numPr>
        <w:spacing w:after="156"/>
        <w:rPr>
          <w:rFonts w:hint="eastAsia" w:ascii="宋体" w:hAnsi="宋体" w:eastAsia="宋体" w:cs="宋体"/>
          <w:b w:val="0"/>
          <w:bCs/>
          <w:color w:val="auto"/>
          <w:sz w:val="21"/>
          <w:szCs w:val="21"/>
          <w:highlight w:val="none"/>
        </w:rPr>
      </w:pPr>
      <w:bookmarkStart w:id="2442" w:name="_Toc7091"/>
      <w:bookmarkStart w:id="2443" w:name="_Toc12767"/>
      <w:bookmarkStart w:id="2444" w:name="_Toc26595"/>
      <w:bookmarkStart w:id="2445" w:name="_Toc10761"/>
      <w:bookmarkStart w:id="2446" w:name="_Toc103175778"/>
      <w:bookmarkStart w:id="2447" w:name="_Ref531958502"/>
      <w:bookmarkStart w:id="2448" w:name="_Toc9084"/>
      <w:bookmarkStart w:id="2449" w:name="_Toc3324"/>
      <w:bookmarkStart w:id="2450" w:name="_Ref531958499"/>
      <w:bookmarkStart w:id="2451" w:name="_Toc18185"/>
      <w:bookmarkStart w:id="2452" w:name="_Toc28403"/>
      <w:r>
        <w:rPr>
          <w:rFonts w:hint="eastAsia" w:ascii="宋体" w:hAnsi="宋体" w:eastAsia="宋体" w:cs="宋体"/>
          <w:b w:val="0"/>
          <w:bCs/>
          <w:color w:val="auto"/>
          <w:sz w:val="21"/>
          <w:szCs w:val="21"/>
          <w:highlight w:val="none"/>
        </w:rPr>
        <w:t>16.1 由发包人解除合同</w:t>
      </w:r>
      <w:bookmarkEnd w:id="2442"/>
      <w:bookmarkEnd w:id="2443"/>
      <w:bookmarkEnd w:id="2444"/>
      <w:bookmarkEnd w:id="2445"/>
      <w:bookmarkEnd w:id="2446"/>
      <w:bookmarkEnd w:id="2447"/>
      <w:bookmarkEnd w:id="2448"/>
      <w:bookmarkEnd w:id="2449"/>
      <w:bookmarkEnd w:id="2450"/>
      <w:bookmarkEnd w:id="2451"/>
      <w:bookmarkEnd w:id="2452"/>
    </w:p>
    <w:p w14:paraId="6188ECB7">
      <w:pPr>
        <w:pStyle w:val="88"/>
        <w:numPr>
          <w:ilvl w:val="0"/>
          <w:numId w:val="0"/>
        </w:numPr>
        <w:spacing w:after="156"/>
        <w:rPr>
          <w:rFonts w:hint="eastAsia" w:cs="宋体"/>
          <w:color w:val="auto"/>
          <w:sz w:val="21"/>
          <w:highlight w:val="none"/>
        </w:rPr>
      </w:pPr>
      <w:bookmarkStart w:id="2453" w:name="_Ref4535422"/>
      <w:r>
        <w:rPr>
          <w:rFonts w:hint="eastAsia" w:cs="宋体"/>
          <w:color w:val="auto"/>
          <w:sz w:val="21"/>
          <w:highlight w:val="none"/>
        </w:rPr>
        <w:t>16.1.1 因承包人违约解除合同</w:t>
      </w:r>
      <w:bookmarkEnd w:id="2453"/>
    </w:p>
    <w:p w14:paraId="599D3460">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14:paraId="358AEA51">
      <w:pPr>
        <w:ind w:firstLine="600"/>
        <w:rPr>
          <w:rFonts w:hint="eastAsia" w:ascii="宋体" w:hAnsi="宋体" w:cs="宋体"/>
          <w:color w:val="auto"/>
          <w:szCs w:val="21"/>
          <w:highlight w:val="none"/>
        </w:rPr>
      </w:pPr>
      <w:bookmarkStart w:id="2454" w:name="_Ref531958536"/>
      <w:r>
        <w:rPr>
          <w:rFonts w:hint="eastAsia" w:ascii="宋体" w:hAnsi="宋体" w:cs="宋体"/>
          <w:color w:val="auto"/>
          <w:szCs w:val="21"/>
          <w:highlight w:val="none"/>
        </w:rPr>
        <w:t>（1） 承包人未能遵守第4.2款</w:t>
      </w:r>
      <w:bookmarkStart w:id="2455" w:name="_Hlk18839947"/>
      <w:r>
        <w:rPr>
          <w:rFonts w:hint="eastAsia" w:ascii="宋体" w:hAnsi="宋体" w:cs="宋体"/>
          <w:color w:val="auto"/>
          <w:szCs w:val="21"/>
          <w:highlight w:val="none"/>
        </w:rPr>
        <w:t>[履约担保]</w:t>
      </w:r>
      <w:bookmarkEnd w:id="2455"/>
      <w:r>
        <w:rPr>
          <w:rFonts w:hint="eastAsia" w:ascii="宋体" w:hAnsi="宋体" w:cs="宋体"/>
          <w:color w:val="auto"/>
          <w:szCs w:val="21"/>
          <w:highlight w:val="none"/>
        </w:rPr>
        <w:t>的约定；</w:t>
      </w:r>
    </w:p>
    <w:p w14:paraId="740DBE14">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承包人未能遵守第4.5款[分包]有关分包和转包的约定；</w:t>
      </w:r>
    </w:p>
    <w:p w14:paraId="275A0B4E">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承包人实际进度明显落后于进度计划，并且未按发包人的指令采取措施并修正进度计划；</w:t>
      </w:r>
    </w:p>
    <w:p w14:paraId="17442351">
      <w:pPr>
        <w:ind w:firstLine="600"/>
        <w:rPr>
          <w:rFonts w:hint="eastAsia" w:ascii="宋体" w:hAnsi="宋体" w:cs="宋体"/>
          <w:color w:val="auto"/>
          <w:szCs w:val="21"/>
          <w:highlight w:val="none"/>
        </w:rPr>
      </w:pPr>
      <w:r>
        <w:rPr>
          <w:rFonts w:hint="eastAsia" w:ascii="宋体" w:hAnsi="宋体" w:cs="宋体"/>
          <w:color w:val="auto"/>
          <w:szCs w:val="21"/>
          <w:highlight w:val="none"/>
        </w:rPr>
        <w:t>（4） 工程质量有严重缺陷，承包人无正当理由使修复开始日期拖延达28天以上；</w:t>
      </w:r>
    </w:p>
    <w:p w14:paraId="46700567">
      <w:pPr>
        <w:ind w:firstLine="600"/>
        <w:rPr>
          <w:rFonts w:hint="eastAsia" w:ascii="宋体" w:hAnsi="宋体" w:cs="宋体"/>
          <w:color w:val="auto"/>
          <w:szCs w:val="21"/>
          <w:highlight w:val="none"/>
        </w:rPr>
      </w:pPr>
      <w:r>
        <w:rPr>
          <w:rFonts w:hint="eastAsia" w:ascii="宋体" w:hAnsi="宋体" w:cs="宋体"/>
          <w:color w:val="auto"/>
          <w:szCs w:val="21"/>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62AA21FF">
      <w:pPr>
        <w:ind w:firstLine="600"/>
        <w:rPr>
          <w:rFonts w:hint="eastAsia" w:ascii="宋体" w:hAnsi="宋体" w:cs="宋体"/>
          <w:color w:val="auto"/>
          <w:szCs w:val="21"/>
          <w:highlight w:val="none"/>
        </w:rPr>
      </w:pPr>
      <w:r>
        <w:rPr>
          <w:rFonts w:hint="eastAsia" w:ascii="宋体" w:hAnsi="宋体" w:cs="宋体"/>
          <w:color w:val="auto"/>
          <w:szCs w:val="21"/>
          <w:highlight w:val="none"/>
        </w:rPr>
        <w:t>（6） 承包人明确表示或以自己的行为表明不履行合同、或经发包人以书面形式通知其履约后仍未能依约履行合同、或以不适当的方式履行合同；</w:t>
      </w:r>
    </w:p>
    <w:p w14:paraId="55157ABB">
      <w:pPr>
        <w:ind w:firstLine="600"/>
        <w:rPr>
          <w:rFonts w:hint="eastAsia" w:ascii="宋体" w:hAnsi="宋体" w:cs="宋体"/>
          <w:color w:val="auto"/>
          <w:szCs w:val="21"/>
          <w:highlight w:val="none"/>
        </w:rPr>
      </w:pPr>
      <w:r>
        <w:rPr>
          <w:rFonts w:hint="eastAsia" w:ascii="宋体" w:hAnsi="宋体" w:cs="宋体"/>
          <w:color w:val="auto"/>
          <w:szCs w:val="21"/>
          <w:highlight w:val="none"/>
        </w:rPr>
        <w:t>（7） 未能通过的竣工试验、未能通过的竣工后试验，使工程的任何部分和（或）整个工程丧失了主要使用功能、生产功能；</w:t>
      </w:r>
    </w:p>
    <w:p w14:paraId="4FF638FC">
      <w:pPr>
        <w:ind w:firstLine="600"/>
        <w:rPr>
          <w:rFonts w:hint="eastAsia" w:ascii="宋体" w:hAnsi="宋体" w:cs="宋体"/>
          <w:color w:val="auto"/>
          <w:szCs w:val="21"/>
          <w:highlight w:val="none"/>
        </w:rPr>
      </w:pPr>
      <w:r>
        <w:rPr>
          <w:rFonts w:hint="eastAsia" w:ascii="宋体" w:hAnsi="宋体" w:cs="宋体"/>
          <w:color w:val="auto"/>
          <w:szCs w:val="21"/>
          <w:highlight w:val="none"/>
        </w:rPr>
        <w:t>（8） 因承包人的原因暂停工作超过56天且暂停影响到整个工程，或因承包人的原因暂停工作超过182天；</w:t>
      </w:r>
    </w:p>
    <w:p w14:paraId="0CDF6E09">
      <w:pPr>
        <w:ind w:firstLine="600"/>
        <w:rPr>
          <w:rFonts w:hint="eastAsia" w:ascii="宋体" w:hAnsi="宋体" w:cs="宋体"/>
          <w:color w:val="auto"/>
          <w:szCs w:val="21"/>
          <w:highlight w:val="none"/>
        </w:rPr>
      </w:pPr>
      <w:r>
        <w:rPr>
          <w:rFonts w:hint="eastAsia" w:ascii="宋体" w:hAnsi="宋体" w:cs="宋体"/>
          <w:color w:val="auto"/>
          <w:szCs w:val="21"/>
          <w:highlight w:val="none"/>
        </w:rPr>
        <w:t>（9） 承包人未能遵守第8.2款[竣工日期]规定，延误超过182天；</w:t>
      </w:r>
    </w:p>
    <w:p w14:paraId="5B7C5C9C">
      <w:pPr>
        <w:ind w:firstLine="600"/>
        <w:rPr>
          <w:rFonts w:hint="eastAsia" w:ascii="宋体" w:hAnsi="宋体" w:cs="宋体"/>
          <w:color w:val="auto"/>
          <w:szCs w:val="21"/>
          <w:highlight w:val="none"/>
        </w:rPr>
      </w:pPr>
      <w:r>
        <w:rPr>
          <w:rFonts w:hint="eastAsia" w:ascii="宋体" w:hAnsi="宋体" w:cs="宋体"/>
          <w:color w:val="auto"/>
          <w:szCs w:val="21"/>
          <w:highlight w:val="none"/>
        </w:rPr>
        <w:t>（10） 工程师根据第15.2.2项[通知改正]发出整改通知后，承包人在指定的合理期限内仍不纠正违约行为并致使合同目的不能实现的。</w:t>
      </w:r>
    </w:p>
    <w:bookmarkEnd w:id="2454"/>
    <w:p w14:paraId="67AE28C6">
      <w:pPr>
        <w:pStyle w:val="88"/>
        <w:numPr>
          <w:ilvl w:val="0"/>
          <w:numId w:val="0"/>
        </w:numPr>
        <w:spacing w:after="156"/>
        <w:rPr>
          <w:rFonts w:hint="eastAsia" w:cs="宋体"/>
          <w:color w:val="auto"/>
          <w:sz w:val="21"/>
          <w:highlight w:val="none"/>
        </w:rPr>
      </w:pPr>
      <w:bookmarkStart w:id="2456" w:name="_Ref3841839"/>
      <w:bookmarkStart w:id="2457" w:name="_Ref4624315"/>
      <w:r>
        <w:rPr>
          <w:rFonts w:hint="eastAsia" w:cs="宋体"/>
          <w:color w:val="auto"/>
          <w:sz w:val="21"/>
          <w:highlight w:val="none"/>
        </w:rPr>
        <w:t>16.1.2 因承包人违约解除合同后</w:t>
      </w:r>
      <w:bookmarkEnd w:id="2456"/>
      <w:r>
        <w:rPr>
          <w:rFonts w:hint="eastAsia" w:cs="宋体"/>
          <w:color w:val="auto"/>
          <w:sz w:val="21"/>
          <w:highlight w:val="none"/>
        </w:rPr>
        <w:t>承包人的义务</w:t>
      </w:r>
      <w:bookmarkEnd w:id="2457"/>
    </w:p>
    <w:p w14:paraId="546E77E7">
      <w:pPr>
        <w:ind w:firstLine="600"/>
        <w:rPr>
          <w:rFonts w:hint="eastAsia" w:ascii="宋体" w:hAnsi="宋体" w:cs="宋体"/>
          <w:color w:val="auto"/>
          <w:szCs w:val="21"/>
          <w:highlight w:val="none"/>
        </w:rPr>
      </w:pPr>
      <w:r>
        <w:rPr>
          <w:rFonts w:hint="eastAsia" w:ascii="宋体" w:hAnsi="宋体" w:cs="宋体"/>
          <w:color w:val="auto"/>
          <w:szCs w:val="21"/>
          <w:highlight w:val="none"/>
        </w:rPr>
        <w:t>合同解除后，承包人应按以下约定执行：</w:t>
      </w:r>
    </w:p>
    <w:p w14:paraId="4070B62B">
      <w:pPr>
        <w:ind w:firstLine="600"/>
        <w:rPr>
          <w:rFonts w:hint="eastAsia" w:ascii="宋体" w:hAnsi="宋体" w:cs="宋体"/>
          <w:color w:val="auto"/>
          <w:szCs w:val="21"/>
          <w:highlight w:val="none"/>
        </w:rPr>
      </w:pPr>
      <w:r>
        <w:rPr>
          <w:rFonts w:hint="eastAsia" w:ascii="宋体" w:hAnsi="宋体" w:cs="宋体"/>
          <w:color w:val="auto"/>
          <w:szCs w:val="21"/>
          <w:highlight w:val="none"/>
        </w:rPr>
        <w:t>（1） 除了为保护生命、财产或工程安全、清理和必须执行的工作外，停止执行所有被通知解除的工作，并将相关人员撤离现场；</w:t>
      </w:r>
    </w:p>
    <w:p w14:paraId="38794009">
      <w:pPr>
        <w:ind w:firstLine="600"/>
        <w:rPr>
          <w:rFonts w:hint="eastAsia" w:ascii="宋体" w:hAnsi="宋体" w:cs="宋体"/>
          <w:color w:val="auto"/>
          <w:szCs w:val="21"/>
          <w:highlight w:val="none"/>
        </w:rPr>
      </w:pPr>
      <w:r>
        <w:rPr>
          <w:rFonts w:hint="eastAsia" w:ascii="宋体" w:hAnsi="宋体" w:cs="宋体"/>
          <w:color w:val="auto"/>
          <w:szCs w:val="21"/>
          <w:highlight w:val="none"/>
        </w:rPr>
        <w:t>（2） 经发包人批准，承包人应将与被解除合同相关的和正在执行的分包合同及相关的责任和义务转让至发包人和（或）发包人指定方的名下，包括永久性工程及工程物资，以及相关工作；</w:t>
      </w:r>
    </w:p>
    <w:p w14:paraId="2412D54E">
      <w:pPr>
        <w:ind w:firstLine="600"/>
        <w:rPr>
          <w:rFonts w:hint="eastAsia" w:ascii="宋体" w:hAnsi="宋体" w:cs="宋体"/>
          <w:color w:val="auto"/>
          <w:szCs w:val="21"/>
          <w:highlight w:val="none"/>
        </w:rPr>
      </w:pPr>
      <w:r>
        <w:rPr>
          <w:rFonts w:hint="eastAsia" w:ascii="宋体" w:hAnsi="宋体" w:cs="宋体"/>
          <w:color w:val="auto"/>
          <w:szCs w:val="21"/>
          <w:highlight w:val="none"/>
        </w:rPr>
        <w:t>（3） 移交已完成的永久性工程及负责已运抵现场的工程物资。在移交前，妥善做好己完工程和已运抵现场的工程物资的保管、维护和保养；</w:t>
      </w:r>
    </w:p>
    <w:p w14:paraId="20DCB889">
      <w:pPr>
        <w:ind w:firstLine="600"/>
        <w:rPr>
          <w:rFonts w:hint="eastAsia" w:ascii="宋体" w:hAnsi="宋体" w:cs="宋体"/>
          <w:color w:val="auto"/>
          <w:szCs w:val="21"/>
          <w:highlight w:val="none"/>
        </w:rPr>
      </w:pPr>
      <w:r>
        <w:rPr>
          <w:rFonts w:hint="eastAsia" w:ascii="宋体" w:hAnsi="宋体" w:cs="宋体"/>
          <w:color w:val="auto"/>
          <w:szCs w:val="21"/>
          <w:highlight w:val="none"/>
        </w:rPr>
        <w:t>（4） 将发包人提供的所有信息及承包人为本工程编制的设计文件、技术资料及其它文件移交给发包人。在承包人留有的资料文件中，销毁与发包人提供的所有信息相关的数据及资料的备份；</w:t>
      </w:r>
    </w:p>
    <w:p w14:paraId="148BE64C">
      <w:pPr>
        <w:ind w:firstLine="600"/>
        <w:rPr>
          <w:rFonts w:hint="eastAsia" w:ascii="宋体" w:hAnsi="宋体" w:cs="宋体"/>
          <w:color w:val="auto"/>
          <w:szCs w:val="21"/>
          <w:highlight w:val="none"/>
        </w:rPr>
      </w:pPr>
      <w:r>
        <w:rPr>
          <w:rFonts w:hint="eastAsia" w:ascii="宋体" w:hAnsi="宋体" w:cs="宋体"/>
          <w:color w:val="auto"/>
          <w:szCs w:val="21"/>
          <w:highlight w:val="none"/>
        </w:rPr>
        <w:t>（5） 移交相应实施阶段已经付款的并已完成的和尚待完成的设计文件、图纸、资料、操作维修手册、施工组织设计、质检资料、竣工资料等；</w:t>
      </w:r>
    </w:p>
    <w:p w14:paraId="10CD84B9">
      <w:pPr>
        <w:pStyle w:val="88"/>
        <w:numPr>
          <w:ilvl w:val="0"/>
          <w:numId w:val="0"/>
        </w:numPr>
        <w:spacing w:after="156"/>
        <w:rPr>
          <w:rFonts w:hint="eastAsia" w:cs="宋体"/>
          <w:color w:val="auto"/>
          <w:sz w:val="21"/>
          <w:highlight w:val="none"/>
        </w:rPr>
      </w:pPr>
      <w:r>
        <w:rPr>
          <w:rFonts w:hint="eastAsia" w:cs="宋体"/>
          <w:color w:val="auto"/>
          <w:sz w:val="21"/>
          <w:highlight w:val="none"/>
        </w:rPr>
        <w:t>16.1.3 因承包人违约解除合同后的估价、付款和结算</w:t>
      </w:r>
    </w:p>
    <w:p w14:paraId="744BDBC9">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因承包人原因导致合同解除的，则合同当事人应在合同解除后28天内完成估价、付款和清算，并按以下约定执行：</w:t>
      </w:r>
    </w:p>
    <w:p w14:paraId="2DBC1FAD">
      <w:pPr>
        <w:ind w:firstLine="600"/>
        <w:rPr>
          <w:rFonts w:hint="eastAsia" w:ascii="宋体" w:hAnsi="宋体" w:cs="宋体"/>
          <w:color w:val="auto"/>
          <w:szCs w:val="21"/>
          <w:highlight w:val="none"/>
        </w:rPr>
      </w:pPr>
      <w:r>
        <w:rPr>
          <w:rFonts w:hint="eastAsia" w:ascii="宋体" w:hAnsi="宋体" w:cs="宋体"/>
          <w:color w:val="auto"/>
          <w:szCs w:val="21"/>
          <w:highlight w:val="none"/>
        </w:rPr>
        <w:t>（1） 合同解除后，按第3.6款[商定或确定]商定或确定承包人实际完成工作对应的合同价款，以及承包人已提供的材料、工程设备、施工设备和临时工程等的价值；</w:t>
      </w:r>
    </w:p>
    <w:p w14:paraId="03484CD6">
      <w:pPr>
        <w:ind w:firstLine="600"/>
        <w:rPr>
          <w:rFonts w:hint="eastAsia" w:ascii="宋体" w:hAnsi="宋体" w:cs="宋体"/>
          <w:color w:val="auto"/>
          <w:szCs w:val="21"/>
          <w:highlight w:val="none"/>
        </w:rPr>
      </w:pPr>
      <w:r>
        <w:rPr>
          <w:rFonts w:hint="eastAsia" w:ascii="宋体" w:hAnsi="宋体" w:cs="宋体"/>
          <w:color w:val="auto"/>
          <w:szCs w:val="21"/>
          <w:highlight w:val="none"/>
        </w:rPr>
        <w:t>（2） 合同解除后，承包人应支付的违约金；</w:t>
      </w:r>
    </w:p>
    <w:p w14:paraId="3C817B95">
      <w:pPr>
        <w:ind w:firstLine="600"/>
        <w:rPr>
          <w:rFonts w:hint="eastAsia" w:ascii="宋体" w:hAnsi="宋体" w:cs="宋体"/>
          <w:color w:val="auto"/>
          <w:szCs w:val="21"/>
          <w:highlight w:val="none"/>
        </w:rPr>
      </w:pPr>
      <w:r>
        <w:rPr>
          <w:rFonts w:hint="eastAsia" w:ascii="宋体" w:hAnsi="宋体" w:cs="宋体"/>
          <w:color w:val="auto"/>
          <w:szCs w:val="21"/>
          <w:highlight w:val="none"/>
        </w:rPr>
        <w:t>（3） 合同解除后，因解除合同给发包人造成的损失；</w:t>
      </w:r>
    </w:p>
    <w:p w14:paraId="1AF8C2D3">
      <w:pPr>
        <w:ind w:firstLine="600"/>
        <w:rPr>
          <w:rFonts w:hint="eastAsia" w:ascii="宋体" w:hAnsi="宋体" w:cs="宋体"/>
          <w:color w:val="auto"/>
          <w:szCs w:val="21"/>
          <w:highlight w:val="none"/>
        </w:rPr>
      </w:pPr>
      <w:r>
        <w:rPr>
          <w:rFonts w:hint="eastAsia" w:ascii="宋体" w:hAnsi="宋体" w:cs="宋体"/>
          <w:color w:val="auto"/>
          <w:szCs w:val="21"/>
          <w:highlight w:val="none"/>
        </w:rPr>
        <w:t>（4） 合同解除后，承包人应按照发包人的指示完成现场的清理和撤离；</w:t>
      </w:r>
    </w:p>
    <w:p w14:paraId="0D8EC221">
      <w:pPr>
        <w:ind w:firstLine="600"/>
        <w:rPr>
          <w:rFonts w:hint="eastAsia" w:ascii="宋体" w:hAnsi="宋体" w:cs="宋体"/>
          <w:color w:val="auto"/>
          <w:szCs w:val="21"/>
          <w:highlight w:val="none"/>
        </w:rPr>
      </w:pPr>
      <w:r>
        <w:rPr>
          <w:rFonts w:hint="eastAsia" w:ascii="宋体" w:hAnsi="宋体" w:cs="宋体"/>
          <w:color w:val="auto"/>
          <w:szCs w:val="21"/>
          <w:highlight w:val="none"/>
        </w:rPr>
        <w:t>（5） 发包人和承包人应在合同解除后进行清算，出具最终结清付款证书，结清全部款项。</w:t>
      </w:r>
    </w:p>
    <w:p w14:paraId="1224E134">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3995CEE">
      <w:pPr>
        <w:pStyle w:val="88"/>
        <w:numPr>
          <w:ilvl w:val="0"/>
          <w:numId w:val="0"/>
        </w:numPr>
        <w:spacing w:after="156"/>
        <w:rPr>
          <w:rFonts w:hint="eastAsia" w:cs="宋体"/>
          <w:color w:val="auto"/>
          <w:sz w:val="21"/>
          <w:highlight w:val="none"/>
        </w:rPr>
      </w:pPr>
      <w:r>
        <w:rPr>
          <w:rFonts w:hint="eastAsia" w:cs="宋体"/>
          <w:color w:val="auto"/>
          <w:sz w:val="21"/>
          <w:highlight w:val="none"/>
        </w:rPr>
        <w:t>16.1.4 因承包人违约解除合同的合同权益转让</w:t>
      </w:r>
    </w:p>
    <w:p w14:paraId="175FA8E8">
      <w:pPr>
        <w:ind w:firstLine="600"/>
        <w:rPr>
          <w:rFonts w:hint="eastAsia" w:ascii="宋体" w:hAnsi="宋体" w:cs="宋体"/>
          <w:color w:val="auto"/>
          <w:szCs w:val="21"/>
          <w:highlight w:val="none"/>
        </w:rPr>
      </w:pPr>
      <w:r>
        <w:rPr>
          <w:rFonts w:hint="eastAsia" w:ascii="宋体" w:hAnsi="宋体" w:cs="宋体"/>
          <w:color w:val="auto"/>
          <w:szCs w:val="21"/>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3A8689B2">
      <w:pPr>
        <w:pStyle w:val="87"/>
        <w:widowControl/>
        <w:numPr>
          <w:ilvl w:val="0"/>
          <w:numId w:val="0"/>
        </w:numPr>
        <w:spacing w:after="156"/>
        <w:rPr>
          <w:rFonts w:hint="eastAsia" w:ascii="宋体" w:hAnsi="宋体" w:eastAsia="宋体" w:cs="宋体"/>
          <w:b w:val="0"/>
          <w:bCs/>
          <w:color w:val="auto"/>
          <w:sz w:val="21"/>
          <w:szCs w:val="21"/>
          <w:highlight w:val="none"/>
        </w:rPr>
      </w:pPr>
      <w:bookmarkStart w:id="2458" w:name="_Ref531958554"/>
      <w:bookmarkStart w:id="2459" w:name="_Toc4828"/>
      <w:bookmarkStart w:id="2460" w:name="_Toc21212"/>
      <w:bookmarkStart w:id="2461" w:name="_Toc5301"/>
      <w:bookmarkStart w:id="2462" w:name="_Toc103175779"/>
      <w:bookmarkStart w:id="2463" w:name="_Ref531958549"/>
      <w:bookmarkStart w:id="2464" w:name="_Toc27142"/>
      <w:bookmarkStart w:id="2465" w:name="_Toc30670"/>
      <w:bookmarkStart w:id="2466" w:name="_Toc12564"/>
      <w:bookmarkStart w:id="2467" w:name="_Toc31343"/>
      <w:bookmarkStart w:id="2468" w:name="_Toc20440"/>
      <w:r>
        <w:rPr>
          <w:rFonts w:hint="eastAsia" w:ascii="宋体" w:hAnsi="宋体" w:eastAsia="宋体" w:cs="宋体"/>
          <w:b w:val="0"/>
          <w:bCs/>
          <w:color w:val="auto"/>
          <w:sz w:val="21"/>
          <w:szCs w:val="21"/>
          <w:highlight w:val="none"/>
        </w:rPr>
        <w:t>16.2 由承包人解除合同</w:t>
      </w:r>
      <w:bookmarkEnd w:id="2458"/>
      <w:bookmarkEnd w:id="2459"/>
      <w:bookmarkEnd w:id="2460"/>
      <w:bookmarkEnd w:id="2461"/>
      <w:bookmarkEnd w:id="2462"/>
      <w:bookmarkEnd w:id="2463"/>
      <w:bookmarkEnd w:id="2464"/>
      <w:bookmarkEnd w:id="2465"/>
      <w:bookmarkEnd w:id="2466"/>
      <w:bookmarkEnd w:id="2467"/>
      <w:bookmarkEnd w:id="2468"/>
    </w:p>
    <w:p w14:paraId="02410A65">
      <w:pPr>
        <w:pStyle w:val="88"/>
        <w:numPr>
          <w:ilvl w:val="0"/>
          <w:numId w:val="0"/>
        </w:numPr>
        <w:spacing w:after="156"/>
        <w:rPr>
          <w:rFonts w:hint="eastAsia" w:cs="宋体"/>
          <w:color w:val="auto"/>
          <w:sz w:val="21"/>
          <w:highlight w:val="none"/>
        </w:rPr>
      </w:pPr>
      <w:bookmarkStart w:id="2469" w:name="_Ref3841758"/>
      <w:r>
        <w:rPr>
          <w:rFonts w:hint="eastAsia" w:cs="宋体"/>
          <w:color w:val="auto"/>
          <w:sz w:val="21"/>
          <w:highlight w:val="none"/>
        </w:rPr>
        <w:t>16.2.1 因发包人违约解除合同</w:t>
      </w:r>
      <w:bookmarkEnd w:id="2469"/>
    </w:p>
    <w:p w14:paraId="19E3451A">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5792F901">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承包人就发包人未能遵守第2.5.2项关于发包人的资金安排发出通知后42天内，仍未收到合理的证明；</w:t>
      </w:r>
    </w:p>
    <w:p w14:paraId="5A49D0C9">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（2） 在第14条规定的付款时间到期后42天内，承包人仍未收到应付款项； </w:t>
      </w:r>
    </w:p>
    <w:p w14:paraId="1C0897B5">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发包人实质上未能根据合同约定履行其义务，构成根本性违约；</w:t>
      </w:r>
    </w:p>
    <w:p w14:paraId="49E88D82">
      <w:pPr>
        <w:ind w:firstLine="600"/>
        <w:rPr>
          <w:rFonts w:hint="eastAsia" w:ascii="宋体" w:hAnsi="宋体" w:cs="宋体"/>
          <w:color w:val="auto"/>
          <w:szCs w:val="21"/>
          <w:highlight w:val="none"/>
        </w:rPr>
      </w:pPr>
      <w:r>
        <w:rPr>
          <w:rFonts w:hint="eastAsia" w:ascii="宋体" w:hAnsi="宋体" w:cs="宋体"/>
          <w:color w:val="auto"/>
          <w:szCs w:val="21"/>
          <w:highlight w:val="none"/>
        </w:rPr>
        <w:t>（4） 发承包双方订立本合同协议书后的84天内，承包人未收到根据第8.1款[开始工作]的开始工作通知；</w:t>
      </w:r>
    </w:p>
    <w:p w14:paraId="0621C21D">
      <w:pPr>
        <w:ind w:firstLine="600"/>
        <w:rPr>
          <w:rFonts w:hint="eastAsia" w:ascii="宋体" w:hAnsi="宋体" w:cs="宋体"/>
          <w:color w:val="auto"/>
          <w:szCs w:val="21"/>
          <w:highlight w:val="none"/>
        </w:rPr>
      </w:pPr>
      <w:r>
        <w:rPr>
          <w:rFonts w:hint="eastAsia" w:ascii="宋体" w:hAnsi="宋体" w:cs="宋体"/>
          <w:color w:val="auto"/>
          <w:szCs w:val="21"/>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317572FC">
      <w:pPr>
        <w:ind w:firstLine="600"/>
        <w:rPr>
          <w:rFonts w:hint="eastAsia" w:ascii="宋体" w:hAnsi="宋体" w:cs="宋体"/>
          <w:color w:val="auto"/>
          <w:szCs w:val="21"/>
          <w:highlight w:val="none"/>
        </w:rPr>
      </w:pPr>
      <w:r>
        <w:rPr>
          <w:rFonts w:hint="eastAsia" w:ascii="宋体" w:hAnsi="宋体" w:cs="宋体"/>
          <w:color w:val="auto"/>
          <w:szCs w:val="21"/>
          <w:highlight w:val="none"/>
        </w:rPr>
        <w:t>（6） 发包人未能遵守第2.5.3项的约定提交支付担保；</w:t>
      </w:r>
    </w:p>
    <w:p w14:paraId="536CD317">
      <w:pPr>
        <w:ind w:firstLine="600"/>
        <w:rPr>
          <w:rFonts w:hint="eastAsia" w:ascii="宋体" w:hAnsi="宋体" w:cs="宋体"/>
          <w:color w:val="auto"/>
          <w:szCs w:val="21"/>
          <w:highlight w:val="none"/>
        </w:rPr>
      </w:pPr>
      <w:r>
        <w:rPr>
          <w:rFonts w:hint="eastAsia" w:ascii="宋体" w:hAnsi="宋体" w:cs="宋体"/>
          <w:color w:val="auto"/>
          <w:szCs w:val="21"/>
          <w:highlight w:val="none"/>
        </w:rPr>
        <w:t>（7） 发包人未能执行第15.1.2项[通知改正]的约定，致使合同目的不能实现的；</w:t>
      </w:r>
    </w:p>
    <w:p w14:paraId="4AD462B2">
      <w:pPr>
        <w:ind w:firstLine="600"/>
        <w:rPr>
          <w:rFonts w:hint="eastAsia" w:ascii="宋体" w:hAnsi="宋体" w:cs="宋体"/>
          <w:color w:val="auto"/>
          <w:szCs w:val="21"/>
          <w:highlight w:val="none"/>
        </w:rPr>
      </w:pPr>
      <w:r>
        <w:rPr>
          <w:rFonts w:hint="eastAsia" w:ascii="宋体" w:hAnsi="宋体" w:cs="宋体"/>
          <w:color w:val="auto"/>
          <w:szCs w:val="21"/>
          <w:highlight w:val="none"/>
        </w:rPr>
        <w:t>（8） 因发包人的原因暂停工作超过56天且暂停影响到整个工程，或因发包人的原因暂停工作超过182天的；</w:t>
      </w:r>
    </w:p>
    <w:p w14:paraId="5295D3DB">
      <w:pPr>
        <w:ind w:firstLine="600"/>
        <w:rPr>
          <w:rFonts w:hint="eastAsia" w:ascii="宋体" w:hAnsi="宋体" w:cs="宋体"/>
          <w:color w:val="auto"/>
          <w:szCs w:val="21"/>
          <w:highlight w:val="none"/>
        </w:rPr>
      </w:pPr>
      <w:r>
        <w:rPr>
          <w:rFonts w:hint="eastAsia" w:ascii="宋体" w:hAnsi="宋体" w:cs="宋体"/>
          <w:color w:val="auto"/>
          <w:szCs w:val="21"/>
          <w:highlight w:val="none"/>
        </w:rPr>
        <w:t>（9） 因发包人原因造成开始工作日期迟于承包人收到中标通知书（或在无中标通知书的情况下，订立本合同之日）后第84天的。</w:t>
      </w:r>
    </w:p>
    <w:p w14:paraId="215A9655">
      <w:pPr>
        <w:ind w:firstLine="600"/>
        <w:rPr>
          <w:rFonts w:hint="eastAsia" w:ascii="宋体" w:hAnsi="宋体" w:cs="宋体"/>
          <w:color w:val="auto"/>
          <w:szCs w:val="21"/>
          <w:highlight w:val="none"/>
        </w:rPr>
      </w:pPr>
      <w:r>
        <w:rPr>
          <w:rFonts w:hint="eastAsia" w:ascii="宋体" w:hAnsi="宋体" w:cs="宋体"/>
          <w:color w:val="auto"/>
          <w:szCs w:val="21"/>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593BD76A">
      <w:pPr>
        <w:pStyle w:val="88"/>
        <w:numPr>
          <w:ilvl w:val="0"/>
          <w:numId w:val="0"/>
        </w:numPr>
        <w:spacing w:after="156"/>
        <w:rPr>
          <w:rFonts w:hint="eastAsia" w:cs="宋体"/>
          <w:color w:val="auto"/>
          <w:sz w:val="21"/>
          <w:highlight w:val="none"/>
        </w:rPr>
      </w:pPr>
      <w:bookmarkStart w:id="2470" w:name="_Ref3842018"/>
      <w:bookmarkStart w:id="2471" w:name="_Ref4624336"/>
      <w:r>
        <w:rPr>
          <w:rFonts w:hint="eastAsia" w:cs="宋体"/>
          <w:color w:val="auto"/>
          <w:sz w:val="21"/>
          <w:highlight w:val="none"/>
        </w:rPr>
        <w:t>16.2.2 因发包人违约解除合同后</w:t>
      </w:r>
      <w:bookmarkEnd w:id="2470"/>
      <w:r>
        <w:rPr>
          <w:rFonts w:hint="eastAsia" w:cs="宋体"/>
          <w:color w:val="auto"/>
          <w:sz w:val="21"/>
          <w:highlight w:val="none"/>
        </w:rPr>
        <w:t>承包人的义务</w:t>
      </w:r>
      <w:bookmarkEnd w:id="2471"/>
    </w:p>
    <w:p w14:paraId="7ADB005A">
      <w:pPr>
        <w:pStyle w:val="90"/>
        <w:numPr>
          <w:ilvl w:val="0"/>
          <w:numId w:val="0"/>
        </w:numPr>
        <w:ind w:left="400" w:firstLine="425"/>
        <w:rPr>
          <w:rFonts w:hint="eastAsia" w:ascii="宋体" w:hAnsi="宋体" w:cs="宋体"/>
          <w:color w:val="auto"/>
          <w:szCs w:val="21"/>
          <w:highlight w:val="none"/>
        </w:rPr>
      </w:pPr>
      <w:r>
        <w:rPr>
          <w:rFonts w:hint="eastAsia" w:ascii="宋体" w:hAnsi="宋体" w:cs="宋体"/>
          <w:color w:val="auto"/>
          <w:szCs w:val="21"/>
          <w:highlight w:val="none"/>
        </w:rPr>
        <w:t>合同解除后，承包人应按以下约定执行：</w:t>
      </w:r>
    </w:p>
    <w:p w14:paraId="081FA4B1">
      <w:pPr>
        <w:ind w:firstLine="600"/>
        <w:rPr>
          <w:rFonts w:hint="eastAsia" w:ascii="宋体" w:hAnsi="宋体" w:cs="宋体"/>
          <w:color w:val="auto"/>
          <w:szCs w:val="21"/>
          <w:highlight w:val="none"/>
        </w:rPr>
      </w:pPr>
      <w:r>
        <w:rPr>
          <w:rFonts w:hint="eastAsia" w:ascii="宋体" w:hAnsi="宋体" w:cs="宋体"/>
          <w:color w:val="auto"/>
          <w:szCs w:val="21"/>
          <w:highlight w:val="none"/>
        </w:rPr>
        <w:t>（1） 除为保护生命、财产、工程安全的工作外，停止所有进一步的工作；承包人因执行该保护工作而产生费用的，由发包人承担；</w:t>
      </w:r>
    </w:p>
    <w:p w14:paraId="65D6B0C0">
      <w:pPr>
        <w:ind w:firstLine="600"/>
        <w:rPr>
          <w:rFonts w:hint="eastAsia" w:ascii="宋体" w:hAnsi="宋体" w:cs="宋体"/>
          <w:color w:val="auto"/>
          <w:szCs w:val="21"/>
          <w:highlight w:val="none"/>
        </w:rPr>
      </w:pPr>
      <w:r>
        <w:rPr>
          <w:rFonts w:hint="eastAsia" w:ascii="宋体" w:hAnsi="宋体" w:cs="宋体"/>
          <w:color w:val="auto"/>
          <w:szCs w:val="21"/>
          <w:highlight w:val="none"/>
        </w:rPr>
        <w:t>（2） 向发包人移交承包人已获得支付的承包人文件、生产设备、材料和其他工作；</w:t>
      </w:r>
    </w:p>
    <w:p w14:paraId="77135C09">
      <w:pPr>
        <w:ind w:firstLine="600"/>
        <w:rPr>
          <w:rFonts w:hint="eastAsia" w:ascii="宋体" w:hAnsi="宋体" w:cs="宋体"/>
          <w:color w:val="auto"/>
          <w:szCs w:val="21"/>
          <w:highlight w:val="none"/>
        </w:rPr>
      </w:pPr>
      <w:r>
        <w:rPr>
          <w:rFonts w:hint="eastAsia" w:ascii="宋体" w:hAnsi="宋体" w:cs="宋体"/>
          <w:color w:val="auto"/>
          <w:szCs w:val="21"/>
          <w:highlight w:val="none"/>
        </w:rPr>
        <w:t>（3） 从现场运走除为了安全需要以外的所有属于承包人的其他货物，并撤离现场。</w:t>
      </w:r>
    </w:p>
    <w:p w14:paraId="43957D26">
      <w:pPr>
        <w:pStyle w:val="88"/>
        <w:numPr>
          <w:ilvl w:val="0"/>
          <w:numId w:val="0"/>
        </w:numPr>
        <w:spacing w:after="156"/>
        <w:rPr>
          <w:rFonts w:hint="eastAsia" w:cs="宋体"/>
          <w:color w:val="auto"/>
          <w:sz w:val="21"/>
          <w:highlight w:val="none"/>
        </w:rPr>
      </w:pPr>
      <w:r>
        <w:rPr>
          <w:rFonts w:hint="eastAsia" w:cs="宋体"/>
          <w:color w:val="auto"/>
          <w:sz w:val="21"/>
          <w:highlight w:val="none"/>
        </w:rPr>
        <w:t>16.2.3 因发包人违约解除合同后的付款</w:t>
      </w:r>
    </w:p>
    <w:p w14:paraId="3A7465C8">
      <w:pPr>
        <w:ind w:firstLine="600"/>
        <w:rPr>
          <w:rFonts w:hint="eastAsia" w:ascii="宋体" w:hAnsi="宋体" w:cs="宋体"/>
          <w:color w:val="auto"/>
          <w:szCs w:val="21"/>
          <w:highlight w:val="none"/>
        </w:rPr>
      </w:pPr>
      <w:r>
        <w:rPr>
          <w:rFonts w:hint="eastAsia" w:ascii="宋体" w:hAnsi="宋体" w:cs="宋体"/>
          <w:color w:val="auto"/>
          <w:szCs w:val="21"/>
          <w:highlight w:val="none"/>
        </w:rPr>
        <w:t>承包人按照本款约定解除合同的，发包人应在解除合同后28天内支付下列款项，并退还履约担保：</w:t>
      </w:r>
    </w:p>
    <w:p w14:paraId="6DF18580">
      <w:pPr>
        <w:ind w:firstLine="600"/>
        <w:rPr>
          <w:rFonts w:hint="eastAsia" w:ascii="宋体" w:hAnsi="宋体" w:cs="宋体"/>
          <w:color w:val="auto"/>
          <w:szCs w:val="21"/>
          <w:highlight w:val="none"/>
        </w:rPr>
      </w:pPr>
      <w:r>
        <w:rPr>
          <w:rFonts w:hint="eastAsia" w:ascii="宋体" w:hAnsi="宋体" w:cs="宋体"/>
          <w:color w:val="auto"/>
          <w:szCs w:val="21"/>
          <w:highlight w:val="none"/>
        </w:rPr>
        <w:t>（1） 合同解除前所完成工作的价款；</w:t>
      </w:r>
    </w:p>
    <w:p w14:paraId="76A1DA20">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承包人为工程施工订购并已付款的材料、工程设备和其他物品的价款；发包人付款后，该材料、工程设备和其他物品归发包人所有；</w:t>
      </w:r>
    </w:p>
    <w:p w14:paraId="3D28E9FB">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承包人为完成工程所发生的，而发包人未支付的金额；</w:t>
      </w:r>
    </w:p>
    <w:p w14:paraId="42373D89">
      <w:pPr>
        <w:ind w:firstLine="600"/>
        <w:rPr>
          <w:rFonts w:hint="eastAsia" w:ascii="宋体" w:hAnsi="宋体" w:cs="宋体"/>
          <w:color w:val="auto"/>
          <w:szCs w:val="21"/>
          <w:highlight w:val="none"/>
        </w:rPr>
      </w:pPr>
      <w:r>
        <w:rPr>
          <w:rFonts w:hint="eastAsia" w:ascii="宋体" w:hAnsi="宋体" w:cs="宋体"/>
          <w:color w:val="auto"/>
          <w:szCs w:val="21"/>
          <w:highlight w:val="none"/>
        </w:rPr>
        <w:t>（4） 承包人撤离施工现场以及遣散承包人人员的款项；</w:t>
      </w:r>
    </w:p>
    <w:p w14:paraId="1095233F">
      <w:pPr>
        <w:ind w:firstLine="600"/>
        <w:rPr>
          <w:rFonts w:hint="eastAsia" w:ascii="宋体" w:hAnsi="宋体" w:cs="宋体"/>
          <w:color w:val="auto"/>
          <w:szCs w:val="21"/>
          <w:highlight w:val="none"/>
        </w:rPr>
      </w:pPr>
      <w:r>
        <w:rPr>
          <w:rFonts w:hint="eastAsia" w:ascii="宋体" w:hAnsi="宋体" w:cs="宋体"/>
          <w:color w:val="auto"/>
          <w:szCs w:val="21"/>
          <w:highlight w:val="none"/>
        </w:rPr>
        <w:t>（5） 按照合同约定在合同解除前应支付的违约金；</w:t>
      </w:r>
    </w:p>
    <w:p w14:paraId="5C274094">
      <w:pPr>
        <w:ind w:firstLine="600"/>
        <w:rPr>
          <w:rFonts w:hint="eastAsia" w:ascii="宋体" w:hAnsi="宋体" w:cs="宋体"/>
          <w:color w:val="auto"/>
          <w:szCs w:val="21"/>
          <w:highlight w:val="none"/>
        </w:rPr>
      </w:pPr>
      <w:r>
        <w:rPr>
          <w:rFonts w:hint="eastAsia" w:ascii="宋体" w:hAnsi="宋体" w:cs="宋体"/>
          <w:color w:val="auto"/>
          <w:szCs w:val="21"/>
          <w:highlight w:val="none"/>
        </w:rPr>
        <w:t>（6） 按照合同约定应当支付给承包人的其他款项；</w:t>
      </w:r>
    </w:p>
    <w:p w14:paraId="21C6CF19">
      <w:pPr>
        <w:ind w:firstLine="600"/>
        <w:rPr>
          <w:rFonts w:hint="eastAsia" w:ascii="宋体" w:hAnsi="宋体" w:cs="宋体"/>
          <w:color w:val="auto"/>
          <w:szCs w:val="21"/>
          <w:highlight w:val="none"/>
        </w:rPr>
      </w:pPr>
      <w:r>
        <w:rPr>
          <w:rFonts w:hint="eastAsia" w:ascii="宋体" w:hAnsi="宋体" w:cs="宋体"/>
          <w:color w:val="auto"/>
          <w:szCs w:val="21"/>
          <w:highlight w:val="none"/>
        </w:rPr>
        <w:t>（7） 按照合同约定应返还的质量保证金；</w:t>
      </w:r>
    </w:p>
    <w:p w14:paraId="463FF056">
      <w:pPr>
        <w:ind w:firstLine="600"/>
        <w:rPr>
          <w:rFonts w:hint="eastAsia" w:ascii="宋体" w:hAnsi="宋体" w:cs="宋体"/>
          <w:color w:val="auto"/>
          <w:szCs w:val="21"/>
          <w:highlight w:val="none"/>
        </w:rPr>
      </w:pPr>
      <w:r>
        <w:rPr>
          <w:rFonts w:hint="eastAsia" w:ascii="宋体" w:hAnsi="宋体" w:cs="宋体"/>
          <w:color w:val="auto"/>
          <w:szCs w:val="21"/>
          <w:highlight w:val="none"/>
        </w:rPr>
        <w:t>（8） 因解除合同给承包人造成的损失。</w:t>
      </w:r>
    </w:p>
    <w:p w14:paraId="6FB06E94">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承包人应妥善做好已完工程和与工程有关的已购材料、工程设备的保护和移交工作，并将施工设备和人员撤出施工现场，发包人应为承包人撤出提供必要条件。</w:t>
      </w:r>
    </w:p>
    <w:p w14:paraId="44C4B1FD">
      <w:pPr>
        <w:pStyle w:val="87"/>
        <w:widowControl/>
        <w:numPr>
          <w:ilvl w:val="0"/>
          <w:numId w:val="0"/>
        </w:numPr>
        <w:spacing w:after="156"/>
        <w:rPr>
          <w:rFonts w:hint="eastAsia" w:ascii="宋体" w:hAnsi="宋体" w:eastAsia="宋体" w:cs="宋体"/>
          <w:b w:val="0"/>
          <w:bCs/>
          <w:color w:val="auto"/>
          <w:sz w:val="21"/>
          <w:szCs w:val="21"/>
          <w:highlight w:val="none"/>
        </w:rPr>
      </w:pPr>
      <w:bookmarkStart w:id="2472" w:name="_Toc25813"/>
      <w:bookmarkStart w:id="2473" w:name="_Toc2948"/>
      <w:bookmarkStart w:id="2474" w:name="_Toc4436"/>
      <w:bookmarkStart w:id="2475" w:name="_Toc17432"/>
      <w:bookmarkStart w:id="2476" w:name="_Toc24218"/>
      <w:bookmarkStart w:id="2477" w:name="_Toc103175780"/>
      <w:bookmarkStart w:id="2478" w:name="_Toc17679"/>
      <w:bookmarkStart w:id="2479" w:name="_Toc32198"/>
      <w:bookmarkStart w:id="2480" w:name="_Ref3841966"/>
      <w:r>
        <w:rPr>
          <w:rFonts w:hint="eastAsia" w:ascii="宋体" w:hAnsi="宋体" w:eastAsia="宋体" w:cs="宋体"/>
          <w:b w:val="0"/>
          <w:bCs/>
          <w:color w:val="auto"/>
          <w:sz w:val="21"/>
          <w:szCs w:val="21"/>
          <w:highlight w:val="none"/>
        </w:rPr>
        <w:t>16.3 合同解除后的事项</w:t>
      </w:r>
      <w:bookmarkEnd w:id="2472"/>
      <w:bookmarkEnd w:id="2473"/>
      <w:bookmarkEnd w:id="2474"/>
      <w:bookmarkEnd w:id="2475"/>
      <w:bookmarkEnd w:id="2476"/>
      <w:bookmarkEnd w:id="2477"/>
      <w:bookmarkEnd w:id="2478"/>
      <w:bookmarkEnd w:id="2479"/>
      <w:bookmarkEnd w:id="2480"/>
    </w:p>
    <w:p w14:paraId="4C1C06C6">
      <w:pPr>
        <w:pStyle w:val="88"/>
        <w:numPr>
          <w:ilvl w:val="0"/>
          <w:numId w:val="0"/>
        </w:numPr>
        <w:spacing w:after="156"/>
        <w:rPr>
          <w:rFonts w:hint="eastAsia" w:cs="宋体"/>
          <w:color w:val="auto"/>
          <w:sz w:val="21"/>
          <w:highlight w:val="none"/>
        </w:rPr>
      </w:pPr>
      <w:r>
        <w:rPr>
          <w:rFonts w:hint="eastAsia" w:cs="宋体"/>
          <w:color w:val="auto"/>
          <w:sz w:val="21"/>
          <w:highlight w:val="none"/>
        </w:rPr>
        <w:t>16.3.1 结算约定依然有效</w:t>
      </w:r>
    </w:p>
    <w:p w14:paraId="0D4FD0FE">
      <w:pPr>
        <w:ind w:firstLine="600"/>
        <w:rPr>
          <w:rFonts w:hint="eastAsia" w:ascii="宋体" w:hAnsi="宋体" w:cs="宋体"/>
          <w:color w:val="auto"/>
          <w:szCs w:val="21"/>
          <w:highlight w:val="none"/>
        </w:rPr>
      </w:pPr>
      <w:r>
        <w:rPr>
          <w:rFonts w:hint="eastAsia" w:ascii="宋体" w:hAnsi="宋体" w:cs="宋体"/>
          <w:color w:val="auto"/>
          <w:szCs w:val="21"/>
          <w:highlight w:val="none"/>
        </w:rPr>
        <w:t>合同解除后，由发包人或由承包人解除合同的结算及结算后的付款约定仍然有效，直至解除合同的结算工作结清。</w:t>
      </w:r>
    </w:p>
    <w:p w14:paraId="6F29BD23">
      <w:pPr>
        <w:pStyle w:val="88"/>
        <w:numPr>
          <w:ilvl w:val="0"/>
          <w:numId w:val="0"/>
        </w:numPr>
        <w:spacing w:after="156"/>
        <w:rPr>
          <w:rFonts w:hint="eastAsia" w:cs="宋体"/>
          <w:color w:val="auto"/>
          <w:sz w:val="21"/>
          <w:highlight w:val="none"/>
        </w:rPr>
      </w:pPr>
      <w:r>
        <w:rPr>
          <w:rFonts w:hint="eastAsia" w:cs="宋体"/>
          <w:color w:val="auto"/>
          <w:sz w:val="21"/>
          <w:highlight w:val="none"/>
        </w:rPr>
        <w:t>16.3.2 解除合同的争议</w:t>
      </w:r>
    </w:p>
    <w:p w14:paraId="4894D527">
      <w:pPr>
        <w:ind w:firstLine="600"/>
        <w:rPr>
          <w:rFonts w:hint="eastAsia" w:ascii="宋体" w:hAnsi="宋体" w:cs="宋体"/>
          <w:color w:val="auto"/>
          <w:szCs w:val="21"/>
          <w:highlight w:val="none"/>
        </w:rPr>
      </w:pPr>
      <w:bookmarkStart w:id="2481" w:name="_Hlk18988355"/>
      <w:r>
        <w:rPr>
          <w:rFonts w:hint="eastAsia" w:ascii="宋体" w:hAnsi="宋体" w:cs="宋体"/>
          <w:color w:val="auto"/>
          <w:szCs w:val="21"/>
          <w:highlight w:val="none"/>
        </w:rPr>
        <w:t>双方对解除合同或解除合同后的结算有争议的，按照第20条[争议解决]的约定处理。</w:t>
      </w:r>
      <w:bookmarkEnd w:id="2481"/>
    </w:p>
    <w:p w14:paraId="1B071828">
      <w:pPr>
        <w:pStyle w:val="86"/>
        <w:numPr>
          <w:ilvl w:val="0"/>
          <w:numId w:val="0"/>
        </w:numPr>
        <w:rPr>
          <w:rFonts w:hint="eastAsia" w:ascii="宋体" w:hAnsi="宋体" w:eastAsia="宋体" w:cs="宋体"/>
          <w:b w:val="0"/>
          <w:color w:val="auto"/>
          <w:sz w:val="21"/>
          <w:szCs w:val="21"/>
          <w:highlight w:val="none"/>
        </w:rPr>
      </w:pPr>
      <w:bookmarkStart w:id="2482" w:name="_Toc29877"/>
      <w:bookmarkStart w:id="2483" w:name="_Toc21826"/>
      <w:bookmarkStart w:id="2484" w:name="_Toc6559"/>
      <w:bookmarkStart w:id="2485" w:name="_Ref3840974"/>
      <w:bookmarkStart w:id="2486" w:name="_Toc4801"/>
      <w:bookmarkStart w:id="2487" w:name="_Toc21953"/>
      <w:bookmarkStart w:id="2488" w:name="_Toc3831"/>
      <w:bookmarkStart w:id="2489" w:name="_Toc8474"/>
      <w:bookmarkStart w:id="2490" w:name="_Toc16239"/>
      <w:bookmarkStart w:id="2491" w:name="_Toc8513"/>
      <w:bookmarkStart w:id="2492" w:name="_Toc103175781"/>
      <w:bookmarkStart w:id="2493" w:name="_Toc11978"/>
      <w:bookmarkStart w:id="2494" w:name="_Ref3840605"/>
      <w:r>
        <w:rPr>
          <w:rFonts w:hint="eastAsia" w:ascii="宋体" w:hAnsi="宋体" w:eastAsia="宋体" w:cs="宋体"/>
          <w:b w:val="0"/>
          <w:color w:val="auto"/>
          <w:sz w:val="21"/>
          <w:szCs w:val="21"/>
          <w:highlight w:val="none"/>
        </w:rPr>
        <w:t>第17条 不可抗力</w:t>
      </w:r>
      <w:bookmarkEnd w:id="2482"/>
      <w:bookmarkEnd w:id="2483"/>
      <w:bookmarkEnd w:id="2484"/>
      <w:bookmarkEnd w:id="2485"/>
      <w:bookmarkEnd w:id="2486"/>
      <w:bookmarkEnd w:id="2487"/>
      <w:bookmarkEnd w:id="2488"/>
      <w:bookmarkEnd w:id="2489"/>
      <w:bookmarkEnd w:id="2490"/>
      <w:bookmarkEnd w:id="2491"/>
      <w:bookmarkEnd w:id="2492"/>
      <w:bookmarkEnd w:id="2493"/>
    </w:p>
    <w:p w14:paraId="4366F0B8">
      <w:pPr>
        <w:pStyle w:val="87"/>
        <w:widowControl/>
        <w:numPr>
          <w:ilvl w:val="0"/>
          <w:numId w:val="0"/>
        </w:numPr>
        <w:spacing w:after="156"/>
        <w:rPr>
          <w:rFonts w:hint="eastAsia" w:ascii="宋体" w:hAnsi="宋体" w:eastAsia="宋体" w:cs="宋体"/>
          <w:b w:val="0"/>
          <w:bCs/>
          <w:color w:val="auto"/>
          <w:sz w:val="21"/>
          <w:szCs w:val="21"/>
          <w:highlight w:val="none"/>
        </w:rPr>
      </w:pPr>
      <w:bookmarkStart w:id="2495" w:name="_Ref531958161"/>
      <w:bookmarkStart w:id="2496" w:name="_Ref531958158"/>
      <w:bookmarkStart w:id="2497" w:name="_Toc3775"/>
      <w:bookmarkStart w:id="2498" w:name="_Toc11077"/>
      <w:bookmarkStart w:id="2499" w:name="_Toc6093"/>
      <w:bookmarkStart w:id="2500" w:name="_Toc6367"/>
      <w:bookmarkStart w:id="2501" w:name="_Toc22229"/>
      <w:bookmarkStart w:id="2502" w:name="_Toc7605"/>
      <w:bookmarkStart w:id="2503" w:name="_Toc103175782"/>
      <w:bookmarkStart w:id="2504" w:name="_Toc27119"/>
      <w:r>
        <w:rPr>
          <w:rFonts w:hint="eastAsia" w:ascii="宋体" w:hAnsi="宋体" w:eastAsia="宋体" w:cs="宋体"/>
          <w:b w:val="0"/>
          <w:bCs/>
          <w:color w:val="auto"/>
          <w:sz w:val="21"/>
          <w:szCs w:val="21"/>
          <w:highlight w:val="none"/>
        </w:rPr>
        <w:t>17.1 不可抗力的</w:t>
      </w:r>
      <w:bookmarkEnd w:id="2495"/>
      <w:bookmarkEnd w:id="2496"/>
      <w:r>
        <w:rPr>
          <w:rFonts w:hint="eastAsia" w:ascii="宋体" w:hAnsi="宋体" w:eastAsia="宋体" w:cs="宋体"/>
          <w:b w:val="0"/>
          <w:bCs/>
          <w:color w:val="auto"/>
          <w:sz w:val="21"/>
          <w:szCs w:val="21"/>
          <w:highlight w:val="none"/>
        </w:rPr>
        <w:t>定义</w:t>
      </w:r>
      <w:bookmarkEnd w:id="2497"/>
      <w:bookmarkEnd w:id="2498"/>
      <w:bookmarkEnd w:id="2499"/>
      <w:bookmarkEnd w:id="2500"/>
      <w:bookmarkEnd w:id="2501"/>
      <w:bookmarkEnd w:id="2502"/>
      <w:bookmarkEnd w:id="2503"/>
      <w:bookmarkEnd w:id="2504"/>
    </w:p>
    <w:p w14:paraId="101E2D25">
      <w:pPr>
        <w:ind w:firstLine="600"/>
        <w:rPr>
          <w:rFonts w:hint="eastAsia" w:ascii="宋体" w:hAnsi="宋体" w:cs="宋体"/>
          <w:color w:val="auto"/>
          <w:szCs w:val="21"/>
          <w:highlight w:val="none"/>
        </w:rPr>
      </w:pPr>
      <w:r>
        <w:rPr>
          <w:rFonts w:hint="eastAsia" w:ascii="宋体" w:hAnsi="宋体" w:cs="宋体"/>
          <w:color w:val="auto"/>
          <w:szCs w:val="21"/>
          <w:highlight w:val="none"/>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25E36096">
      <w:pPr>
        <w:pStyle w:val="87"/>
        <w:widowControl/>
        <w:numPr>
          <w:ilvl w:val="0"/>
          <w:numId w:val="0"/>
        </w:numPr>
        <w:spacing w:after="156"/>
        <w:rPr>
          <w:rFonts w:hint="eastAsia" w:ascii="宋体" w:hAnsi="宋体" w:eastAsia="宋体" w:cs="宋体"/>
          <w:b w:val="0"/>
          <w:bCs/>
          <w:color w:val="auto"/>
          <w:sz w:val="21"/>
          <w:szCs w:val="21"/>
          <w:highlight w:val="none"/>
        </w:rPr>
      </w:pPr>
      <w:bookmarkStart w:id="2505" w:name="_Toc22328"/>
      <w:bookmarkStart w:id="2506" w:name="_Toc26237"/>
      <w:bookmarkStart w:id="2507" w:name="_Toc9382"/>
      <w:bookmarkStart w:id="2508" w:name="_Toc13575"/>
      <w:bookmarkStart w:id="2509" w:name="_Toc25256"/>
      <w:bookmarkStart w:id="2510" w:name="_Toc10833"/>
      <w:bookmarkStart w:id="2511" w:name="_Toc25633"/>
      <w:bookmarkStart w:id="2512" w:name="_Toc103175783"/>
      <w:bookmarkStart w:id="2513" w:name="_Toc17464"/>
      <w:r>
        <w:rPr>
          <w:rFonts w:hint="eastAsia" w:ascii="宋体" w:hAnsi="宋体" w:eastAsia="宋体" w:cs="宋体"/>
          <w:b w:val="0"/>
          <w:bCs/>
          <w:color w:val="auto"/>
          <w:sz w:val="21"/>
          <w:szCs w:val="21"/>
          <w:highlight w:val="none"/>
        </w:rPr>
        <w:t>17.2 不可抗力的通知</w:t>
      </w:r>
      <w:bookmarkEnd w:id="2505"/>
      <w:bookmarkEnd w:id="2506"/>
      <w:bookmarkEnd w:id="2507"/>
      <w:bookmarkEnd w:id="2508"/>
      <w:bookmarkEnd w:id="2509"/>
      <w:bookmarkEnd w:id="2510"/>
      <w:bookmarkEnd w:id="2511"/>
      <w:bookmarkEnd w:id="2512"/>
      <w:bookmarkEnd w:id="2513"/>
      <w:r>
        <w:rPr>
          <w:rFonts w:hint="eastAsia" w:ascii="宋体" w:hAnsi="宋体" w:eastAsia="宋体" w:cs="宋体"/>
          <w:b w:val="0"/>
          <w:bCs/>
          <w:color w:val="auto"/>
          <w:sz w:val="21"/>
          <w:szCs w:val="21"/>
          <w:highlight w:val="none"/>
        </w:rPr>
        <w:t xml:space="preserve"> </w:t>
      </w:r>
    </w:p>
    <w:p w14:paraId="1EE3A321">
      <w:pPr>
        <w:ind w:firstLine="600"/>
        <w:rPr>
          <w:rFonts w:hint="eastAsia" w:ascii="宋体" w:hAnsi="宋体" w:cs="宋体"/>
          <w:color w:val="auto"/>
          <w:szCs w:val="21"/>
          <w:highlight w:val="none"/>
        </w:rPr>
      </w:pPr>
      <w:r>
        <w:rPr>
          <w:rFonts w:hint="eastAsia" w:ascii="宋体" w:hAnsi="宋体" w:cs="宋体"/>
          <w:color w:val="auto"/>
          <w:szCs w:val="21"/>
          <w:highlight w:val="none"/>
        </w:rPr>
        <w:t>合同一方当事人觉察或发现不可抗力事件发生，使其履行合同义务受到阻碍时，有义务立即通知合同另一方当事人和工程师，书面说明不可抗力和受阻碍的详细情况，并提供必要的证明。</w:t>
      </w:r>
    </w:p>
    <w:p w14:paraId="766EF4CC">
      <w:pPr>
        <w:ind w:firstLine="600"/>
        <w:rPr>
          <w:rFonts w:hint="eastAsia" w:ascii="宋体" w:hAnsi="宋体" w:cs="宋体"/>
          <w:color w:val="auto"/>
          <w:szCs w:val="21"/>
          <w:highlight w:val="none"/>
        </w:rPr>
      </w:pPr>
      <w:r>
        <w:rPr>
          <w:rFonts w:hint="eastAsia" w:ascii="宋体" w:hAnsi="宋体" w:cs="宋体"/>
          <w:color w:val="auto"/>
          <w:szCs w:val="21"/>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14:paraId="0DF94EF4">
      <w:pPr>
        <w:pStyle w:val="87"/>
        <w:widowControl/>
        <w:numPr>
          <w:ilvl w:val="0"/>
          <w:numId w:val="0"/>
        </w:numPr>
        <w:spacing w:after="156"/>
        <w:rPr>
          <w:rFonts w:hint="eastAsia" w:ascii="宋体" w:hAnsi="宋体" w:eastAsia="宋体" w:cs="宋体"/>
          <w:b w:val="0"/>
          <w:bCs/>
          <w:color w:val="auto"/>
          <w:sz w:val="21"/>
          <w:szCs w:val="21"/>
          <w:highlight w:val="none"/>
        </w:rPr>
      </w:pPr>
      <w:bookmarkStart w:id="2514" w:name="_Toc23029"/>
      <w:bookmarkStart w:id="2515" w:name="_Toc103175784"/>
      <w:bookmarkStart w:id="2516" w:name="_Toc2457"/>
      <w:bookmarkStart w:id="2517" w:name="_Toc26452"/>
      <w:bookmarkStart w:id="2518" w:name="_Toc23545"/>
      <w:bookmarkStart w:id="2519" w:name="_Toc665"/>
      <w:bookmarkStart w:id="2520" w:name="_Toc10461"/>
      <w:bookmarkStart w:id="2521" w:name="_Toc15584"/>
      <w:r>
        <w:rPr>
          <w:rFonts w:hint="eastAsia" w:ascii="宋体" w:hAnsi="宋体" w:eastAsia="宋体" w:cs="宋体"/>
          <w:b w:val="0"/>
          <w:bCs/>
          <w:color w:val="auto"/>
          <w:sz w:val="21"/>
          <w:szCs w:val="21"/>
          <w:highlight w:val="none"/>
        </w:rPr>
        <w:t>17.3 将损失减至最小的义务</w:t>
      </w:r>
      <w:bookmarkEnd w:id="2514"/>
      <w:bookmarkEnd w:id="2515"/>
      <w:bookmarkEnd w:id="2516"/>
      <w:bookmarkEnd w:id="2517"/>
      <w:bookmarkEnd w:id="2518"/>
      <w:bookmarkEnd w:id="2519"/>
      <w:bookmarkEnd w:id="2520"/>
      <w:bookmarkEnd w:id="2521"/>
    </w:p>
    <w:p w14:paraId="16F4FF50">
      <w:pPr>
        <w:ind w:firstLine="600"/>
        <w:rPr>
          <w:rFonts w:hint="eastAsia" w:ascii="宋体" w:hAnsi="宋体" w:cs="宋体"/>
          <w:color w:val="auto"/>
          <w:szCs w:val="21"/>
          <w:highlight w:val="none"/>
        </w:rPr>
      </w:pPr>
      <w:r>
        <w:rPr>
          <w:rFonts w:hint="eastAsia" w:ascii="宋体" w:hAnsi="宋体" w:cs="宋体"/>
          <w:color w:val="auto"/>
          <w:szCs w:val="21"/>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3E0CB0F2">
      <w:pPr>
        <w:pStyle w:val="87"/>
        <w:widowControl/>
        <w:numPr>
          <w:ilvl w:val="0"/>
          <w:numId w:val="0"/>
        </w:numPr>
        <w:spacing w:after="156"/>
        <w:rPr>
          <w:rFonts w:hint="eastAsia" w:ascii="宋体" w:hAnsi="宋体" w:eastAsia="宋体" w:cs="宋体"/>
          <w:b w:val="0"/>
          <w:bCs/>
          <w:color w:val="auto"/>
          <w:sz w:val="21"/>
          <w:szCs w:val="21"/>
          <w:highlight w:val="none"/>
        </w:rPr>
      </w:pPr>
      <w:bookmarkStart w:id="2522" w:name="_Ref531958170"/>
      <w:bookmarkStart w:id="2523" w:name="_Ref531958172"/>
      <w:bookmarkStart w:id="2524" w:name="_Toc13102"/>
      <w:bookmarkStart w:id="2525" w:name="_Toc9589"/>
      <w:bookmarkStart w:id="2526" w:name="_Toc10332"/>
      <w:bookmarkStart w:id="2527" w:name="_Ref3840916"/>
      <w:bookmarkStart w:id="2528" w:name="_Toc4571"/>
      <w:bookmarkStart w:id="2529" w:name="_Toc23479"/>
      <w:bookmarkStart w:id="2530" w:name="_Toc25928"/>
      <w:bookmarkStart w:id="2531" w:name="_Toc10976"/>
      <w:bookmarkStart w:id="2532" w:name="_Toc103175785"/>
      <w:bookmarkStart w:id="2533" w:name="_Toc7287"/>
      <w:r>
        <w:rPr>
          <w:rFonts w:hint="eastAsia" w:ascii="宋体" w:hAnsi="宋体" w:eastAsia="宋体" w:cs="宋体"/>
          <w:b w:val="0"/>
          <w:bCs/>
          <w:color w:val="auto"/>
          <w:sz w:val="21"/>
          <w:szCs w:val="21"/>
          <w:highlight w:val="none"/>
        </w:rPr>
        <w:t>17.4 不可抗力后果</w:t>
      </w:r>
      <w:bookmarkEnd w:id="2522"/>
      <w:bookmarkEnd w:id="2523"/>
      <w:r>
        <w:rPr>
          <w:rFonts w:hint="eastAsia" w:ascii="宋体" w:hAnsi="宋体" w:eastAsia="宋体" w:cs="宋体"/>
          <w:b w:val="0"/>
          <w:bCs/>
          <w:color w:val="auto"/>
          <w:sz w:val="21"/>
          <w:szCs w:val="21"/>
          <w:highlight w:val="none"/>
        </w:rPr>
        <w:t>的承担</w:t>
      </w:r>
      <w:bookmarkEnd w:id="2524"/>
      <w:bookmarkEnd w:id="2525"/>
      <w:bookmarkEnd w:id="2526"/>
      <w:bookmarkEnd w:id="2527"/>
      <w:bookmarkEnd w:id="2528"/>
      <w:bookmarkEnd w:id="2529"/>
      <w:bookmarkEnd w:id="2530"/>
      <w:bookmarkEnd w:id="2531"/>
      <w:bookmarkEnd w:id="2532"/>
      <w:bookmarkEnd w:id="2533"/>
      <w:r>
        <w:rPr>
          <w:rFonts w:hint="eastAsia" w:ascii="宋体" w:hAnsi="宋体" w:eastAsia="宋体" w:cs="宋体"/>
          <w:b w:val="0"/>
          <w:bCs/>
          <w:color w:val="auto"/>
          <w:sz w:val="21"/>
          <w:szCs w:val="21"/>
          <w:highlight w:val="none"/>
        </w:rPr>
        <w:t xml:space="preserve"> </w:t>
      </w:r>
    </w:p>
    <w:p w14:paraId="13795DE5">
      <w:pPr>
        <w:ind w:firstLine="600"/>
        <w:rPr>
          <w:rFonts w:hint="eastAsia" w:ascii="宋体" w:hAnsi="宋体" w:cs="宋体"/>
          <w:color w:val="auto"/>
          <w:szCs w:val="21"/>
          <w:highlight w:val="none"/>
        </w:rPr>
      </w:pPr>
      <w:r>
        <w:rPr>
          <w:rFonts w:hint="eastAsia" w:ascii="宋体" w:hAnsi="宋体" w:cs="宋体"/>
          <w:color w:val="auto"/>
          <w:szCs w:val="21"/>
          <w:highlight w:val="none"/>
        </w:rPr>
        <w:t>不可抗力导致的人员伤亡、财产损失、费用增加和（或）工期延误等后果，由合同当事人按以下原则承担：</w:t>
      </w:r>
    </w:p>
    <w:p w14:paraId="738D8C5E">
      <w:pPr>
        <w:ind w:firstLine="600"/>
        <w:rPr>
          <w:rFonts w:hint="eastAsia" w:ascii="宋体" w:hAnsi="宋体" w:cs="宋体"/>
          <w:color w:val="auto"/>
          <w:szCs w:val="21"/>
          <w:highlight w:val="none"/>
        </w:rPr>
      </w:pPr>
      <w:r>
        <w:rPr>
          <w:rFonts w:hint="eastAsia" w:ascii="宋体" w:hAnsi="宋体" w:cs="宋体"/>
          <w:color w:val="auto"/>
          <w:szCs w:val="21"/>
          <w:highlight w:val="none"/>
        </w:rPr>
        <w:t>（1） 永久工程，包括已运至施工现场的材料和工程设备的损害，以及因工程损害造成的第三人人员伤亡和财产损失由发包人承担；</w:t>
      </w:r>
    </w:p>
    <w:p w14:paraId="1438D8E2">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承包人提供的施工设备的损坏由承包人承担；</w:t>
      </w:r>
    </w:p>
    <w:p w14:paraId="1CA40CB0">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发包人和承包人各自承担其人员伤亡及其他财产损失；</w:t>
      </w:r>
    </w:p>
    <w:p w14:paraId="49F57B84">
      <w:pPr>
        <w:ind w:firstLine="600"/>
        <w:rPr>
          <w:rFonts w:hint="eastAsia" w:ascii="宋体" w:hAnsi="宋体" w:cs="宋体"/>
          <w:color w:val="auto"/>
          <w:szCs w:val="21"/>
          <w:highlight w:val="none"/>
        </w:rPr>
      </w:pPr>
      <w:r>
        <w:rPr>
          <w:rFonts w:hint="eastAsia" w:ascii="宋体" w:hAnsi="宋体" w:cs="宋体"/>
          <w:color w:val="auto"/>
          <w:szCs w:val="21"/>
          <w:highlight w:val="none"/>
        </w:rPr>
        <w:t>（4） 因不可抗力影响承包人履行合同约定的义务，已经引起或将引起工期延误的，应当顺延工期，由此导致承包人停工的费用损失由发包人和承包人合理分担，</w:t>
      </w:r>
      <w:bookmarkStart w:id="2534" w:name="_Hlk51507024"/>
      <w:r>
        <w:rPr>
          <w:rFonts w:hint="eastAsia" w:ascii="宋体" w:hAnsi="宋体" w:cs="宋体"/>
          <w:color w:val="auto"/>
          <w:szCs w:val="21"/>
          <w:highlight w:val="none"/>
        </w:rPr>
        <w:t>停工期间必须支付的现场必要的工人工资</w:t>
      </w:r>
      <w:bookmarkEnd w:id="2534"/>
      <w:r>
        <w:rPr>
          <w:rFonts w:hint="eastAsia" w:ascii="宋体" w:hAnsi="宋体" w:cs="宋体"/>
          <w:color w:val="auto"/>
          <w:szCs w:val="21"/>
          <w:highlight w:val="none"/>
        </w:rPr>
        <w:t>由发包人承担；</w:t>
      </w:r>
    </w:p>
    <w:p w14:paraId="2C22FBDC">
      <w:pPr>
        <w:ind w:firstLine="600"/>
        <w:rPr>
          <w:rFonts w:hint="eastAsia" w:ascii="宋体" w:hAnsi="宋体" w:cs="宋体"/>
          <w:color w:val="auto"/>
          <w:szCs w:val="21"/>
          <w:highlight w:val="none"/>
        </w:rPr>
      </w:pPr>
      <w:r>
        <w:rPr>
          <w:rFonts w:hint="eastAsia" w:ascii="宋体" w:hAnsi="宋体" w:cs="宋体"/>
          <w:color w:val="auto"/>
          <w:szCs w:val="21"/>
          <w:highlight w:val="none"/>
        </w:rPr>
        <w:t>（5） 因不可抗力引起或将引起工期延误，发包人指示赶工的，由此增加的赶工费用由发包人承担；</w:t>
      </w:r>
    </w:p>
    <w:p w14:paraId="0BE23CB6">
      <w:pPr>
        <w:ind w:firstLine="600"/>
        <w:rPr>
          <w:rFonts w:hint="eastAsia" w:ascii="宋体" w:hAnsi="宋体" w:cs="宋体"/>
          <w:color w:val="auto"/>
          <w:szCs w:val="21"/>
          <w:highlight w:val="none"/>
        </w:rPr>
      </w:pPr>
      <w:r>
        <w:rPr>
          <w:rFonts w:hint="eastAsia" w:ascii="宋体" w:hAnsi="宋体" w:cs="宋体"/>
          <w:color w:val="auto"/>
          <w:szCs w:val="21"/>
          <w:highlight w:val="none"/>
        </w:rPr>
        <w:t>（6） 承包人在停工期间按照工程师或发包人要求照管、清理和修复工程的费用由发包人承担。</w:t>
      </w:r>
    </w:p>
    <w:p w14:paraId="4026D68E">
      <w:pPr>
        <w:ind w:firstLine="600"/>
        <w:rPr>
          <w:rFonts w:hint="eastAsia" w:ascii="宋体" w:hAnsi="宋体" w:cs="宋体"/>
          <w:color w:val="auto"/>
          <w:szCs w:val="21"/>
          <w:highlight w:val="none"/>
        </w:rPr>
      </w:pPr>
      <w:r>
        <w:rPr>
          <w:rFonts w:hint="eastAsia" w:ascii="宋体" w:hAnsi="宋体" w:cs="宋体"/>
          <w:color w:val="auto"/>
          <w:szCs w:val="21"/>
          <w:highlight w:val="none"/>
        </w:rPr>
        <w:t>不可抗力引起的后果及造成的损失由合同当事人按照法律规定及合同约定各自承担。不可抗力发生前已完成的工程应当按照合同约定进行支付。</w:t>
      </w:r>
    </w:p>
    <w:p w14:paraId="2E2254CA">
      <w:pPr>
        <w:pStyle w:val="87"/>
        <w:widowControl/>
        <w:numPr>
          <w:ilvl w:val="0"/>
          <w:numId w:val="0"/>
        </w:numPr>
        <w:spacing w:after="156"/>
        <w:rPr>
          <w:rFonts w:hint="eastAsia" w:ascii="宋体" w:hAnsi="宋体" w:eastAsia="宋体" w:cs="宋体"/>
          <w:b w:val="0"/>
          <w:bCs/>
          <w:color w:val="auto"/>
          <w:sz w:val="21"/>
          <w:szCs w:val="21"/>
          <w:highlight w:val="none"/>
        </w:rPr>
      </w:pPr>
      <w:bookmarkStart w:id="2535" w:name="_Toc103175786"/>
      <w:bookmarkStart w:id="2536" w:name="_Toc32259"/>
      <w:bookmarkStart w:id="2537" w:name="_Toc8897"/>
      <w:bookmarkStart w:id="2538" w:name="_Toc6233"/>
      <w:bookmarkStart w:id="2539" w:name="_Toc27202"/>
      <w:bookmarkStart w:id="2540" w:name="_Toc5612"/>
      <w:bookmarkStart w:id="2541" w:name="_Toc8689"/>
      <w:bookmarkStart w:id="2542" w:name="_Toc5068"/>
      <w:bookmarkStart w:id="2543" w:name="_Toc25949"/>
      <w:r>
        <w:rPr>
          <w:rFonts w:hint="eastAsia" w:ascii="宋体" w:hAnsi="宋体" w:eastAsia="宋体" w:cs="宋体"/>
          <w:b w:val="0"/>
          <w:bCs/>
          <w:color w:val="auto"/>
          <w:sz w:val="21"/>
          <w:szCs w:val="21"/>
          <w:highlight w:val="none"/>
        </w:rPr>
        <w:t>17.5 不可抗力影响分包人</w:t>
      </w:r>
      <w:bookmarkEnd w:id="2535"/>
      <w:bookmarkEnd w:id="2536"/>
      <w:bookmarkEnd w:id="2537"/>
      <w:bookmarkEnd w:id="2538"/>
      <w:bookmarkEnd w:id="2539"/>
      <w:bookmarkEnd w:id="2540"/>
      <w:bookmarkEnd w:id="2541"/>
      <w:bookmarkEnd w:id="2542"/>
      <w:bookmarkEnd w:id="2543"/>
      <w:r>
        <w:rPr>
          <w:rFonts w:hint="eastAsia" w:ascii="宋体" w:hAnsi="宋体" w:eastAsia="宋体" w:cs="宋体"/>
          <w:b w:val="0"/>
          <w:bCs/>
          <w:color w:val="auto"/>
          <w:sz w:val="21"/>
          <w:szCs w:val="21"/>
          <w:highlight w:val="none"/>
        </w:rPr>
        <w:t xml:space="preserve"> </w:t>
      </w:r>
    </w:p>
    <w:p w14:paraId="551C6D09">
      <w:pPr>
        <w:ind w:firstLine="600"/>
        <w:rPr>
          <w:rFonts w:hint="eastAsia" w:ascii="宋体" w:hAnsi="宋体" w:cs="宋体"/>
          <w:color w:val="auto"/>
          <w:szCs w:val="21"/>
          <w:highlight w:val="none"/>
        </w:rPr>
      </w:pPr>
      <w:r>
        <w:rPr>
          <w:rFonts w:hint="eastAsia" w:ascii="宋体" w:hAnsi="宋体" w:cs="宋体"/>
          <w:color w:val="auto"/>
          <w:szCs w:val="21"/>
          <w:highlight w:val="none"/>
        </w:rPr>
        <w:t>分包人根据分包合同的约定，有权获得更多或者更广的不可抗力而免除某些义务时，承包人不得以分包合同中不可抗力约定向发包人抗辩免除其义务。</w:t>
      </w:r>
    </w:p>
    <w:p w14:paraId="11657599">
      <w:pPr>
        <w:pStyle w:val="87"/>
        <w:widowControl/>
        <w:numPr>
          <w:ilvl w:val="0"/>
          <w:numId w:val="0"/>
        </w:numPr>
        <w:spacing w:after="156"/>
        <w:rPr>
          <w:rFonts w:hint="eastAsia" w:ascii="宋体" w:hAnsi="宋体" w:eastAsia="宋体" w:cs="宋体"/>
          <w:b w:val="0"/>
          <w:bCs/>
          <w:color w:val="auto"/>
          <w:sz w:val="21"/>
          <w:szCs w:val="21"/>
          <w:highlight w:val="none"/>
        </w:rPr>
      </w:pPr>
      <w:bookmarkStart w:id="2544" w:name="_Ref531958181"/>
      <w:bookmarkStart w:id="2545" w:name="_Ref531958184"/>
      <w:bookmarkStart w:id="2546" w:name="_Toc16737"/>
      <w:bookmarkStart w:id="2547" w:name="_Ref3840892"/>
      <w:bookmarkStart w:id="2548" w:name="_Toc12714"/>
      <w:bookmarkStart w:id="2549" w:name="_Toc103175787"/>
      <w:bookmarkStart w:id="2550" w:name="_Toc27649"/>
      <w:bookmarkStart w:id="2551" w:name="_Toc25534"/>
      <w:bookmarkStart w:id="2552" w:name="_Toc19601"/>
      <w:bookmarkStart w:id="2553" w:name="_Toc32500"/>
      <w:bookmarkStart w:id="2554" w:name="_Ref4538024"/>
      <w:bookmarkStart w:id="2555" w:name="_Toc13163"/>
      <w:bookmarkStart w:id="2556" w:name="_Toc18614"/>
      <w:r>
        <w:rPr>
          <w:rFonts w:hint="eastAsia" w:ascii="宋体" w:hAnsi="宋体" w:eastAsia="宋体" w:cs="宋体"/>
          <w:b w:val="0"/>
          <w:bCs/>
          <w:color w:val="auto"/>
          <w:sz w:val="21"/>
          <w:szCs w:val="21"/>
          <w:highlight w:val="none"/>
        </w:rPr>
        <w:t>17.6 因不可抗力解除</w:t>
      </w:r>
      <w:bookmarkEnd w:id="2544"/>
      <w:bookmarkEnd w:id="2545"/>
      <w:r>
        <w:rPr>
          <w:rFonts w:hint="eastAsia" w:ascii="宋体" w:hAnsi="宋体" w:eastAsia="宋体" w:cs="宋体"/>
          <w:b w:val="0"/>
          <w:bCs/>
          <w:color w:val="auto"/>
          <w:sz w:val="21"/>
          <w:szCs w:val="21"/>
          <w:highlight w:val="none"/>
        </w:rPr>
        <w:t>合同</w:t>
      </w:r>
      <w:bookmarkEnd w:id="2546"/>
      <w:bookmarkEnd w:id="2547"/>
      <w:bookmarkEnd w:id="2548"/>
      <w:bookmarkEnd w:id="2549"/>
      <w:bookmarkEnd w:id="2550"/>
      <w:bookmarkEnd w:id="2551"/>
      <w:bookmarkEnd w:id="2552"/>
      <w:bookmarkEnd w:id="2553"/>
      <w:bookmarkEnd w:id="2554"/>
      <w:bookmarkEnd w:id="2555"/>
      <w:bookmarkEnd w:id="2556"/>
      <w:r>
        <w:rPr>
          <w:rFonts w:hint="eastAsia" w:ascii="宋体" w:hAnsi="宋体" w:eastAsia="宋体" w:cs="宋体"/>
          <w:b w:val="0"/>
          <w:bCs/>
          <w:color w:val="auto"/>
          <w:sz w:val="21"/>
          <w:szCs w:val="21"/>
          <w:highlight w:val="none"/>
        </w:rPr>
        <w:t xml:space="preserve"> </w:t>
      </w:r>
    </w:p>
    <w:p w14:paraId="0B424464">
      <w:pPr>
        <w:ind w:firstLine="600"/>
        <w:rPr>
          <w:rFonts w:hint="eastAsia" w:ascii="宋体" w:hAnsi="宋体" w:cs="宋体"/>
          <w:color w:val="auto"/>
          <w:szCs w:val="21"/>
          <w:highlight w:val="none"/>
        </w:rPr>
      </w:pPr>
      <w:r>
        <w:rPr>
          <w:rFonts w:hint="eastAsia" w:ascii="宋体" w:hAnsi="宋体" w:cs="宋体"/>
          <w:color w:val="auto"/>
          <w:szCs w:val="21"/>
          <w:highlight w:val="none"/>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14:paraId="62DC97E8">
      <w:pPr>
        <w:ind w:firstLine="600"/>
        <w:rPr>
          <w:rFonts w:hint="eastAsia" w:ascii="宋体" w:hAnsi="宋体" w:cs="宋体"/>
          <w:color w:val="auto"/>
          <w:szCs w:val="21"/>
          <w:highlight w:val="none"/>
        </w:rPr>
      </w:pPr>
      <w:r>
        <w:rPr>
          <w:rFonts w:hint="eastAsia" w:ascii="宋体" w:hAnsi="宋体" w:cs="宋体"/>
          <w:color w:val="auto"/>
          <w:szCs w:val="21"/>
          <w:highlight w:val="none"/>
        </w:rPr>
        <w:t>（1） 合同解除前承包人已完成工作的价款；</w:t>
      </w:r>
    </w:p>
    <w:p w14:paraId="12726D01">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7B8B161B">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发包人指示承包人退货或解除订货合同而产生的费用，或因不能退货或解除合同而产生的损失；</w:t>
      </w:r>
    </w:p>
    <w:p w14:paraId="08F59211">
      <w:pPr>
        <w:ind w:firstLine="600"/>
        <w:rPr>
          <w:rFonts w:hint="eastAsia" w:ascii="宋体" w:hAnsi="宋体" w:cs="宋体"/>
          <w:color w:val="auto"/>
          <w:szCs w:val="21"/>
          <w:highlight w:val="none"/>
        </w:rPr>
      </w:pPr>
      <w:r>
        <w:rPr>
          <w:rFonts w:hint="eastAsia" w:ascii="宋体" w:hAnsi="宋体" w:cs="宋体"/>
          <w:color w:val="auto"/>
          <w:szCs w:val="21"/>
          <w:highlight w:val="none"/>
        </w:rPr>
        <w:t>（4） 承包人撤离施工现场以及遣散承包人人员的费用；</w:t>
      </w:r>
    </w:p>
    <w:p w14:paraId="262577AA">
      <w:pPr>
        <w:ind w:firstLine="600"/>
        <w:rPr>
          <w:rFonts w:hint="eastAsia" w:ascii="宋体" w:hAnsi="宋体" w:cs="宋体"/>
          <w:color w:val="auto"/>
          <w:szCs w:val="21"/>
          <w:highlight w:val="none"/>
        </w:rPr>
      </w:pPr>
      <w:r>
        <w:rPr>
          <w:rFonts w:hint="eastAsia" w:ascii="宋体" w:hAnsi="宋体" w:cs="宋体"/>
          <w:color w:val="auto"/>
          <w:szCs w:val="21"/>
          <w:highlight w:val="none"/>
        </w:rPr>
        <w:t>（5） 按照合同约定在合同解除前应支付给承包人的其他款项；</w:t>
      </w:r>
    </w:p>
    <w:p w14:paraId="45712DE2">
      <w:pPr>
        <w:ind w:firstLine="600"/>
        <w:rPr>
          <w:rFonts w:hint="eastAsia" w:ascii="宋体" w:hAnsi="宋体" w:cs="宋体"/>
          <w:color w:val="auto"/>
          <w:szCs w:val="21"/>
          <w:highlight w:val="none"/>
        </w:rPr>
      </w:pPr>
      <w:r>
        <w:rPr>
          <w:rFonts w:hint="eastAsia" w:ascii="宋体" w:hAnsi="宋体" w:cs="宋体"/>
          <w:color w:val="auto"/>
          <w:szCs w:val="21"/>
          <w:highlight w:val="none"/>
        </w:rPr>
        <w:t>（6） 扣减承包人按照合同约定应向发包人支付的款项；</w:t>
      </w:r>
    </w:p>
    <w:p w14:paraId="27272FB9">
      <w:pPr>
        <w:ind w:firstLine="600"/>
        <w:rPr>
          <w:rFonts w:hint="eastAsia" w:ascii="宋体" w:hAnsi="宋体" w:cs="宋体"/>
          <w:color w:val="auto"/>
          <w:szCs w:val="21"/>
          <w:highlight w:val="none"/>
        </w:rPr>
      </w:pPr>
      <w:r>
        <w:rPr>
          <w:rFonts w:hint="eastAsia" w:ascii="宋体" w:hAnsi="宋体" w:cs="宋体"/>
          <w:color w:val="auto"/>
          <w:szCs w:val="21"/>
          <w:highlight w:val="none"/>
        </w:rPr>
        <w:t>（7） 双方商定或确定的其他款项。</w:t>
      </w:r>
    </w:p>
    <w:p w14:paraId="0E244E11">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除专用合同条件另有约定外，合同解除后，发包人应当在商定或确定上述款项后28天内完成上述款项的支付。</w:t>
      </w:r>
    </w:p>
    <w:p w14:paraId="4E076BFB">
      <w:pPr>
        <w:pStyle w:val="86"/>
        <w:numPr>
          <w:ilvl w:val="0"/>
          <w:numId w:val="0"/>
        </w:numPr>
        <w:rPr>
          <w:rFonts w:hint="eastAsia" w:ascii="宋体" w:hAnsi="宋体" w:eastAsia="宋体" w:cs="宋体"/>
          <w:b w:val="0"/>
          <w:color w:val="auto"/>
          <w:sz w:val="21"/>
          <w:szCs w:val="21"/>
          <w:highlight w:val="none"/>
        </w:rPr>
      </w:pPr>
      <w:bookmarkStart w:id="2557" w:name="_Ref11848274"/>
      <w:bookmarkStart w:id="2558" w:name="_Toc16867"/>
      <w:bookmarkStart w:id="2559" w:name="_Toc11191"/>
      <w:bookmarkStart w:id="2560" w:name="_Toc103175788"/>
      <w:bookmarkStart w:id="2561" w:name="_Toc2211"/>
      <w:bookmarkStart w:id="2562" w:name="_Toc12023"/>
      <w:bookmarkStart w:id="2563" w:name="_Toc19005"/>
      <w:bookmarkStart w:id="2564" w:name="_Toc12085"/>
      <w:bookmarkStart w:id="2565" w:name="_Ref11848264"/>
      <w:bookmarkStart w:id="2566" w:name="_Toc16061"/>
      <w:bookmarkStart w:id="2567" w:name="_Toc16628"/>
      <w:bookmarkStart w:id="2568" w:name="_Toc26005"/>
      <w:r>
        <w:rPr>
          <w:rFonts w:hint="eastAsia" w:ascii="宋体" w:hAnsi="宋体" w:eastAsia="宋体" w:cs="宋体"/>
          <w:b w:val="0"/>
          <w:color w:val="auto"/>
          <w:sz w:val="21"/>
          <w:szCs w:val="21"/>
          <w:highlight w:val="none"/>
        </w:rPr>
        <w:t>第18条 保险</w:t>
      </w:r>
      <w:bookmarkEnd w:id="2494"/>
      <w:bookmarkEnd w:id="2557"/>
      <w:bookmarkEnd w:id="2558"/>
      <w:bookmarkEnd w:id="2559"/>
      <w:bookmarkEnd w:id="2560"/>
      <w:bookmarkEnd w:id="2561"/>
      <w:bookmarkEnd w:id="2562"/>
      <w:bookmarkEnd w:id="2563"/>
      <w:bookmarkEnd w:id="2564"/>
      <w:bookmarkEnd w:id="2565"/>
      <w:bookmarkEnd w:id="2566"/>
      <w:bookmarkEnd w:id="2567"/>
      <w:bookmarkEnd w:id="2568"/>
      <w:r>
        <w:rPr>
          <w:rFonts w:hint="eastAsia" w:ascii="宋体" w:hAnsi="宋体" w:eastAsia="宋体" w:cs="宋体"/>
          <w:b w:val="0"/>
          <w:color w:val="auto"/>
          <w:sz w:val="21"/>
          <w:szCs w:val="21"/>
          <w:highlight w:val="none"/>
        </w:rPr>
        <w:t xml:space="preserve"> </w:t>
      </w:r>
    </w:p>
    <w:p w14:paraId="67CD2CAC">
      <w:pPr>
        <w:pStyle w:val="87"/>
        <w:widowControl/>
        <w:numPr>
          <w:ilvl w:val="0"/>
          <w:numId w:val="0"/>
        </w:numPr>
        <w:spacing w:after="156"/>
        <w:rPr>
          <w:rFonts w:hint="eastAsia" w:ascii="宋体" w:hAnsi="宋体" w:eastAsia="宋体" w:cs="宋体"/>
          <w:b w:val="0"/>
          <w:bCs/>
          <w:color w:val="auto"/>
          <w:sz w:val="21"/>
          <w:szCs w:val="21"/>
          <w:highlight w:val="none"/>
        </w:rPr>
      </w:pPr>
      <w:bookmarkStart w:id="2569" w:name="_Toc7227"/>
      <w:bookmarkStart w:id="2570" w:name="_Toc9356"/>
      <w:bookmarkStart w:id="2571" w:name="_Toc7564"/>
      <w:bookmarkStart w:id="2572" w:name="_Toc3461"/>
      <w:bookmarkStart w:id="2573" w:name="_Toc7300"/>
      <w:bookmarkStart w:id="2574" w:name="_Toc18944"/>
      <w:bookmarkStart w:id="2575" w:name="_Toc8493"/>
      <w:bookmarkStart w:id="2576" w:name="_Toc103175789"/>
      <w:bookmarkStart w:id="2577" w:name="_Toc12298"/>
      <w:bookmarkStart w:id="2578" w:name="_Ref3840730"/>
      <w:bookmarkStart w:id="2579" w:name="_Ref3840734"/>
      <w:bookmarkStart w:id="2580" w:name="_Ref531957911"/>
      <w:bookmarkStart w:id="2581" w:name="_Ref531957914"/>
      <w:bookmarkStart w:id="2582" w:name="_Toc351203616"/>
      <w:r>
        <w:rPr>
          <w:rFonts w:hint="eastAsia" w:ascii="宋体" w:hAnsi="宋体" w:eastAsia="宋体" w:cs="宋体"/>
          <w:b w:val="0"/>
          <w:bCs/>
          <w:color w:val="auto"/>
          <w:sz w:val="21"/>
          <w:szCs w:val="21"/>
          <w:highlight w:val="none"/>
        </w:rPr>
        <w:t>18.1 设计和工程保险</w:t>
      </w:r>
      <w:bookmarkEnd w:id="2569"/>
      <w:bookmarkEnd w:id="2570"/>
      <w:bookmarkEnd w:id="2571"/>
      <w:bookmarkEnd w:id="2572"/>
      <w:bookmarkEnd w:id="2573"/>
      <w:bookmarkEnd w:id="2574"/>
      <w:bookmarkEnd w:id="2575"/>
      <w:bookmarkEnd w:id="2576"/>
      <w:bookmarkEnd w:id="2577"/>
      <w:bookmarkEnd w:id="2578"/>
      <w:bookmarkEnd w:id="2579"/>
    </w:p>
    <w:bookmarkEnd w:id="2580"/>
    <w:bookmarkEnd w:id="2581"/>
    <w:p w14:paraId="25C42886">
      <w:pPr>
        <w:pStyle w:val="88"/>
        <w:numPr>
          <w:ilvl w:val="0"/>
          <w:numId w:val="0"/>
        </w:numPr>
        <w:spacing w:after="156"/>
        <w:rPr>
          <w:rFonts w:hint="eastAsia" w:cs="宋体"/>
          <w:color w:val="auto"/>
          <w:sz w:val="21"/>
          <w:highlight w:val="none"/>
        </w:rPr>
      </w:pPr>
      <w:r>
        <w:rPr>
          <w:rFonts w:hint="eastAsia" w:cs="宋体"/>
          <w:color w:val="auto"/>
          <w:sz w:val="21"/>
          <w:highlight w:val="none"/>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1FF61F96">
      <w:pPr>
        <w:pStyle w:val="88"/>
        <w:numPr>
          <w:ilvl w:val="0"/>
          <w:numId w:val="0"/>
        </w:numPr>
        <w:spacing w:after="156"/>
        <w:rPr>
          <w:rFonts w:hint="eastAsia" w:cs="宋体"/>
          <w:color w:val="auto"/>
          <w:sz w:val="21"/>
          <w:highlight w:val="none"/>
        </w:rPr>
      </w:pPr>
      <w:r>
        <w:rPr>
          <w:rFonts w:hint="eastAsia" w:cs="宋体"/>
          <w:color w:val="auto"/>
          <w:sz w:val="21"/>
          <w:highlight w:val="none"/>
        </w:rPr>
        <w:t>18.1.2 双方应按照专用合同条件的约定投保第三者责任险，并在缺陷责任期终止证书颁发前维持其持续有效。第三者责任险最低投保额应在专用合同条件内约定。</w:t>
      </w:r>
    </w:p>
    <w:p w14:paraId="47A23200">
      <w:pPr>
        <w:pStyle w:val="87"/>
        <w:widowControl/>
        <w:numPr>
          <w:ilvl w:val="0"/>
          <w:numId w:val="0"/>
        </w:numPr>
        <w:spacing w:after="156"/>
        <w:rPr>
          <w:rFonts w:hint="eastAsia" w:ascii="宋体" w:hAnsi="宋体" w:eastAsia="宋体" w:cs="宋体"/>
          <w:b w:val="0"/>
          <w:bCs/>
          <w:color w:val="auto"/>
          <w:sz w:val="21"/>
          <w:szCs w:val="21"/>
          <w:highlight w:val="none"/>
        </w:rPr>
      </w:pPr>
      <w:bookmarkStart w:id="2583" w:name="_Toc6926"/>
      <w:bookmarkStart w:id="2584" w:name="_Toc19744"/>
      <w:bookmarkStart w:id="2585" w:name="_Ref3840683"/>
      <w:bookmarkStart w:id="2586" w:name="_Toc7362"/>
      <w:bookmarkStart w:id="2587" w:name="_Toc14041"/>
      <w:bookmarkStart w:id="2588" w:name="_Toc103175790"/>
      <w:bookmarkStart w:id="2589" w:name="_Toc20504"/>
      <w:bookmarkStart w:id="2590" w:name="_Toc21596"/>
      <w:bookmarkStart w:id="2591" w:name="_Toc16747"/>
      <w:bookmarkStart w:id="2592" w:name="_Toc2910"/>
      <w:r>
        <w:rPr>
          <w:rFonts w:hint="eastAsia" w:ascii="宋体" w:hAnsi="宋体" w:eastAsia="宋体" w:cs="宋体"/>
          <w:b w:val="0"/>
          <w:bCs/>
          <w:color w:val="auto"/>
          <w:sz w:val="21"/>
          <w:szCs w:val="21"/>
          <w:highlight w:val="none"/>
        </w:rPr>
        <w:t>18.2 工伤和意外伤害保险</w:t>
      </w:r>
      <w:bookmarkEnd w:id="2583"/>
      <w:bookmarkEnd w:id="2584"/>
      <w:bookmarkEnd w:id="2585"/>
      <w:bookmarkEnd w:id="2586"/>
      <w:bookmarkEnd w:id="2587"/>
      <w:bookmarkEnd w:id="2588"/>
      <w:bookmarkEnd w:id="2589"/>
      <w:bookmarkEnd w:id="2590"/>
      <w:bookmarkEnd w:id="2591"/>
      <w:bookmarkEnd w:id="2592"/>
    </w:p>
    <w:p w14:paraId="7BDDDB1F">
      <w:pPr>
        <w:pStyle w:val="88"/>
        <w:numPr>
          <w:ilvl w:val="0"/>
          <w:numId w:val="0"/>
        </w:numPr>
        <w:spacing w:after="156"/>
        <w:rPr>
          <w:rFonts w:hint="eastAsia" w:cs="宋体"/>
          <w:color w:val="auto"/>
          <w:sz w:val="21"/>
          <w:highlight w:val="none"/>
        </w:rPr>
      </w:pPr>
      <w:r>
        <w:rPr>
          <w:rFonts w:hint="eastAsia" w:cs="宋体"/>
          <w:color w:val="auto"/>
          <w:sz w:val="21"/>
          <w:highlight w:val="none"/>
        </w:rPr>
        <w:t>18.2.1 发包人应依照法律规定为其在施工现场的雇用人员办理工伤保险，缴纳工伤保险费；并要求工程师及由发包人为履行合同聘请的第三方在施工现场的雇用人员依法办理工伤保险。</w:t>
      </w:r>
    </w:p>
    <w:p w14:paraId="6BC25AED">
      <w:pPr>
        <w:pStyle w:val="88"/>
        <w:numPr>
          <w:ilvl w:val="0"/>
          <w:numId w:val="0"/>
        </w:numPr>
        <w:spacing w:after="156"/>
        <w:rPr>
          <w:rFonts w:hint="eastAsia" w:cs="宋体"/>
          <w:color w:val="auto"/>
          <w:sz w:val="21"/>
          <w:highlight w:val="none"/>
        </w:rPr>
      </w:pPr>
      <w:r>
        <w:rPr>
          <w:rFonts w:hint="eastAsia" w:cs="宋体"/>
          <w:color w:val="auto"/>
          <w:sz w:val="21"/>
          <w:highlight w:val="none"/>
        </w:rPr>
        <w:t>18.2.2 承包人应依照法律规定为其履行合同雇用的全部人员办理工伤保险，缴纳工伤保险费，并要求分包人及由承包人为履行合同聘请的第三方雇用的全部人员依法办理工伤保险。</w:t>
      </w:r>
    </w:p>
    <w:p w14:paraId="086954C2">
      <w:pPr>
        <w:pStyle w:val="88"/>
        <w:numPr>
          <w:ilvl w:val="0"/>
          <w:numId w:val="0"/>
        </w:numPr>
        <w:spacing w:after="156"/>
        <w:rPr>
          <w:rFonts w:hint="eastAsia" w:cs="宋体"/>
          <w:color w:val="auto"/>
          <w:sz w:val="21"/>
          <w:highlight w:val="none"/>
        </w:rPr>
      </w:pPr>
      <w:r>
        <w:rPr>
          <w:rFonts w:hint="eastAsia" w:cs="宋体"/>
          <w:color w:val="auto"/>
          <w:sz w:val="21"/>
          <w:highlight w:val="none"/>
        </w:rPr>
        <w:t>18.2.3 发包人和承包人可以为其施工现场的全部人员办理意外伤害保险并支付保险费，包括其员工及为履行合同聘请的第三方的人员，具体事项由合同当事人在专用合同条件约定。</w:t>
      </w:r>
    </w:p>
    <w:p w14:paraId="44F30EE3">
      <w:pPr>
        <w:pStyle w:val="87"/>
        <w:widowControl/>
        <w:numPr>
          <w:ilvl w:val="0"/>
          <w:numId w:val="0"/>
        </w:numPr>
        <w:spacing w:after="156"/>
        <w:rPr>
          <w:rFonts w:hint="eastAsia" w:ascii="宋体" w:hAnsi="宋体" w:eastAsia="宋体" w:cs="宋体"/>
          <w:b w:val="0"/>
          <w:bCs/>
          <w:color w:val="auto"/>
          <w:sz w:val="21"/>
          <w:szCs w:val="21"/>
          <w:highlight w:val="none"/>
        </w:rPr>
      </w:pPr>
      <w:bookmarkStart w:id="2593" w:name="_Toc22715"/>
      <w:bookmarkStart w:id="2594" w:name="_Toc24381"/>
      <w:bookmarkStart w:id="2595" w:name="_Toc4493"/>
      <w:bookmarkStart w:id="2596" w:name="_Toc103175791"/>
      <w:bookmarkStart w:id="2597" w:name="_Toc31470"/>
      <w:bookmarkStart w:id="2598" w:name="_Toc9966"/>
      <w:bookmarkStart w:id="2599" w:name="_Toc18128"/>
      <w:bookmarkStart w:id="2600" w:name="_Ref3840782"/>
      <w:bookmarkStart w:id="2601" w:name="_Toc24178"/>
      <w:r>
        <w:rPr>
          <w:rFonts w:hint="eastAsia" w:ascii="宋体" w:hAnsi="宋体" w:eastAsia="宋体" w:cs="宋体"/>
          <w:b w:val="0"/>
          <w:bCs/>
          <w:color w:val="auto"/>
          <w:sz w:val="21"/>
          <w:szCs w:val="21"/>
          <w:highlight w:val="none"/>
        </w:rPr>
        <w:t>18.3 货物保险</w:t>
      </w:r>
      <w:bookmarkEnd w:id="2593"/>
      <w:bookmarkEnd w:id="2594"/>
      <w:bookmarkEnd w:id="2595"/>
      <w:bookmarkEnd w:id="2596"/>
      <w:bookmarkEnd w:id="2597"/>
      <w:bookmarkEnd w:id="2598"/>
      <w:bookmarkEnd w:id="2599"/>
      <w:bookmarkEnd w:id="2600"/>
      <w:bookmarkEnd w:id="2601"/>
    </w:p>
    <w:p w14:paraId="7F2E5950">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w:t>
      </w:r>
      <w:r>
        <w:rPr>
          <w:rFonts w:hint="eastAsia" w:ascii="宋体" w:hAnsi="宋体" w:cs="宋体"/>
          <w:iCs/>
          <w:color w:val="auto"/>
          <w:szCs w:val="21"/>
          <w:highlight w:val="none"/>
        </w:rPr>
        <w:t>按照</w:t>
      </w:r>
      <w:r>
        <w:rPr>
          <w:rFonts w:hint="eastAsia" w:ascii="宋体" w:hAnsi="宋体" w:cs="宋体"/>
          <w:color w:val="auto"/>
          <w:szCs w:val="21"/>
          <w:highlight w:val="none"/>
        </w:rPr>
        <w:t>专用合同条件的约定为</w:t>
      </w:r>
      <w:r>
        <w:rPr>
          <w:rFonts w:hint="eastAsia" w:ascii="宋体" w:hAnsi="宋体" w:cs="宋体"/>
          <w:iCs/>
          <w:color w:val="auto"/>
          <w:szCs w:val="21"/>
          <w:highlight w:val="none"/>
        </w:rPr>
        <w:t>运抵现场的</w:t>
      </w:r>
      <w:r>
        <w:rPr>
          <w:rFonts w:hint="eastAsia" w:ascii="宋体" w:hAnsi="宋体" w:cs="宋体"/>
          <w:color w:val="auto"/>
          <w:szCs w:val="21"/>
          <w:highlight w:val="none"/>
        </w:rPr>
        <w:t>施工设备、材料、工程设备和临时工程等办理财产保险，保险期限自上述货物运抵现场至其不再为工程所需要为止。</w:t>
      </w:r>
    </w:p>
    <w:p w14:paraId="29455947">
      <w:pPr>
        <w:pStyle w:val="87"/>
        <w:widowControl/>
        <w:numPr>
          <w:ilvl w:val="0"/>
          <w:numId w:val="0"/>
        </w:numPr>
        <w:spacing w:after="156"/>
        <w:rPr>
          <w:rFonts w:hint="eastAsia" w:ascii="宋体" w:hAnsi="宋体" w:eastAsia="宋体" w:cs="宋体"/>
          <w:b w:val="0"/>
          <w:bCs/>
          <w:color w:val="auto"/>
          <w:sz w:val="21"/>
          <w:szCs w:val="21"/>
          <w:highlight w:val="none"/>
        </w:rPr>
      </w:pPr>
      <w:bookmarkStart w:id="2602" w:name="_Toc2008"/>
      <w:bookmarkStart w:id="2603" w:name="_Toc23023"/>
      <w:bookmarkStart w:id="2604" w:name="_Toc17547"/>
      <w:bookmarkStart w:id="2605" w:name="_Ref4692238"/>
      <w:bookmarkStart w:id="2606" w:name="_Toc16506"/>
      <w:bookmarkStart w:id="2607" w:name="_Ref4692231"/>
      <w:bookmarkStart w:id="2608" w:name="_Toc24597"/>
      <w:bookmarkStart w:id="2609" w:name="_Toc19717"/>
      <w:bookmarkStart w:id="2610" w:name="_Toc103175792"/>
      <w:bookmarkStart w:id="2611" w:name="_Toc15048"/>
      <w:bookmarkStart w:id="2612" w:name="_Toc31506"/>
      <w:r>
        <w:rPr>
          <w:rFonts w:hint="eastAsia" w:ascii="宋体" w:hAnsi="宋体" w:eastAsia="宋体" w:cs="宋体"/>
          <w:b w:val="0"/>
          <w:bCs/>
          <w:color w:val="auto"/>
          <w:sz w:val="21"/>
          <w:szCs w:val="21"/>
          <w:highlight w:val="none"/>
        </w:rPr>
        <w:t>18.4 其他保险</w:t>
      </w:r>
      <w:bookmarkEnd w:id="2602"/>
      <w:bookmarkEnd w:id="2603"/>
      <w:bookmarkEnd w:id="2604"/>
      <w:bookmarkEnd w:id="2605"/>
      <w:bookmarkEnd w:id="2606"/>
      <w:bookmarkEnd w:id="2607"/>
      <w:bookmarkEnd w:id="2608"/>
      <w:bookmarkEnd w:id="2609"/>
      <w:bookmarkEnd w:id="2610"/>
      <w:bookmarkEnd w:id="2611"/>
      <w:bookmarkEnd w:id="2612"/>
    </w:p>
    <w:p w14:paraId="2A3B9DF8">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2582"/>
      <w:r>
        <w:rPr>
          <w:rFonts w:hint="eastAsia" w:ascii="宋体" w:hAnsi="宋体" w:cs="宋体"/>
          <w:color w:val="auto"/>
          <w:szCs w:val="21"/>
          <w:highlight w:val="none"/>
        </w:rPr>
        <w:t>保费用包含在合同价格中，但在合同执行过程中，新颁布适用的法律法规规定由承包人投保的强制保险，应根据本合同</w:t>
      </w:r>
      <w:bookmarkStart w:id="2613" w:name="_Toc351203617"/>
      <w:bookmarkStart w:id="2614" w:name="_Toc337558832"/>
      <w:bookmarkStart w:id="2615" w:name="_Toc296346627"/>
      <w:bookmarkStart w:id="2616" w:name="_Toc296503126"/>
      <w:r>
        <w:rPr>
          <w:rFonts w:hint="eastAsia" w:ascii="宋体" w:hAnsi="宋体" w:cs="宋体"/>
          <w:color w:val="auto"/>
          <w:szCs w:val="21"/>
          <w:highlight w:val="none"/>
        </w:rPr>
        <w:t>第13条[变更与调整]的约定增加合同价款。</w:t>
      </w:r>
    </w:p>
    <w:p w14:paraId="57279820">
      <w:pPr>
        <w:pStyle w:val="87"/>
        <w:widowControl/>
        <w:numPr>
          <w:ilvl w:val="0"/>
          <w:numId w:val="0"/>
        </w:numPr>
        <w:spacing w:after="156"/>
        <w:rPr>
          <w:rFonts w:hint="eastAsia" w:ascii="宋体" w:hAnsi="宋体" w:eastAsia="宋体" w:cs="宋体"/>
          <w:b w:val="0"/>
          <w:bCs/>
          <w:color w:val="auto"/>
          <w:sz w:val="21"/>
          <w:szCs w:val="21"/>
          <w:highlight w:val="none"/>
        </w:rPr>
      </w:pPr>
      <w:bookmarkStart w:id="2617" w:name="_Toc25165"/>
      <w:bookmarkStart w:id="2618" w:name="_Toc22218"/>
      <w:bookmarkStart w:id="2619" w:name="_Toc26912"/>
      <w:bookmarkStart w:id="2620" w:name="_Toc6511"/>
      <w:bookmarkStart w:id="2621" w:name="_Toc1603"/>
      <w:bookmarkStart w:id="2622" w:name="_Toc1197"/>
      <w:bookmarkStart w:id="2623" w:name="_Ref3840659"/>
      <w:bookmarkStart w:id="2624" w:name="_Toc3997"/>
      <w:bookmarkStart w:id="2625" w:name="_Toc103175793"/>
      <w:bookmarkStart w:id="2626" w:name="_Toc1042"/>
      <w:r>
        <w:rPr>
          <w:rFonts w:hint="eastAsia" w:ascii="宋体" w:hAnsi="宋体" w:eastAsia="宋体" w:cs="宋体"/>
          <w:b w:val="0"/>
          <w:bCs/>
          <w:color w:val="auto"/>
          <w:sz w:val="21"/>
          <w:szCs w:val="21"/>
          <w:highlight w:val="none"/>
        </w:rPr>
        <w:t>18.5 对各项保险的一般要求</w:t>
      </w:r>
      <w:bookmarkEnd w:id="2617"/>
      <w:bookmarkEnd w:id="2618"/>
      <w:bookmarkEnd w:id="2619"/>
      <w:bookmarkEnd w:id="2620"/>
      <w:bookmarkEnd w:id="2621"/>
      <w:bookmarkEnd w:id="2622"/>
      <w:bookmarkEnd w:id="2623"/>
      <w:bookmarkEnd w:id="2624"/>
      <w:bookmarkEnd w:id="2625"/>
      <w:bookmarkEnd w:id="2626"/>
    </w:p>
    <w:p w14:paraId="72AEDC2E">
      <w:pPr>
        <w:pStyle w:val="88"/>
        <w:numPr>
          <w:ilvl w:val="0"/>
          <w:numId w:val="0"/>
        </w:numPr>
        <w:spacing w:after="156"/>
        <w:rPr>
          <w:rFonts w:hint="eastAsia" w:cs="宋体"/>
          <w:color w:val="auto"/>
          <w:sz w:val="21"/>
          <w:highlight w:val="none"/>
        </w:rPr>
      </w:pPr>
      <w:r>
        <w:rPr>
          <w:rFonts w:hint="eastAsia" w:cs="宋体"/>
          <w:color w:val="auto"/>
          <w:sz w:val="21"/>
          <w:highlight w:val="none"/>
        </w:rPr>
        <w:t>18.5.1 持续保险</w:t>
      </w:r>
    </w:p>
    <w:p w14:paraId="31BDD60D">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合同当事人应与保险人保持联系，使保险人能够随时了</w:t>
      </w:r>
      <w:bookmarkEnd w:id="2613"/>
      <w:r>
        <w:rPr>
          <w:rFonts w:hint="eastAsia" w:ascii="宋体" w:hAnsi="宋体" w:cs="宋体"/>
          <w:color w:val="auto"/>
          <w:szCs w:val="21"/>
          <w:highlight w:val="none"/>
        </w:rPr>
        <w:t>解</w:t>
      </w:r>
      <w:bookmarkEnd w:id="2614"/>
      <w:bookmarkEnd w:id="2615"/>
      <w:bookmarkEnd w:id="2616"/>
      <w:r>
        <w:rPr>
          <w:rFonts w:hint="eastAsia" w:ascii="宋体" w:hAnsi="宋体" w:cs="宋体"/>
          <w:color w:val="auto"/>
          <w:szCs w:val="21"/>
          <w:highlight w:val="none"/>
        </w:rPr>
        <w:t>工程实施中的变动，并确保按保险合同条款要求持续保险。</w:t>
      </w:r>
    </w:p>
    <w:p w14:paraId="70C2D69C">
      <w:pPr>
        <w:pStyle w:val="88"/>
        <w:numPr>
          <w:ilvl w:val="0"/>
          <w:numId w:val="0"/>
        </w:numPr>
        <w:spacing w:after="156"/>
        <w:rPr>
          <w:rFonts w:hint="eastAsia" w:cs="宋体"/>
          <w:color w:val="auto"/>
          <w:sz w:val="21"/>
          <w:highlight w:val="none"/>
        </w:rPr>
      </w:pPr>
      <w:bookmarkStart w:id="2627" w:name="_Ref4777650"/>
      <w:r>
        <w:rPr>
          <w:rFonts w:hint="eastAsia" w:cs="宋体"/>
          <w:color w:val="auto"/>
          <w:sz w:val="21"/>
          <w:highlight w:val="none"/>
        </w:rPr>
        <w:t>18.5.2 保险凭证</w:t>
      </w:r>
      <w:bookmarkEnd w:id="2627"/>
    </w:p>
    <w:p w14:paraId="48E0A983">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合同当事人应及时向另一方当事人提交其已投保的各项保险的凭证和保险单复印件，保险单必须与专用合同条件约定的条件保持一致。</w:t>
      </w:r>
    </w:p>
    <w:p w14:paraId="41A473D9">
      <w:pPr>
        <w:pStyle w:val="88"/>
        <w:numPr>
          <w:ilvl w:val="0"/>
          <w:numId w:val="0"/>
        </w:numPr>
        <w:spacing w:after="156"/>
        <w:rPr>
          <w:rFonts w:hint="eastAsia" w:cs="宋体"/>
          <w:color w:val="auto"/>
          <w:sz w:val="21"/>
          <w:highlight w:val="none"/>
        </w:rPr>
      </w:pPr>
      <w:r>
        <w:rPr>
          <w:rFonts w:hint="eastAsia" w:cs="宋体"/>
          <w:color w:val="auto"/>
          <w:sz w:val="21"/>
          <w:highlight w:val="none"/>
        </w:rPr>
        <w:t>18.5.3 未按约定投保的补救</w:t>
      </w:r>
    </w:p>
    <w:p w14:paraId="426AC9CE">
      <w:pPr>
        <w:ind w:firstLine="600"/>
        <w:rPr>
          <w:rFonts w:hint="eastAsia" w:ascii="宋体" w:hAnsi="宋体" w:cs="宋体"/>
          <w:color w:val="auto"/>
          <w:szCs w:val="21"/>
          <w:highlight w:val="none"/>
        </w:rPr>
      </w:pPr>
      <w:r>
        <w:rPr>
          <w:rFonts w:hint="eastAsia" w:ascii="宋体" w:hAnsi="宋体" w:cs="宋体"/>
          <w:color w:val="auto"/>
          <w:szCs w:val="21"/>
          <w:highlight w:val="none"/>
        </w:rPr>
        <w:t>负有投保义务的一方当事人未按合同约定办理保险，或未能使保险持续有效的，则另一方当事人可代为办理，所需费用由负有投保义务的一方当事人承担。</w:t>
      </w:r>
    </w:p>
    <w:p w14:paraId="470D84C0">
      <w:pPr>
        <w:ind w:firstLine="600"/>
        <w:rPr>
          <w:rFonts w:hint="eastAsia" w:ascii="宋体" w:hAnsi="宋体" w:cs="宋体"/>
          <w:color w:val="auto"/>
          <w:szCs w:val="21"/>
          <w:highlight w:val="none"/>
        </w:rPr>
      </w:pPr>
      <w:r>
        <w:rPr>
          <w:rFonts w:hint="eastAsia" w:ascii="宋体" w:hAnsi="宋体" w:cs="宋体"/>
          <w:color w:val="auto"/>
          <w:szCs w:val="21"/>
          <w:highlight w:val="none"/>
        </w:rPr>
        <w:t>负有投保</w:t>
      </w:r>
      <w:bookmarkStart w:id="2628" w:name="_Toc351203619"/>
      <w:bookmarkStart w:id="2629" w:name="_Toc337558834"/>
      <w:r>
        <w:rPr>
          <w:rFonts w:hint="eastAsia" w:ascii="宋体" w:hAnsi="宋体" w:cs="宋体"/>
          <w:color w:val="auto"/>
          <w:szCs w:val="21"/>
          <w:highlight w:val="none"/>
        </w:rPr>
        <w:t>义务的一方当事人未</w:t>
      </w:r>
      <w:bookmarkEnd w:id="2628"/>
      <w:r>
        <w:rPr>
          <w:rFonts w:hint="eastAsia" w:ascii="宋体" w:hAnsi="宋体" w:cs="宋体"/>
          <w:color w:val="auto"/>
          <w:szCs w:val="21"/>
          <w:highlight w:val="none"/>
        </w:rPr>
        <w:t>按</w:t>
      </w:r>
      <w:bookmarkEnd w:id="2629"/>
      <w:r>
        <w:rPr>
          <w:rFonts w:hint="eastAsia" w:ascii="宋体" w:hAnsi="宋体" w:cs="宋体"/>
          <w:color w:val="auto"/>
          <w:szCs w:val="21"/>
          <w:highlight w:val="none"/>
        </w:rPr>
        <w:t>合同约定办理某项保险，导致受益人未能得到足额赔偿的，由负有投保义务的一方当事人负责按照原应从该项保险得到的保险金数额进行补足。</w:t>
      </w:r>
    </w:p>
    <w:p w14:paraId="384DAA4E">
      <w:pPr>
        <w:pStyle w:val="88"/>
        <w:numPr>
          <w:ilvl w:val="0"/>
          <w:numId w:val="0"/>
        </w:numPr>
        <w:spacing w:after="156"/>
        <w:rPr>
          <w:rFonts w:hint="eastAsia" w:cs="宋体"/>
          <w:color w:val="auto"/>
          <w:sz w:val="21"/>
          <w:highlight w:val="none"/>
        </w:rPr>
      </w:pPr>
      <w:bookmarkStart w:id="2630" w:name="_Ref4692685"/>
      <w:r>
        <w:rPr>
          <w:rFonts w:hint="eastAsia" w:cs="宋体"/>
          <w:color w:val="auto"/>
          <w:sz w:val="21"/>
          <w:highlight w:val="none"/>
        </w:rPr>
        <w:t>18.5.4 通知义务</w:t>
      </w:r>
      <w:bookmarkEnd w:id="2630"/>
    </w:p>
    <w:p w14:paraId="50DBFC3B">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除专用合同条件另有约定外，任何一方当事人变更除工伤保险之外的保险合同时，应事先征得另一方当事人同意，并通知工程师。</w:t>
      </w:r>
    </w:p>
    <w:p w14:paraId="458A4A47">
      <w:pPr>
        <w:ind w:firstLine="600"/>
        <w:rPr>
          <w:rFonts w:hint="eastAsia" w:ascii="宋体" w:hAnsi="宋体" w:cs="宋体"/>
          <w:color w:val="auto"/>
          <w:szCs w:val="21"/>
          <w:highlight w:val="none"/>
        </w:rPr>
      </w:pPr>
      <w:r>
        <w:rPr>
          <w:rFonts w:hint="eastAsia" w:ascii="宋体" w:hAnsi="宋体" w:cs="宋体"/>
          <w:color w:val="auto"/>
          <w:szCs w:val="21"/>
          <w:highlight w:val="none"/>
        </w:rPr>
        <w:t>保险事故发生时，投保人应按照保险合同规定的条件和期限及时向保险人报告。发包人和承包人应当在知道保险事故发生后及时通知对方。</w:t>
      </w:r>
    </w:p>
    <w:p w14:paraId="29797910">
      <w:pPr>
        <w:ind w:firstLine="600"/>
        <w:rPr>
          <w:rFonts w:hint="eastAsia" w:ascii="宋体" w:hAnsi="宋体" w:cs="宋体"/>
          <w:color w:val="auto"/>
          <w:szCs w:val="21"/>
          <w:highlight w:val="none"/>
        </w:rPr>
      </w:pPr>
      <w:r>
        <w:rPr>
          <w:rFonts w:hint="eastAsia" w:ascii="宋体" w:hAnsi="宋体" w:cs="宋体"/>
          <w:color w:val="auto"/>
          <w:szCs w:val="21"/>
          <w:highlight w:val="none"/>
        </w:rPr>
        <w:t>双方按本条规定投保不减少双方在合同下的其他义务。</w:t>
      </w:r>
    </w:p>
    <w:p w14:paraId="5B5F3F45">
      <w:pPr>
        <w:pStyle w:val="86"/>
        <w:numPr>
          <w:ilvl w:val="0"/>
          <w:numId w:val="0"/>
        </w:numPr>
        <w:rPr>
          <w:rFonts w:hint="eastAsia" w:ascii="宋体" w:hAnsi="宋体" w:eastAsia="宋体" w:cs="宋体"/>
          <w:b w:val="0"/>
          <w:color w:val="auto"/>
          <w:sz w:val="21"/>
          <w:szCs w:val="21"/>
          <w:highlight w:val="none"/>
        </w:rPr>
      </w:pPr>
      <w:bookmarkStart w:id="2631" w:name="_Toc22818"/>
      <w:bookmarkStart w:id="2632" w:name="_Toc28181"/>
      <w:bookmarkStart w:id="2633" w:name="_Ref11874997"/>
      <w:bookmarkStart w:id="2634" w:name="_Toc103175794"/>
      <w:bookmarkStart w:id="2635" w:name="_Toc27344"/>
      <w:bookmarkStart w:id="2636" w:name="_Toc21332"/>
      <w:bookmarkStart w:id="2637" w:name="_Toc31410"/>
      <w:bookmarkStart w:id="2638" w:name="_Toc17093"/>
      <w:bookmarkStart w:id="2639" w:name="_Toc5379"/>
      <w:bookmarkStart w:id="2640" w:name="_Toc28316"/>
      <w:bookmarkStart w:id="2641" w:name="_Toc28708"/>
      <w:bookmarkStart w:id="2642" w:name="_Toc17323"/>
      <w:r>
        <w:rPr>
          <w:rFonts w:hint="eastAsia" w:ascii="宋体" w:hAnsi="宋体" w:eastAsia="宋体" w:cs="宋体"/>
          <w:b w:val="0"/>
          <w:color w:val="auto"/>
          <w:sz w:val="21"/>
          <w:szCs w:val="21"/>
          <w:highlight w:val="none"/>
        </w:rPr>
        <w:t>第19条 索赔</w:t>
      </w:r>
      <w:bookmarkEnd w:id="2440"/>
      <w:bookmarkEnd w:id="2441"/>
      <w:bookmarkEnd w:id="2631"/>
      <w:bookmarkEnd w:id="2632"/>
      <w:bookmarkEnd w:id="2633"/>
      <w:bookmarkEnd w:id="2634"/>
      <w:bookmarkEnd w:id="2635"/>
      <w:bookmarkEnd w:id="2636"/>
      <w:bookmarkEnd w:id="2637"/>
      <w:bookmarkEnd w:id="2638"/>
      <w:bookmarkEnd w:id="2639"/>
      <w:bookmarkEnd w:id="2640"/>
      <w:bookmarkEnd w:id="2641"/>
      <w:bookmarkEnd w:id="2642"/>
      <w:r>
        <w:rPr>
          <w:rFonts w:hint="eastAsia" w:ascii="宋体" w:hAnsi="宋体" w:eastAsia="宋体" w:cs="宋体"/>
          <w:b w:val="0"/>
          <w:color w:val="auto"/>
          <w:sz w:val="21"/>
          <w:szCs w:val="21"/>
          <w:highlight w:val="none"/>
        </w:rPr>
        <w:t xml:space="preserve"> </w:t>
      </w:r>
    </w:p>
    <w:p w14:paraId="7B8E7748">
      <w:pPr>
        <w:pStyle w:val="87"/>
        <w:widowControl/>
        <w:numPr>
          <w:ilvl w:val="0"/>
          <w:numId w:val="0"/>
        </w:numPr>
        <w:spacing w:after="156"/>
        <w:rPr>
          <w:rFonts w:hint="eastAsia" w:ascii="宋体" w:hAnsi="宋体" w:eastAsia="宋体" w:cs="宋体"/>
          <w:b w:val="0"/>
          <w:bCs/>
          <w:color w:val="auto"/>
          <w:sz w:val="21"/>
          <w:szCs w:val="21"/>
          <w:highlight w:val="none"/>
        </w:rPr>
      </w:pPr>
      <w:bookmarkStart w:id="2643" w:name="_Ref4798164"/>
      <w:bookmarkStart w:id="2644" w:name="_Ref4798173"/>
      <w:bookmarkStart w:id="2645" w:name="_Toc6823"/>
      <w:bookmarkStart w:id="2646" w:name="_Toc24606"/>
      <w:bookmarkStart w:id="2647" w:name="_Toc5820"/>
      <w:bookmarkStart w:id="2648" w:name="_Toc23432"/>
      <w:bookmarkStart w:id="2649" w:name="_Toc103175795"/>
      <w:bookmarkStart w:id="2650" w:name="_Toc7064"/>
      <w:bookmarkStart w:id="2651" w:name="_Toc30344"/>
      <w:bookmarkStart w:id="2652" w:name="_Toc30418"/>
      <w:r>
        <w:rPr>
          <w:rFonts w:hint="eastAsia" w:ascii="宋体" w:hAnsi="宋体" w:eastAsia="宋体" w:cs="宋体"/>
          <w:b w:val="0"/>
          <w:bCs/>
          <w:color w:val="auto"/>
          <w:sz w:val="21"/>
          <w:szCs w:val="21"/>
          <w:highlight w:val="none"/>
        </w:rPr>
        <w:t>19.1 索赔</w:t>
      </w:r>
      <w:bookmarkEnd w:id="2643"/>
      <w:bookmarkEnd w:id="2644"/>
      <w:r>
        <w:rPr>
          <w:rFonts w:hint="eastAsia" w:ascii="宋体" w:hAnsi="宋体" w:eastAsia="宋体" w:cs="宋体"/>
          <w:b w:val="0"/>
          <w:bCs/>
          <w:color w:val="auto"/>
          <w:sz w:val="21"/>
          <w:szCs w:val="21"/>
          <w:highlight w:val="none"/>
        </w:rPr>
        <w:t>的提出</w:t>
      </w:r>
      <w:bookmarkEnd w:id="2645"/>
      <w:bookmarkEnd w:id="2646"/>
      <w:bookmarkEnd w:id="2647"/>
      <w:bookmarkEnd w:id="2648"/>
      <w:bookmarkEnd w:id="2649"/>
      <w:bookmarkEnd w:id="2650"/>
      <w:bookmarkEnd w:id="2651"/>
      <w:bookmarkEnd w:id="2652"/>
    </w:p>
    <w:p w14:paraId="43E54059">
      <w:pPr>
        <w:ind w:firstLine="600"/>
        <w:rPr>
          <w:rFonts w:hint="eastAsia" w:ascii="宋体" w:hAnsi="宋体" w:cs="宋体"/>
          <w:color w:val="auto"/>
          <w:szCs w:val="21"/>
          <w:highlight w:val="none"/>
        </w:rPr>
      </w:pPr>
      <w:r>
        <w:rPr>
          <w:rFonts w:hint="eastAsia" w:ascii="宋体" w:hAnsi="宋体" w:cs="宋体"/>
          <w:color w:val="auto"/>
          <w:szCs w:val="21"/>
          <w:highlight w:val="none"/>
        </w:rPr>
        <w:t>根据合同约定，任意一方认为有权得到追加/减少付款、延长缺陷责任期和（或）延长工期的，应按以下程序向对方提出索赔：</w:t>
      </w:r>
    </w:p>
    <w:p w14:paraId="2EC56C12">
      <w:pPr>
        <w:ind w:firstLine="600"/>
        <w:rPr>
          <w:rFonts w:hint="eastAsia" w:ascii="宋体" w:hAnsi="宋体" w:cs="宋体"/>
          <w:color w:val="auto"/>
          <w:szCs w:val="21"/>
          <w:highlight w:val="none"/>
        </w:rPr>
      </w:pPr>
      <w:r>
        <w:rPr>
          <w:rFonts w:hint="eastAsia" w:ascii="宋体" w:hAnsi="宋体" w:cs="宋体"/>
          <w:color w:val="auto"/>
          <w:szCs w:val="21"/>
          <w:highlight w:val="none"/>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14:paraId="409C2F61">
      <w:pPr>
        <w:ind w:firstLine="600"/>
        <w:rPr>
          <w:rFonts w:hint="eastAsia" w:ascii="宋体" w:hAnsi="宋体" w:cs="宋体"/>
          <w:color w:val="auto"/>
          <w:szCs w:val="21"/>
          <w:highlight w:val="none"/>
        </w:rPr>
      </w:pPr>
      <w:r>
        <w:rPr>
          <w:rFonts w:hint="eastAsia" w:ascii="宋体" w:hAnsi="宋体" w:cs="宋体"/>
          <w:color w:val="auto"/>
          <w:szCs w:val="21"/>
          <w:highlight w:val="none"/>
        </w:rPr>
        <w:t>（2） 索赔方应在发出索赔意向通知书后28天内，向对方正式递交索赔报告；索赔报告应详细说明索赔理由以及要求追加的付款金额、延长缺陷责任期和（或）延长的工期，并附必要的记录和证明材料；</w:t>
      </w:r>
    </w:p>
    <w:p w14:paraId="1A502601">
      <w:pPr>
        <w:ind w:firstLine="600"/>
        <w:rPr>
          <w:rFonts w:hint="eastAsia" w:ascii="宋体" w:hAnsi="宋体" w:cs="宋体"/>
          <w:color w:val="auto"/>
          <w:szCs w:val="21"/>
          <w:highlight w:val="none"/>
        </w:rPr>
      </w:pPr>
      <w:r>
        <w:rPr>
          <w:rFonts w:hint="eastAsia" w:ascii="宋体" w:hAnsi="宋体" w:cs="宋体"/>
          <w:color w:val="auto"/>
          <w:szCs w:val="21"/>
          <w:highlight w:val="none"/>
        </w:rPr>
        <w:t>（3） 索赔事件具有持续影响的，索赔方应每月递交延续索赔通知，说明持续影响的实际情况和记录，列出累计的追加付款金额、延长缺陷责任期和（或）工期延长天数；</w:t>
      </w:r>
    </w:p>
    <w:p w14:paraId="41BC1115">
      <w:pPr>
        <w:ind w:firstLine="600"/>
        <w:rPr>
          <w:rFonts w:hint="eastAsia" w:ascii="宋体" w:hAnsi="宋体" w:cs="宋体"/>
          <w:color w:val="auto"/>
          <w:szCs w:val="21"/>
          <w:highlight w:val="none"/>
        </w:rPr>
      </w:pPr>
      <w:bookmarkStart w:id="2653" w:name="_Ref4796178"/>
      <w:r>
        <w:rPr>
          <w:rFonts w:hint="eastAsia" w:ascii="宋体" w:hAnsi="宋体" w:cs="宋体"/>
          <w:color w:val="auto"/>
          <w:szCs w:val="21"/>
          <w:highlight w:val="none"/>
        </w:rPr>
        <w:t>（4） 在索赔事件影响结束后28天内，索赔方应向对方递交最终索赔报告，说明最终要求索赔的追加付款金额、延长缺陷责任期和（或）延长的工期，并附必要的记录和证明材料。</w:t>
      </w:r>
      <w:bookmarkEnd w:id="2653"/>
    </w:p>
    <w:p w14:paraId="3ABE6702">
      <w:pPr>
        <w:ind w:firstLine="600"/>
        <w:rPr>
          <w:rFonts w:hint="eastAsia" w:ascii="宋体" w:hAnsi="宋体" w:cs="宋体"/>
          <w:color w:val="auto"/>
          <w:szCs w:val="21"/>
          <w:highlight w:val="none"/>
        </w:rPr>
      </w:pPr>
      <w:r>
        <w:rPr>
          <w:rFonts w:hint="eastAsia" w:ascii="宋体" w:hAnsi="宋体" w:cs="宋体"/>
          <w:color w:val="auto"/>
          <w:szCs w:val="21"/>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14:paraId="54AF6AC3">
      <w:pPr>
        <w:pStyle w:val="87"/>
        <w:widowControl/>
        <w:numPr>
          <w:ilvl w:val="0"/>
          <w:numId w:val="0"/>
        </w:numPr>
        <w:spacing w:after="156"/>
        <w:rPr>
          <w:rFonts w:hint="eastAsia" w:ascii="宋体" w:hAnsi="宋体" w:eastAsia="宋体" w:cs="宋体"/>
          <w:b w:val="0"/>
          <w:bCs/>
          <w:color w:val="auto"/>
          <w:sz w:val="21"/>
          <w:szCs w:val="21"/>
          <w:highlight w:val="none"/>
        </w:rPr>
      </w:pPr>
      <w:bookmarkStart w:id="2654" w:name="_Toc103175796"/>
      <w:bookmarkStart w:id="2655" w:name="_Toc1451"/>
      <w:bookmarkStart w:id="2656" w:name="_Toc23571"/>
      <w:bookmarkStart w:id="2657" w:name="_Ref4796262"/>
      <w:bookmarkStart w:id="2658" w:name="_Toc30507"/>
      <w:bookmarkStart w:id="2659" w:name="_Toc2284"/>
      <w:bookmarkStart w:id="2660" w:name="_Toc16115"/>
      <w:bookmarkStart w:id="2661" w:name="_Toc30098"/>
      <w:bookmarkStart w:id="2662" w:name="_Toc15196"/>
      <w:bookmarkStart w:id="2663" w:name="_Ref4796254"/>
      <w:bookmarkStart w:id="2664" w:name="_Toc9980"/>
      <w:r>
        <w:rPr>
          <w:rFonts w:hint="eastAsia" w:ascii="宋体" w:hAnsi="宋体" w:eastAsia="宋体" w:cs="宋体"/>
          <w:b w:val="0"/>
          <w:bCs/>
          <w:color w:val="auto"/>
          <w:sz w:val="21"/>
          <w:szCs w:val="21"/>
          <w:highlight w:val="none"/>
        </w:rPr>
        <w:t>19.2 承包人索赔的处理程序</w:t>
      </w:r>
      <w:bookmarkEnd w:id="2654"/>
      <w:bookmarkEnd w:id="2655"/>
      <w:bookmarkEnd w:id="2656"/>
      <w:bookmarkEnd w:id="2657"/>
      <w:bookmarkEnd w:id="2658"/>
      <w:bookmarkEnd w:id="2659"/>
      <w:bookmarkEnd w:id="2660"/>
      <w:bookmarkEnd w:id="2661"/>
      <w:bookmarkEnd w:id="2662"/>
      <w:bookmarkEnd w:id="2663"/>
      <w:bookmarkEnd w:id="2664"/>
    </w:p>
    <w:p w14:paraId="645E23E1">
      <w:pPr>
        <w:ind w:firstLine="600"/>
        <w:rPr>
          <w:rFonts w:hint="eastAsia" w:ascii="宋体" w:hAnsi="宋体" w:cs="宋体"/>
          <w:color w:val="auto"/>
          <w:szCs w:val="21"/>
          <w:highlight w:val="none"/>
        </w:rPr>
      </w:pPr>
      <w:r>
        <w:rPr>
          <w:rFonts w:hint="eastAsia" w:ascii="宋体" w:hAnsi="宋体" w:cs="宋体"/>
          <w:color w:val="auto"/>
          <w:szCs w:val="21"/>
          <w:highlight w:val="none"/>
        </w:rPr>
        <w:t>（1） 工程师收到承包人提交的索赔报告后，应及时审查索赔报告的内容、查验承包人的记录和证明材料，必要时工程师可要求承包人提交全部原始记录副本。</w:t>
      </w:r>
    </w:p>
    <w:p w14:paraId="52A37D2C">
      <w:pPr>
        <w:ind w:firstLine="600"/>
        <w:rPr>
          <w:rFonts w:hint="eastAsia" w:ascii="宋体" w:hAnsi="宋体" w:cs="宋体"/>
          <w:color w:val="auto"/>
          <w:szCs w:val="21"/>
          <w:highlight w:val="none"/>
        </w:rPr>
      </w:pPr>
      <w:r>
        <w:rPr>
          <w:rFonts w:hint="eastAsia" w:ascii="宋体" w:hAnsi="宋体" w:cs="宋体"/>
          <w:color w:val="auto"/>
          <w:szCs w:val="21"/>
          <w:highlight w:val="none"/>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502DA229">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承包人接受索赔处理结果的，发包人应在作出索赔处理结果答复后28天内完成支付。承包人不接受索赔处理结果的，按照第20条[争议解决]约定处理。</w:t>
      </w:r>
    </w:p>
    <w:p w14:paraId="2F2635F9">
      <w:pPr>
        <w:pStyle w:val="87"/>
        <w:widowControl/>
        <w:numPr>
          <w:ilvl w:val="0"/>
          <w:numId w:val="0"/>
        </w:numPr>
        <w:spacing w:after="156"/>
        <w:rPr>
          <w:rFonts w:hint="eastAsia" w:ascii="宋体" w:hAnsi="宋体" w:eastAsia="宋体" w:cs="宋体"/>
          <w:b w:val="0"/>
          <w:bCs/>
          <w:color w:val="auto"/>
          <w:sz w:val="21"/>
          <w:szCs w:val="21"/>
          <w:highlight w:val="none"/>
        </w:rPr>
      </w:pPr>
      <w:bookmarkStart w:id="2665" w:name="_Toc10802"/>
      <w:bookmarkStart w:id="2666" w:name="_Toc14711"/>
      <w:bookmarkStart w:id="2667" w:name="_Toc303"/>
      <w:bookmarkStart w:id="2668" w:name="_Toc14386"/>
      <w:bookmarkStart w:id="2669" w:name="_Toc21999"/>
      <w:bookmarkStart w:id="2670" w:name="_Toc31346"/>
      <w:bookmarkStart w:id="2671" w:name="_Toc11440"/>
      <w:bookmarkStart w:id="2672" w:name="_Toc7590"/>
      <w:bookmarkStart w:id="2673" w:name="_Toc103175797"/>
      <w:r>
        <w:rPr>
          <w:rFonts w:hint="eastAsia" w:ascii="宋体" w:hAnsi="宋体" w:eastAsia="宋体" w:cs="宋体"/>
          <w:b w:val="0"/>
          <w:bCs/>
          <w:color w:val="auto"/>
          <w:sz w:val="21"/>
          <w:szCs w:val="21"/>
          <w:highlight w:val="none"/>
        </w:rPr>
        <w:t>19.3 发包人索赔的处理程序</w:t>
      </w:r>
      <w:bookmarkEnd w:id="2665"/>
      <w:bookmarkEnd w:id="2666"/>
      <w:bookmarkEnd w:id="2667"/>
      <w:bookmarkEnd w:id="2668"/>
      <w:bookmarkEnd w:id="2669"/>
      <w:bookmarkEnd w:id="2670"/>
      <w:bookmarkEnd w:id="2671"/>
      <w:bookmarkEnd w:id="2672"/>
      <w:bookmarkEnd w:id="2673"/>
    </w:p>
    <w:p w14:paraId="6FE019E1">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承包人收到发包人提交的索赔报告后，应及时审查索赔报告的内容、查验发包人证明材料；</w:t>
      </w:r>
    </w:p>
    <w:p w14:paraId="755A4506">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14:paraId="3607C9D8">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发包人接受索赔处理结果的，发包人可从应支付给承包人的合同价款中扣除赔付的金额或延长缺陷责任期；发包人不接受索赔处理结果的，按第20条[争议解决]约定处理。</w:t>
      </w:r>
    </w:p>
    <w:p w14:paraId="22046DDE">
      <w:pPr>
        <w:pStyle w:val="87"/>
        <w:widowControl/>
        <w:numPr>
          <w:ilvl w:val="0"/>
          <w:numId w:val="0"/>
        </w:numPr>
        <w:spacing w:after="156"/>
        <w:rPr>
          <w:rFonts w:hint="eastAsia" w:ascii="宋体" w:hAnsi="宋体" w:eastAsia="宋体" w:cs="宋体"/>
          <w:b w:val="0"/>
          <w:bCs/>
          <w:color w:val="auto"/>
          <w:sz w:val="21"/>
          <w:szCs w:val="21"/>
          <w:highlight w:val="none"/>
        </w:rPr>
      </w:pPr>
      <w:bookmarkStart w:id="2674" w:name="_Toc16492"/>
      <w:bookmarkStart w:id="2675" w:name="_Toc5184"/>
      <w:bookmarkStart w:id="2676" w:name="_Toc23374"/>
      <w:bookmarkStart w:id="2677" w:name="_Toc461"/>
      <w:bookmarkStart w:id="2678" w:name="_Toc22809"/>
      <w:bookmarkStart w:id="2679" w:name="_Toc28642"/>
      <w:bookmarkStart w:id="2680" w:name="_Toc3788"/>
      <w:bookmarkStart w:id="2681" w:name="_Toc11355"/>
      <w:bookmarkStart w:id="2682" w:name="_Toc103175798"/>
      <w:r>
        <w:rPr>
          <w:rFonts w:hint="eastAsia" w:ascii="宋体" w:hAnsi="宋体" w:eastAsia="宋体" w:cs="宋体"/>
          <w:b w:val="0"/>
          <w:bCs/>
          <w:color w:val="auto"/>
          <w:sz w:val="21"/>
          <w:szCs w:val="21"/>
          <w:highlight w:val="none"/>
        </w:rPr>
        <w:t>19.4 提出索赔的期限</w:t>
      </w:r>
      <w:bookmarkEnd w:id="2674"/>
      <w:bookmarkEnd w:id="2675"/>
      <w:bookmarkEnd w:id="2676"/>
      <w:bookmarkEnd w:id="2677"/>
      <w:bookmarkEnd w:id="2678"/>
      <w:bookmarkEnd w:id="2679"/>
      <w:bookmarkEnd w:id="2680"/>
      <w:bookmarkEnd w:id="2681"/>
      <w:bookmarkEnd w:id="2682"/>
    </w:p>
    <w:p w14:paraId="5F2068F7">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承包人按第14.5款[竣工结算</w:t>
      </w:r>
      <w:bookmarkStart w:id="2683" w:name="_Ref3826629"/>
      <w:bookmarkStart w:id="2684" w:name="_Ref3826634"/>
      <w:r>
        <w:rPr>
          <w:rFonts w:hint="eastAsia" w:ascii="宋体" w:hAnsi="宋体" w:cs="宋体"/>
          <w:color w:val="auto"/>
          <w:szCs w:val="21"/>
          <w:highlight w:val="none"/>
        </w:rPr>
        <w:t>]约定接收竣工付款证书后，应被认为已无权再提出在合同工程接收证书颁发前所发生的任何索赔。</w:t>
      </w:r>
    </w:p>
    <w:p w14:paraId="5CA49BFF">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承包人按第14.7款[最终结清]提交的最终结清申请单中，只限于提出工程接收证书颁发后发生的索赔。提出索赔的期限均自接受最终结清证书时终止。</w:t>
      </w:r>
      <w:bookmarkEnd w:id="2683"/>
      <w:bookmarkEnd w:id="2684"/>
    </w:p>
    <w:p w14:paraId="539475F7">
      <w:pPr>
        <w:pStyle w:val="86"/>
        <w:numPr>
          <w:ilvl w:val="0"/>
          <w:numId w:val="0"/>
        </w:numPr>
        <w:rPr>
          <w:rFonts w:hint="eastAsia" w:ascii="宋体" w:hAnsi="宋体" w:eastAsia="宋体" w:cs="宋体"/>
          <w:b w:val="0"/>
          <w:color w:val="auto"/>
          <w:sz w:val="21"/>
          <w:szCs w:val="21"/>
          <w:highlight w:val="none"/>
        </w:rPr>
      </w:pPr>
      <w:bookmarkStart w:id="2685" w:name="_Toc23769"/>
      <w:bookmarkStart w:id="2686" w:name="_Toc14055"/>
      <w:bookmarkStart w:id="2687" w:name="_Toc20673"/>
      <w:bookmarkStart w:id="2688" w:name="_Toc103175799"/>
      <w:bookmarkStart w:id="2689" w:name="_Toc28100"/>
      <w:bookmarkStart w:id="2690" w:name="_Ref532197861"/>
      <w:bookmarkStart w:id="2691" w:name="_Toc18265"/>
      <w:bookmarkStart w:id="2692" w:name="_Toc16599"/>
      <w:bookmarkStart w:id="2693" w:name="_Toc25536"/>
      <w:bookmarkStart w:id="2694" w:name="_Toc30620"/>
      <w:bookmarkStart w:id="2695" w:name="_Toc20719"/>
      <w:bookmarkStart w:id="2696" w:name="_Ref532142075"/>
      <w:bookmarkStart w:id="2697" w:name="_Toc31793"/>
      <w:r>
        <w:rPr>
          <w:rFonts w:hint="eastAsia" w:ascii="宋体" w:hAnsi="宋体" w:eastAsia="宋体" w:cs="宋体"/>
          <w:b w:val="0"/>
          <w:color w:val="auto"/>
          <w:sz w:val="21"/>
          <w:szCs w:val="21"/>
          <w:highlight w:val="none"/>
        </w:rPr>
        <w:t>第20条 争议解决</w:t>
      </w:r>
      <w:bookmarkEnd w:id="2685"/>
      <w:bookmarkEnd w:id="2686"/>
      <w:bookmarkEnd w:id="2687"/>
      <w:bookmarkEnd w:id="2688"/>
      <w:bookmarkEnd w:id="2689"/>
      <w:bookmarkEnd w:id="2690"/>
      <w:bookmarkEnd w:id="2691"/>
      <w:bookmarkEnd w:id="2692"/>
      <w:bookmarkEnd w:id="2693"/>
      <w:bookmarkEnd w:id="2694"/>
      <w:bookmarkEnd w:id="2695"/>
      <w:bookmarkEnd w:id="2696"/>
      <w:bookmarkEnd w:id="2697"/>
      <w:r>
        <w:rPr>
          <w:rFonts w:hint="eastAsia" w:ascii="宋体" w:hAnsi="宋体" w:eastAsia="宋体" w:cs="宋体"/>
          <w:b w:val="0"/>
          <w:color w:val="auto"/>
          <w:sz w:val="21"/>
          <w:szCs w:val="21"/>
          <w:highlight w:val="none"/>
        </w:rPr>
        <w:t xml:space="preserve"> </w:t>
      </w:r>
    </w:p>
    <w:p w14:paraId="778A9F40">
      <w:pPr>
        <w:pStyle w:val="87"/>
        <w:widowControl/>
        <w:numPr>
          <w:ilvl w:val="0"/>
          <w:numId w:val="0"/>
        </w:numPr>
        <w:spacing w:after="156"/>
        <w:rPr>
          <w:rFonts w:hint="eastAsia" w:ascii="宋体" w:hAnsi="宋体" w:eastAsia="宋体" w:cs="宋体"/>
          <w:b w:val="0"/>
          <w:bCs/>
          <w:color w:val="auto"/>
          <w:sz w:val="21"/>
          <w:szCs w:val="21"/>
          <w:highlight w:val="none"/>
        </w:rPr>
      </w:pPr>
      <w:bookmarkStart w:id="2698" w:name="_Ref415507198"/>
      <w:bookmarkStart w:id="2699" w:name="_Toc12449"/>
      <w:bookmarkStart w:id="2700" w:name="_Toc103175800"/>
      <w:bookmarkStart w:id="2701" w:name="_Toc11242"/>
      <w:bookmarkStart w:id="2702" w:name="_Toc31611"/>
      <w:bookmarkStart w:id="2703" w:name="_Toc24067"/>
      <w:bookmarkStart w:id="2704" w:name="_Toc5637"/>
      <w:bookmarkStart w:id="2705" w:name="_Toc27026"/>
      <w:bookmarkStart w:id="2706" w:name="_Toc7093"/>
      <w:r>
        <w:rPr>
          <w:rFonts w:hint="eastAsia" w:ascii="宋体" w:hAnsi="宋体" w:eastAsia="宋体" w:cs="宋体"/>
          <w:b w:val="0"/>
          <w:bCs/>
          <w:color w:val="auto"/>
          <w:sz w:val="21"/>
          <w:szCs w:val="21"/>
          <w:highlight w:val="none"/>
        </w:rPr>
        <w:t>20.1 和解</w:t>
      </w:r>
      <w:bookmarkEnd w:id="2698"/>
      <w:bookmarkEnd w:id="2699"/>
      <w:bookmarkEnd w:id="2700"/>
      <w:bookmarkEnd w:id="2701"/>
      <w:bookmarkEnd w:id="2702"/>
      <w:bookmarkEnd w:id="2703"/>
      <w:bookmarkEnd w:id="2704"/>
      <w:bookmarkEnd w:id="2705"/>
      <w:bookmarkEnd w:id="2706"/>
    </w:p>
    <w:p w14:paraId="41037795">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合同当事人可以就争议自行和解，自行和解达成协议的经双方签字并盖章后作为合同补充文件，双方均应遵照执行。</w:t>
      </w:r>
    </w:p>
    <w:p w14:paraId="74366674">
      <w:pPr>
        <w:pStyle w:val="87"/>
        <w:widowControl/>
        <w:numPr>
          <w:ilvl w:val="0"/>
          <w:numId w:val="0"/>
        </w:numPr>
        <w:spacing w:after="156"/>
        <w:rPr>
          <w:rFonts w:hint="eastAsia" w:ascii="宋体" w:hAnsi="宋体" w:eastAsia="宋体" w:cs="宋体"/>
          <w:b w:val="0"/>
          <w:bCs/>
          <w:color w:val="auto"/>
          <w:sz w:val="21"/>
          <w:szCs w:val="21"/>
          <w:highlight w:val="none"/>
        </w:rPr>
      </w:pPr>
      <w:bookmarkStart w:id="2707" w:name="_Toc12027"/>
      <w:bookmarkStart w:id="2708" w:name="_Toc29171"/>
      <w:bookmarkStart w:id="2709" w:name="_Toc26572"/>
      <w:bookmarkStart w:id="2710" w:name="_Toc19518"/>
      <w:bookmarkStart w:id="2711" w:name="_Toc4976"/>
      <w:bookmarkStart w:id="2712" w:name="_Toc27700"/>
      <w:bookmarkStart w:id="2713" w:name="_Toc5542"/>
      <w:bookmarkStart w:id="2714" w:name="_Toc103175801"/>
      <w:bookmarkStart w:id="2715" w:name="_Toc19055"/>
      <w:r>
        <w:rPr>
          <w:rFonts w:hint="eastAsia" w:ascii="宋体" w:hAnsi="宋体" w:eastAsia="宋体" w:cs="宋体"/>
          <w:b w:val="0"/>
          <w:bCs/>
          <w:color w:val="auto"/>
          <w:sz w:val="21"/>
          <w:szCs w:val="21"/>
          <w:highlight w:val="none"/>
        </w:rPr>
        <w:t>20.2 调解</w:t>
      </w:r>
      <w:bookmarkEnd w:id="2707"/>
      <w:bookmarkEnd w:id="2708"/>
      <w:bookmarkEnd w:id="2709"/>
      <w:bookmarkEnd w:id="2710"/>
      <w:bookmarkEnd w:id="2711"/>
      <w:bookmarkEnd w:id="2712"/>
      <w:bookmarkEnd w:id="2713"/>
      <w:bookmarkEnd w:id="2714"/>
      <w:bookmarkEnd w:id="2715"/>
      <w:r>
        <w:rPr>
          <w:rFonts w:hint="eastAsia" w:ascii="宋体" w:hAnsi="宋体" w:eastAsia="宋体" w:cs="宋体"/>
          <w:b w:val="0"/>
          <w:bCs/>
          <w:color w:val="auto"/>
          <w:sz w:val="21"/>
          <w:szCs w:val="21"/>
          <w:highlight w:val="none"/>
        </w:rPr>
        <w:t xml:space="preserve"> </w:t>
      </w:r>
    </w:p>
    <w:p w14:paraId="433B4645">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合同当事人可以就争议请求建设行政主管部门、行业协会或其他第三方进行调解，调解达成协议的，经双方签字盖章后作为合同补充文件，双方均应遵照执行。</w:t>
      </w:r>
    </w:p>
    <w:p w14:paraId="507E84FD">
      <w:pPr>
        <w:pStyle w:val="87"/>
        <w:widowControl/>
        <w:numPr>
          <w:ilvl w:val="0"/>
          <w:numId w:val="0"/>
        </w:numPr>
        <w:spacing w:after="156"/>
        <w:rPr>
          <w:rFonts w:hint="eastAsia" w:ascii="宋体" w:hAnsi="宋体" w:eastAsia="宋体" w:cs="宋体"/>
          <w:b w:val="0"/>
          <w:bCs/>
          <w:color w:val="auto"/>
          <w:sz w:val="21"/>
          <w:szCs w:val="21"/>
          <w:highlight w:val="none"/>
        </w:rPr>
      </w:pPr>
      <w:bookmarkStart w:id="2716" w:name="_Ref532221532"/>
      <w:bookmarkStart w:id="2717" w:name="_Toc2421"/>
      <w:bookmarkStart w:id="2718" w:name="_Toc8022"/>
      <w:bookmarkStart w:id="2719" w:name="_Toc27895"/>
      <w:bookmarkStart w:id="2720" w:name="_Toc103175802"/>
      <w:bookmarkStart w:id="2721" w:name="_Toc10178"/>
      <w:bookmarkStart w:id="2722" w:name="_Toc9842"/>
      <w:bookmarkStart w:id="2723" w:name="_Ref532221527"/>
      <w:bookmarkStart w:id="2724" w:name="_Toc24880"/>
      <w:bookmarkStart w:id="2725" w:name="_Toc8584"/>
      <w:bookmarkStart w:id="2726" w:name="_Toc26188"/>
      <w:r>
        <w:rPr>
          <w:rFonts w:hint="eastAsia" w:ascii="宋体" w:hAnsi="宋体" w:eastAsia="宋体" w:cs="宋体"/>
          <w:b w:val="0"/>
          <w:bCs/>
          <w:color w:val="auto"/>
          <w:sz w:val="21"/>
          <w:szCs w:val="21"/>
          <w:highlight w:val="none"/>
        </w:rPr>
        <w:t>20.3 争议评审</w:t>
      </w:r>
      <w:bookmarkEnd w:id="2716"/>
      <w:bookmarkEnd w:id="2717"/>
      <w:bookmarkEnd w:id="2718"/>
      <w:bookmarkEnd w:id="2719"/>
      <w:bookmarkEnd w:id="2720"/>
      <w:bookmarkEnd w:id="2721"/>
      <w:bookmarkEnd w:id="2722"/>
      <w:bookmarkEnd w:id="2723"/>
      <w:bookmarkEnd w:id="2724"/>
      <w:bookmarkEnd w:id="2725"/>
      <w:bookmarkEnd w:id="2726"/>
    </w:p>
    <w:p w14:paraId="68932275">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合同当事人在专用合同条件中约定采取争议评审方式及评审规则解决争议的，按下列约定执行：</w:t>
      </w:r>
    </w:p>
    <w:p w14:paraId="00E9164F">
      <w:pPr>
        <w:pStyle w:val="88"/>
        <w:numPr>
          <w:ilvl w:val="0"/>
          <w:numId w:val="0"/>
        </w:numPr>
        <w:spacing w:after="156"/>
        <w:rPr>
          <w:rFonts w:hint="eastAsia" w:cs="宋体"/>
          <w:color w:val="auto"/>
          <w:sz w:val="21"/>
          <w:highlight w:val="none"/>
        </w:rPr>
      </w:pPr>
      <w:r>
        <w:rPr>
          <w:rFonts w:hint="eastAsia" w:cs="宋体"/>
          <w:color w:val="auto"/>
          <w:sz w:val="21"/>
          <w:highlight w:val="none"/>
        </w:rPr>
        <w:t>20.3.1 争议评审小组的确定</w:t>
      </w:r>
    </w:p>
    <w:p w14:paraId="51BCA667">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1FAAB0F6">
      <w:pPr>
        <w:ind w:firstLine="600"/>
        <w:rPr>
          <w:rFonts w:hint="eastAsia" w:ascii="宋体" w:hAnsi="宋体" w:cs="宋体"/>
          <w:color w:val="auto"/>
          <w:szCs w:val="21"/>
          <w:highlight w:val="none"/>
        </w:rPr>
      </w:pPr>
      <w:r>
        <w:rPr>
          <w:rFonts w:hint="eastAsia" w:ascii="宋体" w:hAnsi="宋体" w:cs="宋体"/>
          <w:color w:val="auto"/>
          <w:szCs w:val="21"/>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057CBD24">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除专用合同条件另有约定外，争议评审员报酬由发包人和承包人各承担一半。</w:t>
      </w:r>
    </w:p>
    <w:p w14:paraId="20AC76DC">
      <w:pPr>
        <w:pStyle w:val="88"/>
        <w:numPr>
          <w:ilvl w:val="0"/>
          <w:numId w:val="0"/>
        </w:numPr>
        <w:spacing w:after="156"/>
        <w:rPr>
          <w:rFonts w:hint="eastAsia" w:cs="宋体"/>
          <w:color w:val="auto"/>
          <w:sz w:val="21"/>
          <w:highlight w:val="none"/>
        </w:rPr>
      </w:pPr>
      <w:bookmarkStart w:id="2727" w:name="_Ref532287270"/>
      <w:r>
        <w:rPr>
          <w:rFonts w:hint="eastAsia" w:cs="宋体"/>
          <w:color w:val="auto"/>
          <w:sz w:val="21"/>
          <w:highlight w:val="none"/>
        </w:rPr>
        <w:t>20.3.2 争议的避免</w:t>
      </w:r>
      <w:bookmarkEnd w:id="2727"/>
    </w:p>
    <w:p w14:paraId="421F0231">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合同当事人协商一致，可以共同书面请求争议评审小组，就合同履行过程中可能出现争议的情况提供协助或进行非正式讨论，争议评审小组应给出公正的意见或建议。</w:t>
      </w:r>
    </w:p>
    <w:p w14:paraId="7BACA9C1">
      <w:pPr>
        <w:ind w:firstLine="600"/>
        <w:rPr>
          <w:rFonts w:hint="eastAsia" w:ascii="宋体" w:hAnsi="宋体" w:cs="宋体"/>
          <w:color w:val="auto"/>
          <w:szCs w:val="21"/>
          <w:highlight w:val="none"/>
        </w:rPr>
      </w:pPr>
      <w:r>
        <w:rPr>
          <w:rFonts w:hint="eastAsia" w:ascii="宋体" w:hAnsi="宋体" w:cs="宋体"/>
          <w:color w:val="auto"/>
          <w:szCs w:val="21"/>
          <w:highlight w:val="none"/>
        </w:rPr>
        <w:t>此类协助或非正式讨论可在任何会议、施工现场视察或其他场合进行，并且除专用合同条件另有约定外，发包人和承包人均应出席。</w:t>
      </w:r>
    </w:p>
    <w:p w14:paraId="03AB4135">
      <w:pPr>
        <w:ind w:firstLine="600"/>
        <w:rPr>
          <w:rFonts w:hint="eastAsia" w:ascii="宋体" w:hAnsi="宋体" w:cs="宋体"/>
          <w:color w:val="auto"/>
          <w:szCs w:val="21"/>
          <w:highlight w:val="none"/>
        </w:rPr>
      </w:pPr>
      <w:r>
        <w:rPr>
          <w:rFonts w:hint="eastAsia" w:ascii="宋体" w:hAnsi="宋体" w:cs="宋体"/>
          <w:color w:val="auto"/>
          <w:szCs w:val="21"/>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14:paraId="12B048DD">
      <w:pPr>
        <w:pStyle w:val="88"/>
        <w:numPr>
          <w:ilvl w:val="0"/>
          <w:numId w:val="0"/>
        </w:numPr>
        <w:spacing w:after="156"/>
        <w:rPr>
          <w:rFonts w:hint="eastAsia" w:cs="宋体"/>
          <w:color w:val="auto"/>
          <w:sz w:val="21"/>
          <w:highlight w:val="none"/>
        </w:rPr>
      </w:pPr>
      <w:bookmarkStart w:id="2728" w:name="_Ref4695594"/>
      <w:r>
        <w:rPr>
          <w:rFonts w:hint="eastAsia" w:cs="宋体"/>
          <w:color w:val="auto"/>
          <w:sz w:val="21"/>
          <w:highlight w:val="none"/>
        </w:rPr>
        <w:t>20.3.3 争议评审小组的决定</w:t>
      </w:r>
      <w:bookmarkEnd w:id="2728"/>
    </w:p>
    <w:p w14:paraId="51A3D47C">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49124855">
      <w:pPr>
        <w:pStyle w:val="88"/>
        <w:numPr>
          <w:ilvl w:val="0"/>
          <w:numId w:val="0"/>
        </w:numPr>
        <w:spacing w:after="156"/>
        <w:rPr>
          <w:rFonts w:hint="eastAsia" w:cs="宋体"/>
          <w:color w:val="auto"/>
          <w:sz w:val="21"/>
          <w:highlight w:val="none"/>
        </w:rPr>
      </w:pPr>
      <w:r>
        <w:rPr>
          <w:rFonts w:hint="eastAsia" w:cs="宋体"/>
          <w:color w:val="auto"/>
          <w:sz w:val="21"/>
          <w:highlight w:val="none"/>
        </w:rPr>
        <w:t>20.3.4 争议评审小组决定的效力</w:t>
      </w:r>
    </w:p>
    <w:p w14:paraId="3753C2D7">
      <w:pPr>
        <w:ind w:firstLine="600"/>
        <w:rPr>
          <w:rFonts w:hint="eastAsia" w:ascii="宋体" w:hAnsi="宋体" w:cs="宋体"/>
          <w:color w:val="auto"/>
          <w:szCs w:val="21"/>
          <w:highlight w:val="none"/>
        </w:rPr>
      </w:pPr>
      <w:r>
        <w:rPr>
          <w:rFonts w:hint="eastAsia" w:ascii="宋体" w:hAnsi="宋体" w:cs="宋体"/>
          <w:color w:val="auto"/>
          <w:szCs w:val="21"/>
          <w:highlight w:val="none"/>
        </w:rPr>
        <w:t>争议评审小组作出的书面决定经合同当事人签字确认后，对双方具有约束力，双方应遵照执行。</w:t>
      </w:r>
    </w:p>
    <w:p w14:paraId="48AF167A">
      <w:pPr>
        <w:ind w:firstLine="600"/>
        <w:rPr>
          <w:rFonts w:hint="eastAsia" w:ascii="宋体" w:hAnsi="宋体" w:cs="宋体"/>
          <w:color w:val="auto"/>
          <w:szCs w:val="21"/>
          <w:highlight w:val="none"/>
        </w:rPr>
      </w:pPr>
      <w:r>
        <w:rPr>
          <w:rFonts w:hint="eastAsia" w:ascii="宋体" w:hAnsi="宋体" w:cs="宋体"/>
          <w:color w:val="auto"/>
          <w:szCs w:val="21"/>
          <w:highlight w:val="none"/>
        </w:rPr>
        <w:t>任何一方当事人不接受争议评审小组决定或不履行争议评审小组决定的，双方可选择采用其他争议解决方式。</w:t>
      </w:r>
    </w:p>
    <w:p w14:paraId="59212596">
      <w:pPr>
        <w:ind w:firstLine="600"/>
        <w:rPr>
          <w:rFonts w:hint="eastAsia" w:ascii="宋体" w:hAnsi="宋体" w:cs="宋体"/>
          <w:color w:val="auto"/>
          <w:szCs w:val="21"/>
          <w:highlight w:val="none"/>
        </w:rPr>
      </w:pPr>
      <w:r>
        <w:rPr>
          <w:rFonts w:hint="eastAsia" w:ascii="宋体" w:hAnsi="宋体" w:cs="宋体"/>
          <w:color w:val="auto"/>
          <w:szCs w:val="21"/>
          <w:highlight w:val="none"/>
        </w:rPr>
        <w:t>任何一方当事人不接受争议评审小组的决定，并不影响暂时执行争议评审小组的决定，直到在后续的采用其他争议解决方式中对争议评审小组的决定进行了改变。</w:t>
      </w:r>
    </w:p>
    <w:p w14:paraId="288E2C37">
      <w:pPr>
        <w:pStyle w:val="87"/>
        <w:widowControl/>
        <w:numPr>
          <w:ilvl w:val="0"/>
          <w:numId w:val="0"/>
        </w:numPr>
        <w:spacing w:after="156"/>
        <w:rPr>
          <w:rFonts w:hint="eastAsia" w:ascii="宋体" w:hAnsi="宋体" w:eastAsia="宋体" w:cs="宋体"/>
          <w:b w:val="0"/>
          <w:bCs/>
          <w:color w:val="auto"/>
          <w:sz w:val="21"/>
          <w:szCs w:val="21"/>
          <w:highlight w:val="none"/>
        </w:rPr>
      </w:pPr>
      <w:bookmarkStart w:id="2729" w:name="_Ref532221752"/>
      <w:bookmarkStart w:id="2730" w:name="_Toc4648"/>
      <w:bookmarkStart w:id="2731" w:name="_Toc24184"/>
      <w:bookmarkStart w:id="2732" w:name="_Toc27811"/>
      <w:bookmarkStart w:id="2733" w:name="_Toc7434"/>
      <w:bookmarkStart w:id="2734" w:name="_Toc14935"/>
      <w:bookmarkStart w:id="2735" w:name="_Ref532221748"/>
      <w:bookmarkStart w:id="2736" w:name="_Toc10245"/>
      <w:bookmarkStart w:id="2737" w:name="_Toc31102"/>
      <w:bookmarkStart w:id="2738" w:name="_Toc103175803"/>
      <w:bookmarkStart w:id="2739" w:name="_Toc32047"/>
      <w:r>
        <w:rPr>
          <w:rFonts w:hint="eastAsia" w:ascii="宋体" w:hAnsi="宋体" w:eastAsia="宋体" w:cs="宋体"/>
          <w:b w:val="0"/>
          <w:bCs/>
          <w:color w:val="auto"/>
          <w:sz w:val="21"/>
          <w:szCs w:val="21"/>
          <w:highlight w:val="none"/>
        </w:rPr>
        <w:t>20.4 仲裁或诉讼</w:t>
      </w:r>
      <w:bookmarkEnd w:id="2729"/>
      <w:bookmarkEnd w:id="2730"/>
      <w:bookmarkEnd w:id="2731"/>
      <w:bookmarkEnd w:id="2732"/>
      <w:bookmarkEnd w:id="2733"/>
      <w:bookmarkEnd w:id="2734"/>
      <w:bookmarkEnd w:id="2735"/>
      <w:bookmarkEnd w:id="2736"/>
      <w:bookmarkEnd w:id="2737"/>
      <w:bookmarkEnd w:id="2738"/>
      <w:bookmarkEnd w:id="2739"/>
    </w:p>
    <w:p w14:paraId="2DB7E6DE">
      <w:pPr>
        <w:ind w:firstLine="600"/>
        <w:rPr>
          <w:rFonts w:hint="eastAsia" w:ascii="宋体" w:hAnsi="宋体" w:cs="宋体"/>
          <w:color w:val="auto"/>
          <w:szCs w:val="21"/>
          <w:highlight w:val="none"/>
        </w:rPr>
      </w:pPr>
      <w:r>
        <w:rPr>
          <w:rFonts w:hint="eastAsia" w:ascii="宋体" w:hAnsi="宋体" w:cs="宋体"/>
          <w:color w:val="auto"/>
          <w:szCs w:val="21"/>
          <w:highlight w:val="none"/>
        </w:rPr>
        <w:t>因合同及合同有关事项产生的争议，合同当事人可以在专用合同条件中约定以下一种方式解决争议：</w:t>
      </w:r>
    </w:p>
    <w:p w14:paraId="2D28497F">
      <w:pPr>
        <w:pStyle w:val="90"/>
        <w:numPr>
          <w:ilvl w:val="0"/>
          <w:numId w:val="0"/>
        </w:numPr>
        <w:ind w:left="841"/>
        <w:rPr>
          <w:rFonts w:hint="eastAsia" w:ascii="宋体" w:hAnsi="宋体" w:cs="宋体"/>
          <w:color w:val="auto"/>
          <w:szCs w:val="21"/>
          <w:highlight w:val="none"/>
        </w:rPr>
      </w:pPr>
      <w:r>
        <w:rPr>
          <w:rFonts w:hint="eastAsia" w:ascii="宋体" w:hAnsi="宋体" w:cs="宋体"/>
          <w:color w:val="auto"/>
          <w:szCs w:val="21"/>
          <w:highlight w:val="none"/>
        </w:rPr>
        <w:t>（1） 向约定的仲裁委员会申请仲裁；</w:t>
      </w:r>
    </w:p>
    <w:p w14:paraId="2CA6CFBE">
      <w:pPr>
        <w:pStyle w:val="90"/>
        <w:numPr>
          <w:ilvl w:val="0"/>
          <w:numId w:val="0"/>
        </w:numPr>
        <w:ind w:left="841"/>
        <w:rPr>
          <w:rFonts w:hint="eastAsia" w:ascii="宋体" w:hAnsi="宋体" w:cs="宋体"/>
          <w:color w:val="auto"/>
          <w:szCs w:val="21"/>
          <w:highlight w:val="none"/>
        </w:rPr>
      </w:pPr>
      <w:r>
        <w:rPr>
          <w:rFonts w:hint="eastAsia" w:ascii="宋体" w:hAnsi="宋体" w:cs="宋体"/>
          <w:color w:val="auto"/>
          <w:szCs w:val="21"/>
          <w:highlight w:val="none"/>
        </w:rPr>
        <w:t>（2） 向有管辖权的人民法院起诉。</w:t>
      </w:r>
    </w:p>
    <w:p w14:paraId="67EA7B20">
      <w:pPr>
        <w:pStyle w:val="87"/>
        <w:widowControl/>
        <w:numPr>
          <w:ilvl w:val="0"/>
          <w:numId w:val="0"/>
        </w:numPr>
        <w:spacing w:after="156"/>
        <w:rPr>
          <w:rFonts w:hint="eastAsia" w:ascii="宋体" w:hAnsi="宋体" w:eastAsia="宋体" w:cs="宋体"/>
          <w:b w:val="0"/>
          <w:bCs/>
          <w:color w:val="auto"/>
          <w:sz w:val="21"/>
          <w:szCs w:val="21"/>
          <w:highlight w:val="none"/>
        </w:rPr>
      </w:pPr>
      <w:bookmarkStart w:id="2740" w:name="_Toc18812"/>
      <w:bookmarkStart w:id="2741" w:name="_Toc103175804"/>
      <w:bookmarkStart w:id="2742" w:name="_Toc16977"/>
      <w:bookmarkStart w:id="2743" w:name="_Toc17941"/>
      <w:bookmarkStart w:id="2744" w:name="_Toc6760"/>
      <w:bookmarkStart w:id="2745" w:name="_Toc28539"/>
      <w:bookmarkStart w:id="2746" w:name="_Toc31120"/>
      <w:bookmarkStart w:id="2747" w:name="_Toc7313"/>
      <w:bookmarkStart w:id="2748" w:name="_Toc25970"/>
      <w:r>
        <w:rPr>
          <w:rFonts w:hint="eastAsia" w:ascii="宋体" w:hAnsi="宋体" w:eastAsia="宋体" w:cs="宋体"/>
          <w:b w:val="0"/>
          <w:bCs/>
          <w:color w:val="auto"/>
          <w:sz w:val="21"/>
          <w:szCs w:val="21"/>
          <w:highlight w:val="none"/>
        </w:rPr>
        <w:t>20.5 争议解决条款效力</w:t>
      </w:r>
      <w:bookmarkEnd w:id="2740"/>
      <w:bookmarkEnd w:id="2741"/>
      <w:bookmarkEnd w:id="2742"/>
      <w:bookmarkEnd w:id="2743"/>
      <w:bookmarkEnd w:id="2744"/>
      <w:bookmarkEnd w:id="2745"/>
      <w:bookmarkEnd w:id="2746"/>
      <w:bookmarkEnd w:id="2747"/>
      <w:bookmarkEnd w:id="2748"/>
    </w:p>
    <w:p w14:paraId="14F43309">
      <w:pPr>
        <w:ind w:firstLine="600"/>
        <w:rPr>
          <w:rFonts w:hint="eastAsia" w:ascii="宋体" w:hAnsi="宋体" w:cs="宋体"/>
          <w:color w:val="auto"/>
          <w:szCs w:val="21"/>
          <w:highlight w:val="none"/>
        </w:rPr>
      </w:pPr>
      <w:r>
        <w:rPr>
          <w:rFonts w:hint="eastAsia" w:ascii="宋体" w:hAnsi="宋体" w:cs="宋体"/>
          <w:color w:val="auto"/>
          <w:szCs w:val="21"/>
          <w:highlight w:val="none"/>
        </w:rPr>
        <w:t>合同有关争议解决的条款独立存在，合同的不生效、无效、被撤销或者终止的，不影响合同中有关争议解决条款的效力。</w:t>
      </w:r>
    </w:p>
    <w:p w14:paraId="0E8E2D31">
      <w:pPr>
        <w:pStyle w:val="3"/>
        <w:adjustRightInd w:val="0"/>
        <w:snapToGrid w:val="0"/>
        <w:spacing w:before="0" w:after="0" w:line="360" w:lineRule="auto"/>
        <w:jc w:val="center"/>
        <w:rPr>
          <w:rFonts w:hint="eastAsia" w:ascii="黑体" w:hAnsi="黑体"/>
          <w:color w:val="auto"/>
          <w:kern w:val="44"/>
          <w:sz w:val="44"/>
          <w:szCs w:val="52"/>
          <w:highlight w:val="none"/>
          <w:lang w:val="zh-CN"/>
        </w:rPr>
      </w:pPr>
      <w:r>
        <w:rPr>
          <w:rFonts w:ascii="Times New Roman" w:hAnsi="Times New Roman"/>
          <w:snapToGrid w:val="0"/>
          <w:color w:val="auto"/>
          <w:kern w:val="0"/>
          <w:szCs w:val="28"/>
          <w:highlight w:val="none"/>
        </w:rPr>
        <w:br w:type="page"/>
      </w:r>
      <w:bookmarkEnd w:id="824"/>
      <w:bookmarkEnd w:id="825"/>
      <w:bookmarkEnd w:id="826"/>
      <w:bookmarkEnd w:id="827"/>
      <w:bookmarkEnd w:id="828"/>
      <w:bookmarkStart w:id="2749" w:name="_Toc4430"/>
      <w:bookmarkStart w:id="2750" w:name="_Toc28367"/>
      <w:bookmarkStart w:id="2751" w:name="_Toc103175805"/>
      <w:bookmarkStart w:id="2752" w:name="_Toc30827"/>
      <w:bookmarkStart w:id="2753" w:name="_Toc10872"/>
      <w:bookmarkStart w:id="2754" w:name="_Toc3402"/>
      <w:bookmarkStart w:id="2755" w:name="_Toc16741"/>
      <w:bookmarkStart w:id="2756" w:name="_Toc14731"/>
      <w:bookmarkStart w:id="2757" w:name="_Toc23116"/>
      <w:bookmarkStart w:id="2758" w:name="_Toc184635123"/>
      <w:bookmarkStart w:id="2759" w:name="_Toc456892182"/>
      <w:bookmarkStart w:id="2760" w:name="_Toc247514198"/>
      <w:bookmarkStart w:id="2761" w:name="_Toc509478052"/>
      <w:bookmarkStart w:id="2762" w:name="_Toc247527799"/>
      <w:r>
        <w:rPr>
          <w:rFonts w:hint="eastAsia" w:ascii="黑体" w:hAnsi="黑体"/>
          <w:color w:val="auto"/>
          <w:kern w:val="44"/>
          <w:sz w:val="44"/>
          <w:szCs w:val="52"/>
          <w:highlight w:val="none"/>
          <w:lang w:val="zh-CN"/>
        </w:rPr>
        <w:t>第三部分  专用合同</w:t>
      </w:r>
      <w:bookmarkEnd w:id="2749"/>
      <w:bookmarkEnd w:id="2750"/>
      <w:bookmarkEnd w:id="2751"/>
      <w:bookmarkEnd w:id="2752"/>
      <w:r>
        <w:rPr>
          <w:rFonts w:hint="eastAsia" w:ascii="黑体" w:hAnsi="黑体"/>
          <w:color w:val="auto"/>
          <w:kern w:val="44"/>
          <w:sz w:val="44"/>
          <w:szCs w:val="52"/>
          <w:highlight w:val="none"/>
          <w:lang w:val="zh-CN"/>
        </w:rPr>
        <w:t>条件</w:t>
      </w:r>
      <w:bookmarkEnd w:id="2753"/>
      <w:bookmarkEnd w:id="2754"/>
      <w:bookmarkEnd w:id="2755"/>
      <w:bookmarkEnd w:id="2756"/>
      <w:bookmarkEnd w:id="2757"/>
    </w:p>
    <w:p w14:paraId="6F1ACA8F">
      <w:pPr>
        <w:pStyle w:val="91"/>
        <w:rPr>
          <w:rFonts w:hint="eastAsia" w:cs="宋体"/>
          <w:b w:val="0"/>
          <w:color w:val="auto"/>
          <w:sz w:val="21"/>
          <w:szCs w:val="21"/>
          <w:highlight w:val="none"/>
        </w:rPr>
      </w:pPr>
      <w:bookmarkStart w:id="2763" w:name="_Toc6934"/>
      <w:bookmarkStart w:id="2764" w:name="_Toc2141"/>
      <w:bookmarkStart w:id="2765" w:name="_Toc28693"/>
      <w:bookmarkStart w:id="2766" w:name="_Toc758"/>
      <w:bookmarkStart w:id="2767" w:name="_Toc6405"/>
      <w:bookmarkStart w:id="2768" w:name="_Toc3837"/>
      <w:bookmarkStart w:id="2769" w:name="_Toc103175806"/>
      <w:bookmarkStart w:id="2770" w:name="_Toc6314"/>
      <w:bookmarkStart w:id="2771" w:name="_Toc23461"/>
      <w:bookmarkStart w:id="2772" w:name="_Toc22037"/>
      <w:bookmarkStart w:id="2773" w:name="_Toc9946"/>
      <w:r>
        <w:rPr>
          <w:rFonts w:hint="eastAsia" w:cs="宋体"/>
          <w:b w:val="0"/>
          <w:color w:val="auto"/>
          <w:sz w:val="21"/>
          <w:szCs w:val="21"/>
          <w:highlight w:val="none"/>
        </w:rPr>
        <w:t>第1条 一般约定</w:t>
      </w:r>
      <w:bookmarkEnd w:id="2763"/>
      <w:bookmarkEnd w:id="2764"/>
      <w:bookmarkEnd w:id="2765"/>
      <w:bookmarkEnd w:id="2766"/>
      <w:bookmarkEnd w:id="2767"/>
      <w:bookmarkEnd w:id="2768"/>
      <w:bookmarkEnd w:id="2769"/>
      <w:bookmarkEnd w:id="2770"/>
      <w:bookmarkEnd w:id="2771"/>
      <w:bookmarkEnd w:id="2772"/>
      <w:bookmarkEnd w:id="2773"/>
    </w:p>
    <w:p w14:paraId="6AB33F56">
      <w:pPr>
        <w:ind w:firstLine="600"/>
        <w:rPr>
          <w:rFonts w:hint="eastAsia" w:ascii="宋体" w:hAnsi="宋体" w:cs="宋体"/>
          <w:color w:val="auto"/>
          <w:szCs w:val="21"/>
          <w:highlight w:val="none"/>
        </w:rPr>
      </w:pPr>
      <w:r>
        <w:rPr>
          <w:rFonts w:hint="eastAsia" w:ascii="宋体" w:hAnsi="宋体" w:cs="宋体"/>
          <w:color w:val="auto"/>
          <w:szCs w:val="21"/>
          <w:highlight w:val="none"/>
        </w:rPr>
        <w:t>1.1 词语定义和解释</w:t>
      </w:r>
    </w:p>
    <w:p w14:paraId="352C21EB">
      <w:pPr>
        <w:ind w:firstLine="600"/>
        <w:rPr>
          <w:rFonts w:hint="eastAsia" w:ascii="宋体" w:hAnsi="宋体" w:cs="宋体"/>
          <w:color w:val="auto"/>
          <w:szCs w:val="21"/>
          <w:highlight w:val="none"/>
        </w:rPr>
      </w:pPr>
      <w:r>
        <w:rPr>
          <w:rFonts w:hint="eastAsia" w:ascii="宋体" w:hAnsi="宋体" w:cs="宋体"/>
          <w:color w:val="auto"/>
          <w:szCs w:val="21"/>
          <w:highlight w:val="none"/>
        </w:rPr>
        <w:t>1.1.1 合同</w:t>
      </w:r>
    </w:p>
    <w:p w14:paraId="1296E889">
      <w:pPr>
        <w:ind w:firstLine="600"/>
        <w:rPr>
          <w:rFonts w:hint="eastAsia" w:ascii="宋体" w:hAnsi="宋体" w:cs="宋体"/>
          <w:color w:val="auto"/>
          <w:szCs w:val="21"/>
          <w:highlight w:val="none"/>
        </w:rPr>
      </w:pPr>
      <w:r>
        <w:rPr>
          <w:rFonts w:hint="eastAsia" w:ascii="宋体" w:hAnsi="宋体" w:cs="宋体"/>
          <w:color w:val="auto"/>
          <w:szCs w:val="21"/>
          <w:highlight w:val="none"/>
        </w:rPr>
        <w:t>1.1.1.10 其他合同文件：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976CB17">
      <w:pPr>
        <w:ind w:firstLine="600"/>
        <w:rPr>
          <w:rFonts w:hint="eastAsia" w:ascii="宋体" w:hAnsi="宋体" w:cs="宋体"/>
          <w:color w:val="auto"/>
          <w:szCs w:val="21"/>
          <w:highlight w:val="none"/>
        </w:rPr>
      </w:pPr>
      <w:r>
        <w:rPr>
          <w:rFonts w:hint="eastAsia" w:ascii="宋体" w:hAnsi="宋体" w:cs="宋体"/>
          <w:color w:val="auto"/>
          <w:szCs w:val="21"/>
          <w:highlight w:val="none"/>
        </w:rPr>
        <w:t>1.1.3 工程和设备</w:t>
      </w:r>
    </w:p>
    <w:p w14:paraId="2550DE8B">
      <w:pPr>
        <w:ind w:firstLine="600"/>
        <w:rPr>
          <w:rFonts w:hint="eastAsia" w:ascii="宋体" w:hAnsi="宋体" w:cs="宋体"/>
          <w:color w:val="auto"/>
          <w:szCs w:val="21"/>
          <w:highlight w:val="none"/>
        </w:rPr>
      </w:pPr>
      <w:r>
        <w:rPr>
          <w:rFonts w:hint="eastAsia" w:ascii="宋体" w:hAnsi="宋体" w:cs="宋体"/>
          <w:color w:val="auto"/>
          <w:szCs w:val="21"/>
          <w:highlight w:val="none"/>
        </w:rPr>
        <w:t>1.1.3.5 单位/区段工程的范围：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包含为满足项目使用功能涉及到的供电、给水排水、燃气、供热等市政条件</w:t>
      </w:r>
      <w:r>
        <w:rPr>
          <w:rFonts w:hint="eastAsia" w:ascii="宋体" w:hAnsi="宋体" w:cs="宋体"/>
          <w:color w:val="auto"/>
          <w:szCs w:val="21"/>
          <w:highlight w:val="none"/>
        </w:rPr>
        <w:t>。</w:t>
      </w:r>
    </w:p>
    <w:p w14:paraId="2F58BC33">
      <w:pPr>
        <w:ind w:firstLine="600"/>
        <w:rPr>
          <w:rFonts w:hint="eastAsia" w:ascii="宋体" w:hAnsi="宋体" w:cs="宋体"/>
          <w:color w:val="auto"/>
          <w:szCs w:val="21"/>
          <w:highlight w:val="none"/>
        </w:rPr>
      </w:pPr>
      <w:r>
        <w:rPr>
          <w:rFonts w:hint="eastAsia" w:ascii="宋体" w:hAnsi="宋体" w:cs="宋体"/>
          <w:color w:val="auto"/>
          <w:szCs w:val="21"/>
          <w:highlight w:val="none"/>
        </w:rPr>
        <w:t>1.1.3.9 作为施工场所组成部分的其他场所包括：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rPr>
        <w:t>。</w:t>
      </w:r>
    </w:p>
    <w:p w14:paraId="2656B25A">
      <w:pPr>
        <w:ind w:firstLine="600"/>
        <w:rPr>
          <w:rFonts w:hint="eastAsia" w:ascii="宋体" w:hAnsi="宋体" w:cs="宋体"/>
          <w:color w:val="auto"/>
          <w:szCs w:val="21"/>
          <w:highlight w:val="none"/>
        </w:rPr>
      </w:pPr>
      <w:r>
        <w:rPr>
          <w:rFonts w:hint="eastAsia" w:ascii="宋体" w:hAnsi="宋体" w:cs="宋体"/>
          <w:color w:val="auto"/>
          <w:szCs w:val="21"/>
          <w:highlight w:val="none"/>
        </w:rPr>
        <w:t>1.1.3.10 永久占地包括：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8BFBB0">
      <w:pPr>
        <w:ind w:firstLine="600"/>
        <w:rPr>
          <w:rFonts w:hint="eastAsia" w:eastAsia="宋体"/>
          <w:snapToGrid w:val="0"/>
          <w:color w:val="auto"/>
          <w:szCs w:val="21"/>
          <w:highlight w:val="none"/>
          <w:u w:val="single"/>
          <w:lang w:eastAsia="zh-CN"/>
        </w:rPr>
      </w:pPr>
      <w:r>
        <w:rPr>
          <w:rFonts w:hint="eastAsia" w:ascii="宋体" w:hAnsi="宋体" w:cs="宋体"/>
          <w:color w:val="auto"/>
          <w:szCs w:val="21"/>
          <w:highlight w:val="none"/>
        </w:rPr>
        <w:t>1.1.3.11 临时占地包括：</w:t>
      </w:r>
      <w:r>
        <w:rPr>
          <w:rFonts w:hint="eastAsia" w:ascii="宋体" w:hAnsi="宋体" w:cs="宋体"/>
          <w:color w:val="auto"/>
          <w:szCs w:val="21"/>
          <w:highlight w:val="none"/>
          <w:u w:val="single"/>
          <w:lang w:eastAsia="zh-CN"/>
        </w:rPr>
        <w:t>院内（红线内）按发包人指定位置和范围</w:t>
      </w:r>
    </w:p>
    <w:p w14:paraId="63708A46">
      <w:pPr>
        <w:ind w:firstLine="600"/>
        <w:rPr>
          <w:rFonts w:hint="eastAsia" w:ascii="宋体" w:hAnsi="宋体" w:cs="宋体"/>
          <w:color w:val="auto"/>
          <w:szCs w:val="21"/>
          <w:highlight w:val="none"/>
        </w:rPr>
      </w:pPr>
      <w:r>
        <w:rPr>
          <w:rFonts w:hint="eastAsia" w:ascii="宋体" w:hAnsi="宋体" w:cs="宋体"/>
          <w:color w:val="auto"/>
          <w:szCs w:val="21"/>
          <w:highlight w:val="none"/>
        </w:rPr>
        <w:t>1.2 语言文字</w:t>
      </w:r>
    </w:p>
    <w:p w14:paraId="5317149B">
      <w:pPr>
        <w:ind w:firstLine="600"/>
        <w:rPr>
          <w:rFonts w:hint="eastAsia" w:ascii="宋体" w:hAnsi="宋体" w:cs="宋体"/>
          <w:color w:val="auto"/>
          <w:szCs w:val="21"/>
          <w:highlight w:val="none"/>
        </w:rPr>
      </w:pPr>
      <w:r>
        <w:rPr>
          <w:rFonts w:hint="eastAsia" w:ascii="宋体" w:hAnsi="宋体" w:cs="宋体"/>
          <w:color w:val="auto"/>
          <w:szCs w:val="21"/>
          <w:highlight w:val="none"/>
        </w:rPr>
        <w:t>本合同除使用汉语外，还使用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语言。</w:t>
      </w:r>
    </w:p>
    <w:p w14:paraId="310A9754">
      <w:pPr>
        <w:ind w:firstLine="600"/>
        <w:rPr>
          <w:rFonts w:hint="eastAsia" w:ascii="宋体" w:hAnsi="宋体" w:cs="宋体"/>
          <w:color w:val="auto"/>
          <w:szCs w:val="21"/>
          <w:highlight w:val="none"/>
        </w:rPr>
      </w:pPr>
      <w:r>
        <w:rPr>
          <w:rFonts w:hint="eastAsia" w:ascii="宋体" w:hAnsi="宋体" w:cs="宋体"/>
          <w:color w:val="auto"/>
          <w:szCs w:val="21"/>
          <w:highlight w:val="none"/>
        </w:rPr>
        <w:t>1.3 法律</w:t>
      </w:r>
    </w:p>
    <w:p w14:paraId="346B7EDA">
      <w:pPr>
        <w:ind w:firstLine="600"/>
        <w:rPr>
          <w:rFonts w:hint="eastAsia"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703E37">
      <w:pPr>
        <w:ind w:firstLine="600"/>
        <w:rPr>
          <w:rFonts w:hint="eastAsia" w:ascii="宋体" w:hAnsi="宋体" w:cs="宋体"/>
          <w:color w:val="auto"/>
          <w:szCs w:val="21"/>
          <w:highlight w:val="none"/>
        </w:rPr>
      </w:pPr>
      <w:r>
        <w:rPr>
          <w:rFonts w:hint="eastAsia" w:ascii="宋体" w:hAnsi="宋体" w:cs="宋体"/>
          <w:color w:val="auto"/>
          <w:szCs w:val="21"/>
          <w:highlight w:val="none"/>
        </w:rPr>
        <w:t>1.4 标准和规范</w:t>
      </w:r>
    </w:p>
    <w:p w14:paraId="5B22FAEF">
      <w:pPr>
        <w:ind w:firstLine="600"/>
        <w:rPr>
          <w:rFonts w:hint="eastAsia" w:ascii="宋体" w:hAnsi="宋体" w:cs="宋体"/>
          <w:color w:val="auto"/>
          <w:szCs w:val="21"/>
          <w:highlight w:val="none"/>
        </w:rPr>
      </w:pPr>
      <w:r>
        <w:rPr>
          <w:rFonts w:hint="eastAsia" w:ascii="宋体" w:hAnsi="宋体" w:cs="宋体"/>
          <w:color w:val="auto"/>
          <w:szCs w:val="21"/>
          <w:highlight w:val="none"/>
        </w:rPr>
        <w:t>1.4.1 适用于本合同的标准、规范（名称）包括：</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rPr>
        <w:t>。</w:t>
      </w:r>
    </w:p>
    <w:p w14:paraId="52F56BBD">
      <w:pPr>
        <w:ind w:firstLine="600"/>
        <w:rPr>
          <w:rFonts w:hint="eastAsia" w:ascii="宋体" w:hAnsi="宋体" w:cs="宋体"/>
          <w:color w:val="auto"/>
          <w:szCs w:val="21"/>
          <w:highlight w:val="none"/>
        </w:rPr>
      </w:pPr>
      <w:r>
        <w:rPr>
          <w:rFonts w:hint="eastAsia" w:ascii="宋体" w:hAnsi="宋体" w:cs="宋体"/>
          <w:color w:val="auto"/>
          <w:szCs w:val="21"/>
          <w:highlight w:val="none"/>
        </w:rPr>
        <w:t>1.4.2 发包人提供的国外标准、规范的名称：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；发包人提供的国外标准、规范的份数：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；发包人提供的国外标准、规范的时间：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2831BA5">
      <w:pPr>
        <w:ind w:firstLine="600"/>
        <w:rPr>
          <w:rFonts w:hint="eastAsia" w:ascii="宋体" w:hAnsi="宋体" w:cs="宋体"/>
          <w:color w:val="auto"/>
          <w:szCs w:val="21"/>
          <w:highlight w:val="none"/>
        </w:rPr>
      </w:pPr>
      <w:r>
        <w:rPr>
          <w:rFonts w:hint="eastAsia" w:ascii="宋体" w:hAnsi="宋体" w:cs="宋体"/>
          <w:color w:val="auto"/>
          <w:szCs w:val="21"/>
          <w:highlight w:val="none"/>
        </w:rPr>
        <w:t>1.4.3 没有成文规范、标准规定的约定：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73EC4D9">
      <w:pPr>
        <w:ind w:firstLine="600"/>
        <w:rPr>
          <w:rFonts w:hint="eastAsia" w:ascii="宋体" w:hAnsi="宋体" w:cs="宋体"/>
          <w:color w:val="auto"/>
          <w:szCs w:val="21"/>
          <w:highlight w:val="none"/>
          <w:u w:val="single"/>
          <w:lang w:eastAsia="zh-CN"/>
        </w:rPr>
      </w:pPr>
      <w:r>
        <w:rPr>
          <w:rFonts w:hint="eastAsia" w:ascii="宋体" w:hAnsi="宋体" w:cs="宋体"/>
          <w:color w:val="auto"/>
          <w:szCs w:val="21"/>
          <w:highlight w:val="none"/>
        </w:rPr>
        <w:t>1.4.4 发包人对于工程的技术标准、功能要求：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p>
    <w:p w14:paraId="4F558679">
      <w:pPr>
        <w:ind w:firstLine="600"/>
        <w:rPr>
          <w:rFonts w:hint="eastAsia" w:ascii="宋体" w:hAnsi="宋体" w:cs="宋体"/>
          <w:color w:val="auto"/>
          <w:szCs w:val="21"/>
          <w:highlight w:val="none"/>
        </w:rPr>
      </w:pPr>
      <w:r>
        <w:rPr>
          <w:rFonts w:hint="eastAsia" w:ascii="宋体" w:hAnsi="宋体" w:cs="宋体"/>
          <w:color w:val="auto"/>
          <w:szCs w:val="21"/>
          <w:highlight w:val="none"/>
        </w:rPr>
        <w:t>1.5 合同文件的优先顺序</w:t>
      </w:r>
    </w:p>
    <w:p w14:paraId="4DD57D52">
      <w:pPr>
        <w:ind w:firstLine="600"/>
        <w:rPr>
          <w:rFonts w:hint="eastAsia" w:ascii="宋体" w:hAnsi="宋体" w:cs="宋体"/>
          <w:color w:val="auto"/>
          <w:szCs w:val="21"/>
          <w:highlight w:val="none"/>
        </w:rPr>
      </w:pPr>
      <w:r>
        <w:rPr>
          <w:rFonts w:hint="eastAsia" w:ascii="宋体" w:hAnsi="宋体" w:cs="宋体"/>
          <w:color w:val="auto"/>
          <w:szCs w:val="21"/>
          <w:highlight w:val="none"/>
        </w:rPr>
        <w:t>本合同文件的优先解释顺序如下：</w:t>
      </w:r>
      <w:r>
        <w:rPr>
          <w:rFonts w:hint="eastAsia" w:ascii="宋体" w:hAnsi="宋体" w:cs="宋体"/>
          <w:color w:val="auto"/>
          <w:szCs w:val="21"/>
          <w:highlight w:val="none"/>
          <w:u w:val="single"/>
        </w:rPr>
        <w:t>协议书、中标通知书、专用合同条</w:t>
      </w:r>
      <w:r>
        <w:rPr>
          <w:rFonts w:hint="eastAsia" w:ascii="宋体" w:hAnsi="宋体" w:cs="宋体"/>
          <w:color w:val="auto"/>
          <w:szCs w:val="21"/>
          <w:highlight w:val="none"/>
          <w:u w:val="single"/>
          <w:lang w:eastAsia="zh-CN"/>
        </w:rPr>
        <w:t>件</w:t>
      </w:r>
      <w:r>
        <w:rPr>
          <w:rFonts w:hint="eastAsia" w:ascii="宋体" w:hAnsi="宋体" w:cs="宋体"/>
          <w:color w:val="auto"/>
          <w:szCs w:val="21"/>
          <w:highlight w:val="none"/>
          <w:u w:val="single"/>
        </w:rPr>
        <w:t>及《发包人要求》等附件、招标文件、投标文件及其附件、履行本合同的相关补充协议</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工程变更</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签证、洽商</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等文件、通用</w:t>
      </w:r>
      <w:r>
        <w:rPr>
          <w:rFonts w:hint="eastAsia" w:ascii="宋体" w:hAnsi="宋体" w:cs="宋体"/>
          <w:color w:val="auto"/>
          <w:szCs w:val="21"/>
          <w:highlight w:val="none"/>
          <w:u w:val="single"/>
          <w:lang w:eastAsia="zh-CN"/>
        </w:rPr>
        <w:t>合同</w:t>
      </w:r>
      <w:r>
        <w:rPr>
          <w:rFonts w:hint="eastAsia" w:ascii="宋体" w:hAnsi="宋体" w:cs="宋体"/>
          <w:color w:val="auto"/>
          <w:szCs w:val="21"/>
          <w:highlight w:val="none"/>
          <w:u w:val="single"/>
        </w:rPr>
        <w:t>条</w:t>
      </w:r>
      <w:r>
        <w:rPr>
          <w:rFonts w:hint="eastAsia" w:ascii="宋体" w:hAnsi="宋体" w:cs="宋体"/>
          <w:color w:val="auto"/>
          <w:szCs w:val="21"/>
          <w:highlight w:val="none"/>
          <w:u w:val="single"/>
          <w:lang w:eastAsia="zh-CN"/>
        </w:rPr>
        <w:t>件</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承包人建议书、价格清单、</w:t>
      </w:r>
      <w:r>
        <w:rPr>
          <w:rFonts w:hint="eastAsia" w:ascii="宋体" w:hAnsi="宋体" w:cs="宋体"/>
          <w:color w:val="auto"/>
          <w:szCs w:val="21"/>
          <w:highlight w:val="none"/>
          <w:u w:val="single"/>
        </w:rPr>
        <w:t>标准规范及有关技术文件</w:t>
      </w:r>
      <w:r>
        <w:rPr>
          <w:rFonts w:ascii="宋体" w:hAnsi="宋体" w:cs="宋体"/>
          <w:color w:val="auto"/>
          <w:szCs w:val="21"/>
          <w:highlight w:val="none"/>
        </w:rPr>
        <w:t>。</w:t>
      </w:r>
    </w:p>
    <w:p w14:paraId="2B7CD60D">
      <w:pPr>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1.6 文件的提供和照管</w:t>
      </w:r>
    </w:p>
    <w:p w14:paraId="6B13F970">
      <w:pPr>
        <w:ind w:firstLine="600"/>
        <w:rPr>
          <w:rFonts w:hint="eastAsia" w:ascii="宋体" w:hAnsi="宋体" w:cs="宋体"/>
          <w:color w:val="auto"/>
          <w:szCs w:val="21"/>
          <w:highlight w:val="none"/>
        </w:rPr>
      </w:pPr>
      <w:r>
        <w:rPr>
          <w:rFonts w:hint="eastAsia" w:ascii="宋体" w:hAnsi="宋体" w:cs="宋体"/>
          <w:color w:val="auto"/>
          <w:szCs w:val="21"/>
          <w:highlight w:val="none"/>
        </w:rPr>
        <w:t>1.6.1 发包人文件的提供</w:t>
      </w:r>
    </w:p>
    <w:p w14:paraId="50BCAE07">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发包人文件的提供期限、名称、数量和形式：</w:t>
      </w:r>
      <w:r>
        <w:rPr>
          <w:rFonts w:hint="eastAsia" w:ascii="宋体" w:hAnsi="宋体" w:cs="宋体"/>
          <w:color w:val="auto"/>
          <w:szCs w:val="21"/>
          <w:highlight w:val="none"/>
          <w:u w:val="single"/>
        </w:rPr>
        <w:t>合同签订后提供相关资料一份。</w:t>
      </w:r>
    </w:p>
    <w:p w14:paraId="7B0D76BE">
      <w:pPr>
        <w:ind w:firstLine="600"/>
        <w:rPr>
          <w:rFonts w:hint="eastAsia" w:ascii="宋体" w:hAnsi="宋体" w:cs="宋体"/>
          <w:color w:val="auto"/>
          <w:szCs w:val="21"/>
          <w:highlight w:val="none"/>
        </w:rPr>
      </w:pPr>
      <w:r>
        <w:rPr>
          <w:rFonts w:hint="eastAsia" w:ascii="宋体" w:hAnsi="宋体" w:cs="宋体"/>
          <w:color w:val="auto"/>
          <w:szCs w:val="21"/>
          <w:highlight w:val="none"/>
        </w:rPr>
        <w:t>1.6.2 承包人文件的提供</w:t>
      </w:r>
    </w:p>
    <w:p w14:paraId="5F7F2F8C">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承包人文件的内容、提供期限、名称、数量和形式：</w:t>
      </w:r>
      <w:r>
        <w:rPr>
          <w:rFonts w:hint="eastAsia" w:ascii="宋体" w:hAnsi="宋体" w:cs="宋体"/>
          <w:color w:val="auto"/>
          <w:szCs w:val="21"/>
          <w:highlight w:val="none"/>
          <w:u w:val="single"/>
        </w:rPr>
        <w:t>合同签订后7日内按照</w:t>
      </w:r>
      <w:r>
        <w:rPr>
          <w:rFonts w:hint="eastAsia" w:ascii="宋体" w:hAnsi="宋体" w:cs="宋体"/>
          <w:color w:val="auto"/>
          <w:szCs w:val="21"/>
          <w:highlight w:val="none"/>
          <w:u w:val="single"/>
          <w:lang w:eastAsia="zh-CN"/>
        </w:rPr>
        <w:t>现场管理部</w:t>
      </w:r>
      <w:r>
        <w:rPr>
          <w:rFonts w:hint="eastAsia" w:ascii="宋体" w:hAnsi="宋体" w:cs="宋体"/>
          <w:color w:val="auto"/>
          <w:szCs w:val="21"/>
          <w:highlight w:val="none"/>
          <w:u w:val="single"/>
        </w:rPr>
        <w:t>要求提供有关的承包人文件。</w:t>
      </w:r>
    </w:p>
    <w:p w14:paraId="242E0E82">
      <w:pPr>
        <w:ind w:firstLine="600"/>
        <w:rPr>
          <w:rFonts w:hint="eastAsia" w:ascii="宋体" w:hAnsi="宋体" w:cs="宋体"/>
          <w:color w:val="auto"/>
          <w:szCs w:val="21"/>
          <w:highlight w:val="none"/>
        </w:rPr>
      </w:pPr>
      <w:r>
        <w:rPr>
          <w:rFonts w:hint="eastAsia" w:ascii="宋体" w:hAnsi="宋体" w:cs="宋体"/>
          <w:color w:val="auto"/>
          <w:szCs w:val="21"/>
          <w:highlight w:val="none"/>
        </w:rPr>
        <w:t>1.6.4 文件的照管</w:t>
      </w:r>
    </w:p>
    <w:p w14:paraId="4A5C2E25">
      <w:pPr>
        <w:ind w:firstLine="600"/>
        <w:rPr>
          <w:rFonts w:hint="eastAsia" w:ascii="宋体" w:hAnsi="宋体" w:cs="宋体"/>
          <w:color w:val="auto"/>
          <w:szCs w:val="21"/>
          <w:highlight w:val="none"/>
        </w:rPr>
      </w:pPr>
      <w:r>
        <w:rPr>
          <w:rFonts w:hint="eastAsia" w:ascii="宋体" w:hAnsi="宋体" w:cs="宋体"/>
          <w:color w:val="auto"/>
          <w:szCs w:val="21"/>
          <w:highlight w:val="none"/>
        </w:rPr>
        <w:t>关于现场文件准备的约定：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F9E4B79">
      <w:pPr>
        <w:ind w:firstLine="600"/>
        <w:rPr>
          <w:rFonts w:hint="eastAsia" w:ascii="宋体" w:hAnsi="宋体" w:cs="宋体"/>
          <w:color w:val="auto"/>
          <w:szCs w:val="21"/>
          <w:highlight w:val="none"/>
        </w:rPr>
      </w:pPr>
      <w:r>
        <w:rPr>
          <w:rFonts w:hint="eastAsia" w:ascii="宋体" w:hAnsi="宋体" w:cs="宋体"/>
          <w:color w:val="auto"/>
          <w:szCs w:val="21"/>
          <w:highlight w:val="none"/>
        </w:rPr>
        <w:t>1.7 联络</w:t>
      </w:r>
    </w:p>
    <w:p w14:paraId="2921EA5A">
      <w:pPr>
        <w:ind w:firstLine="600"/>
        <w:rPr>
          <w:rFonts w:hint="eastAsia" w:ascii="宋体" w:hAnsi="宋体" w:cs="宋体"/>
          <w:color w:val="auto"/>
          <w:szCs w:val="21"/>
          <w:highlight w:val="none"/>
        </w:rPr>
      </w:pPr>
      <w:r>
        <w:rPr>
          <w:rFonts w:hint="eastAsia" w:ascii="宋体" w:hAnsi="宋体" w:cs="宋体"/>
          <w:color w:val="auto"/>
          <w:szCs w:val="21"/>
          <w:highlight w:val="none"/>
        </w:rPr>
        <w:t>1.7.2 发包人指定的送达方式：</w:t>
      </w:r>
      <w:r>
        <w:rPr>
          <w:rFonts w:hint="eastAsia" w:ascii="宋体" w:hAnsi="宋体" w:cs="宋体"/>
          <w:color w:val="auto"/>
          <w:szCs w:val="21"/>
          <w:highlight w:val="none"/>
          <w:u w:val="single"/>
        </w:rPr>
        <w:t xml:space="preserve">  直接送达   </w:t>
      </w:r>
      <w:r>
        <w:rPr>
          <w:rFonts w:hint="eastAsia" w:ascii="宋体" w:hAnsi="宋体" w:cs="宋体"/>
          <w:color w:val="auto"/>
          <w:szCs w:val="21"/>
          <w:highlight w:val="none"/>
        </w:rPr>
        <w:t>。</w:t>
      </w:r>
    </w:p>
    <w:p w14:paraId="4B88770B">
      <w:pPr>
        <w:ind w:firstLine="600"/>
        <w:rPr>
          <w:rFonts w:hint="eastAsia" w:ascii="宋体" w:hAnsi="宋体" w:cs="宋体"/>
          <w:color w:val="auto"/>
          <w:szCs w:val="21"/>
          <w:highlight w:val="none"/>
        </w:rPr>
      </w:pPr>
      <w:r>
        <w:rPr>
          <w:rFonts w:hint="eastAsia" w:ascii="宋体" w:hAnsi="宋体" w:cs="宋体"/>
          <w:color w:val="auto"/>
          <w:szCs w:val="21"/>
          <w:highlight w:val="none"/>
        </w:rPr>
        <w:t>发包人的送达地址：</w:t>
      </w:r>
      <w:r>
        <w:rPr>
          <w:rFonts w:hint="eastAsia" w:ascii="宋体" w:hAnsi="宋体" w:cs="宋体"/>
          <w:color w:val="auto"/>
          <w:szCs w:val="21"/>
          <w:highlight w:val="none"/>
          <w:u w:val="single"/>
        </w:rPr>
        <w:t xml:space="preserve"> 施工现场  </w:t>
      </w:r>
      <w:r>
        <w:rPr>
          <w:rFonts w:hint="eastAsia" w:ascii="宋体" w:hAnsi="宋体" w:cs="宋体"/>
          <w:color w:val="auto"/>
          <w:szCs w:val="21"/>
          <w:highlight w:val="none"/>
        </w:rPr>
        <w:t>。</w:t>
      </w:r>
    </w:p>
    <w:p w14:paraId="6BBF60E1">
      <w:pPr>
        <w:ind w:firstLine="600"/>
        <w:rPr>
          <w:rFonts w:hint="eastAsia" w:ascii="宋体" w:hAnsi="宋体" w:cs="宋体"/>
          <w:color w:val="auto"/>
          <w:szCs w:val="21"/>
          <w:highlight w:val="none"/>
        </w:rPr>
      </w:pPr>
      <w:r>
        <w:rPr>
          <w:rFonts w:hint="eastAsia" w:ascii="宋体" w:hAnsi="宋体" w:cs="宋体"/>
          <w:color w:val="auto"/>
          <w:szCs w:val="21"/>
          <w:highlight w:val="none"/>
        </w:rPr>
        <w:t>承包人指定的送达方式：</w:t>
      </w:r>
      <w:r>
        <w:rPr>
          <w:rFonts w:hint="eastAsia" w:ascii="宋体" w:hAnsi="宋体" w:cs="宋体"/>
          <w:color w:val="auto"/>
          <w:szCs w:val="21"/>
          <w:highlight w:val="none"/>
          <w:u w:val="single"/>
        </w:rPr>
        <w:t xml:space="preserve">  直接送达   </w:t>
      </w:r>
      <w:r>
        <w:rPr>
          <w:rFonts w:hint="eastAsia" w:ascii="宋体" w:hAnsi="宋体" w:cs="宋体"/>
          <w:color w:val="auto"/>
          <w:szCs w:val="21"/>
          <w:highlight w:val="none"/>
        </w:rPr>
        <w:t>。</w:t>
      </w:r>
    </w:p>
    <w:p w14:paraId="09F37F6E">
      <w:pPr>
        <w:rPr>
          <w:rFonts w:hint="eastAsia" w:ascii="宋体" w:hAnsi="宋体" w:cs="宋体"/>
          <w:color w:val="auto"/>
          <w:szCs w:val="21"/>
          <w:highlight w:val="none"/>
        </w:rPr>
      </w:pPr>
      <w:r>
        <w:rPr>
          <w:rFonts w:hint="eastAsia" w:ascii="宋体" w:hAnsi="宋体" w:cs="宋体"/>
          <w:color w:val="auto"/>
          <w:szCs w:val="21"/>
          <w:highlight w:val="none"/>
        </w:rPr>
        <w:t>承包人的送达地址：</w:t>
      </w:r>
      <w:r>
        <w:rPr>
          <w:rFonts w:hint="eastAsia" w:ascii="宋体" w:hAnsi="宋体" w:cs="宋体"/>
          <w:color w:val="auto"/>
          <w:szCs w:val="21"/>
          <w:highlight w:val="none"/>
          <w:u w:val="single"/>
        </w:rPr>
        <w:t xml:space="preserve"> 施工现场  </w:t>
      </w:r>
      <w:r>
        <w:rPr>
          <w:rFonts w:hint="eastAsia" w:ascii="宋体" w:hAnsi="宋体" w:cs="宋体"/>
          <w:color w:val="auto"/>
          <w:szCs w:val="21"/>
          <w:highlight w:val="none"/>
        </w:rPr>
        <w:t>。</w:t>
      </w:r>
    </w:p>
    <w:p w14:paraId="51E78186">
      <w:pPr>
        <w:ind w:firstLine="600"/>
        <w:rPr>
          <w:rFonts w:ascii="宋体" w:hAnsi="宋体" w:cs="宋体"/>
          <w:color w:val="auto"/>
          <w:szCs w:val="21"/>
          <w:highlight w:val="none"/>
        </w:rPr>
      </w:pPr>
      <w:r>
        <w:rPr>
          <w:rFonts w:hint="eastAsia" w:ascii="宋体" w:hAnsi="宋体" w:cs="宋体"/>
          <w:color w:val="auto"/>
          <w:szCs w:val="21"/>
          <w:highlight w:val="none"/>
        </w:rPr>
        <w:t>造价咨询单位接收文件的地点：</w:t>
      </w:r>
      <w:r>
        <w:rPr>
          <w:rFonts w:ascii="宋体" w:hAnsi="宋体" w:cs="宋体"/>
          <w:color w:val="auto"/>
          <w:szCs w:val="21"/>
          <w:highlight w:val="none"/>
          <w:u w:val="single"/>
        </w:rPr>
        <w:t></w:t>
      </w:r>
      <w:r>
        <w:rPr>
          <w:rFonts w:hint="eastAsia" w:ascii="宋体" w:hAnsi="宋体" w:cs="宋体"/>
          <w:color w:val="auto"/>
          <w:szCs w:val="21"/>
          <w:highlight w:val="none"/>
          <w:u w:val="single"/>
        </w:rPr>
        <w:t>施工</w:t>
      </w:r>
      <w:r>
        <w:rPr>
          <w:rFonts w:ascii="宋体" w:hAnsi="宋体" w:cs="宋体"/>
          <w:color w:val="auto"/>
          <w:szCs w:val="21"/>
          <w:highlight w:val="none"/>
          <w:u w:val="single"/>
        </w:rPr>
        <w:t>现场</w:t>
      </w:r>
      <w:r>
        <w:rPr>
          <w:rFonts w:ascii="宋体" w:hAnsi="宋体" w:cs="宋体"/>
          <w:color w:val="auto"/>
          <w:szCs w:val="21"/>
          <w:highlight w:val="none"/>
        </w:rPr>
        <w:t>；</w:t>
      </w:r>
    </w:p>
    <w:p w14:paraId="38522141">
      <w:pPr>
        <w:ind w:firstLine="600"/>
        <w:rPr>
          <w:rFonts w:hint="eastAsia" w:ascii="宋体" w:hAnsi="宋体" w:cs="宋体"/>
          <w:color w:val="auto"/>
          <w:szCs w:val="21"/>
          <w:highlight w:val="none"/>
        </w:rPr>
      </w:pPr>
      <w:r>
        <w:rPr>
          <w:rFonts w:hint="eastAsia" w:ascii="宋体" w:hAnsi="宋体" w:cs="宋体"/>
          <w:color w:val="auto"/>
          <w:szCs w:val="21"/>
          <w:highlight w:val="none"/>
        </w:rPr>
        <w:t>造价咨询单位指定的接收人为：</w:t>
      </w:r>
      <w:r>
        <w:rPr>
          <w:rFonts w:hint="eastAsia" w:ascii="宋体" w:hAnsi="宋体" w:cs="宋体"/>
          <w:color w:val="auto"/>
          <w:szCs w:val="21"/>
          <w:highlight w:val="none"/>
          <w:u w:val="single"/>
          <w:lang w:eastAsia="zh-CN"/>
        </w:rPr>
        <w:t>工程造价咨询单位项目负责人</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p>
    <w:p w14:paraId="6A5608FB">
      <w:pPr>
        <w:ind w:firstLine="600"/>
        <w:rPr>
          <w:rFonts w:hint="eastAsia" w:ascii="宋体" w:hAnsi="宋体" w:cs="宋体"/>
          <w:color w:val="auto"/>
          <w:szCs w:val="21"/>
          <w:highlight w:val="none"/>
        </w:rPr>
      </w:pPr>
      <w:r>
        <w:rPr>
          <w:rFonts w:hint="eastAsia" w:ascii="宋体" w:hAnsi="宋体" w:cs="宋体"/>
          <w:color w:val="auto"/>
          <w:szCs w:val="21"/>
          <w:highlight w:val="none"/>
        </w:rPr>
        <w:t>1.10 知识产权</w:t>
      </w:r>
    </w:p>
    <w:p w14:paraId="2C0FCE92">
      <w:pPr>
        <w:ind w:firstLine="600"/>
        <w:rPr>
          <w:rFonts w:hint="eastAsia" w:ascii="宋体" w:hAnsi="宋体" w:cs="宋体"/>
          <w:color w:val="auto"/>
          <w:szCs w:val="21"/>
          <w:highlight w:val="none"/>
        </w:rPr>
      </w:pPr>
      <w:r>
        <w:rPr>
          <w:rFonts w:hint="eastAsia" w:ascii="宋体" w:hAnsi="宋体" w:cs="宋体"/>
          <w:color w:val="auto"/>
          <w:szCs w:val="21"/>
          <w:highlight w:val="none"/>
        </w:rPr>
        <w:t>1.10.1 由发包人（或以发包人名义）编制的《发包人要求》和其他文件的著作权归属：</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55089D0">
      <w:pPr>
        <w:ind w:firstLine="600"/>
        <w:rPr>
          <w:rFonts w:hint="eastAsia" w:ascii="宋体" w:hAnsi="宋体" w:cs="宋体"/>
          <w:color w:val="auto"/>
          <w:szCs w:val="21"/>
          <w:highlight w:val="none"/>
        </w:rPr>
      </w:pPr>
      <w:r>
        <w:rPr>
          <w:rFonts w:hint="eastAsia" w:ascii="宋体" w:hAnsi="宋体" w:cs="宋体"/>
          <w:color w:val="auto"/>
          <w:szCs w:val="21"/>
          <w:highlight w:val="none"/>
        </w:rPr>
        <w:t>1.10.2 由承包人（或以承包人名义）为实施工程所编制的文件、承包人完成的设计工作成果和建造完成的建筑物的知识产权归属：</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059BB2F6">
      <w:pPr>
        <w:ind w:firstLine="600"/>
        <w:rPr>
          <w:rFonts w:hint="eastAsia" w:ascii="宋体" w:hAnsi="宋体" w:cs="宋体"/>
          <w:color w:val="auto"/>
          <w:szCs w:val="21"/>
          <w:highlight w:val="none"/>
        </w:rPr>
      </w:pPr>
      <w:r>
        <w:rPr>
          <w:rFonts w:hint="eastAsia" w:ascii="宋体" w:hAnsi="宋体" w:cs="宋体"/>
          <w:color w:val="auto"/>
          <w:szCs w:val="21"/>
          <w:highlight w:val="none"/>
        </w:rPr>
        <w:t>1.10.4 承包人在投标文件中采用的专利、专有技术、技术秘密的使用费的承担方式</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1ECCE2">
      <w:pPr>
        <w:ind w:firstLine="600"/>
        <w:rPr>
          <w:rFonts w:hint="eastAsia" w:ascii="宋体" w:hAnsi="宋体" w:cs="宋体"/>
          <w:color w:val="auto"/>
          <w:szCs w:val="21"/>
          <w:highlight w:val="none"/>
        </w:rPr>
      </w:pPr>
      <w:r>
        <w:rPr>
          <w:rFonts w:hint="eastAsia" w:ascii="宋体" w:hAnsi="宋体" w:cs="宋体"/>
          <w:color w:val="auto"/>
          <w:szCs w:val="21"/>
          <w:highlight w:val="none"/>
        </w:rPr>
        <w:t>1.11 保密</w:t>
      </w:r>
    </w:p>
    <w:p w14:paraId="59FCF1C0">
      <w:pPr>
        <w:ind w:firstLine="600"/>
        <w:rPr>
          <w:rFonts w:hint="eastAsia" w:ascii="宋体" w:hAnsi="宋体" w:cs="宋体"/>
          <w:color w:val="auto"/>
          <w:szCs w:val="21"/>
          <w:highlight w:val="none"/>
        </w:rPr>
      </w:pPr>
      <w:r>
        <w:rPr>
          <w:rFonts w:hint="eastAsia" w:ascii="宋体" w:hAnsi="宋体" w:cs="宋体"/>
          <w:color w:val="auto"/>
          <w:szCs w:val="21"/>
          <w:highlight w:val="none"/>
        </w:rPr>
        <w:t>双方订立的商业保密协议（名称）：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，作为本合同附件。</w:t>
      </w:r>
    </w:p>
    <w:p w14:paraId="78BD0AF6">
      <w:pPr>
        <w:ind w:firstLine="600"/>
        <w:rPr>
          <w:rFonts w:hint="eastAsia" w:ascii="宋体" w:hAnsi="宋体" w:cs="宋体"/>
          <w:color w:val="auto"/>
          <w:szCs w:val="21"/>
          <w:highlight w:val="none"/>
        </w:rPr>
      </w:pPr>
      <w:r>
        <w:rPr>
          <w:rFonts w:hint="eastAsia" w:ascii="宋体" w:hAnsi="宋体" w:cs="宋体"/>
          <w:color w:val="auto"/>
          <w:szCs w:val="21"/>
          <w:highlight w:val="none"/>
        </w:rPr>
        <w:t>双方订立的技术保密协议（名称）：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，作为本合同附件。</w:t>
      </w:r>
    </w:p>
    <w:p w14:paraId="23F08544">
      <w:pPr>
        <w:ind w:firstLine="600"/>
        <w:rPr>
          <w:rFonts w:hint="eastAsia" w:ascii="宋体" w:hAnsi="宋体" w:cs="宋体"/>
          <w:color w:val="auto"/>
          <w:szCs w:val="21"/>
          <w:highlight w:val="none"/>
        </w:rPr>
      </w:pPr>
      <w:r>
        <w:rPr>
          <w:rFonts w:hint="eastAsia" w:ascii="宋体" w:hAnsi="宋体" w:cs="宋体"/>
          <w:color w:val="auto"/>
          <w:szCs w:val="21"/>
          <w:highlight w:val="none"/>
        </w:rPr>
        <w:t>1.13 责任限制</w:t>
      </w:r>
    </w:p>
    <w:p w14:paraId="1086026F">
      <w:pPr>
        <w:ind w:firstLine="600"/>
        <w:rPr>
          <w:rFonts w:hint="eastAsia" w:ascii="宋体" w:hAnsi="宋体" w:cs="宋体"/>
          <w:color w:val="auto"/>
          <w:szCs w:val="21"/>
          <w:highlight w:val="none"/>
        </w:rPr>
      </w:pPr>
      <w:r>
        <w:rPr>
          <w:rFonts w:hint="eastAsia" w:ascii="宋体" w:hAnsi="宋体" w:cs="宋体"/>
          <w:color w:val="auto"/>
          <w:szCs w:val="21"/>
          <w:highlight w:val="none"/>
        </w:rPr>
        <w:t>承包人对发包人赔偿责任的最高限额为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923C565">
      <w:pPr>
        <w:ind w:firstLine="600"/>
        <w:rPr>
          <w:rFonts w:hint="eastAsia" w:ascii="宋体" w:hAnsi="宋体" w:cs="宋体"/>
          <w:color w:val="auto"/>
          <w:szCs w:val="21"/>
          <w:highlight w:val="none"/>
        </w:rPr>
      </w:pPr>
      <w:r>
        <w:rPr>
          <w:rFonts w:hint="eastAsia" w:ascii="宋体" w:hAnsi="宋体" w:cs="宋体"/>
          <w:color w:val="auto"/>
          <w:szCs w:val="21"/>
          <w:highlight w:val="none"/>
        </w:rPr>
        <w:t>1.14 建筑信息模型技术的应用</w:t>
      </w:r>
    </w:p>
    <w:p w14:paraId="7380167C">
      <w:pPr>
        <w:ind w:firstLine="600"/>
        <w:rPr>
          <w:rFonts w:hint="eastAsia" w:ascii="宋体" w:hAnsi="宋体" w:cs="宋体"/>
          <w:color w:val="auto"/>
          <w:szCs w:val="21"/>
          <w:highlight w:val="none"/>
        </w:rPr>
      </w:pPr>
      <w:r>
        <w:rPr>
          <w:rFonts w:hint="eastAsia" w:ascii="宋体" w:hAnsi="宋体" w:cs="宋体"/>
          <w:color w:val="auto"/>
          <w:szCs w:val="21"/>
          <w:highlight w:val="none"/>
        </w:rPr>
        <w:t>关于建筑信息模型技术的开发、使用、存储、传输、交付及费用约定如下：</w:t>
      </w:r>
      <w:r>
        <w:rPr>
          <w:rFonts w:hint="eastAsia" w:ascii="宋体" w:hAnsi="宋体" w:cs="宋体"/>
          <w:color w:val="auto"/>
          <w:szCs w:val="21"/>
          <w:highlight w:val="none"/>
          <w:u w:val="single"/>
        </w:rPr>
        <w:t xml:space="preserve"> 涉及费用由承包人承担   </w:t>
      </w:r>
      <w:r>
        <w:rPr>
          <w:rFonts w:hint="eastAsia" w:ascii="宋体" w:hAnsi="宋体" w:cs="宋体"/>
          <w:color w:val="auto"/>
          <w:szCs w:val="21"/>
          <w:highlight w:val="none"/>
        </w:rPr>
        <w:t>。</w:t>
      </w:r>
    </w:p>
    <w:p w14:paraId="27CD9D95">
      <w:pPr>
        <w:pStyle w:val="91"/>
        <w:rPr>
          <w:rFonts w:hint="eastAsia" w:cs="宋体"/>
          <w:b w:val="0"/>
          <w:color w:val="auto"/>
          <w:sz w:val="21"/>
          <w:szCs w:val="21"/>
          <w:highlight w:val="none"/>
        </w:rPr>
      </w:pPr>
      <w:bookmarkStart w:id="2774" w:name="_Toc10268"/>
      <w:bookmarkStart w:id="2775" w:name="_Toc25512"/>
      <w:bookmarkStart w:id="2776" w:name="_Toc17815"/>
      <w:bookmarkStart w:id="2777" w:name="_Toc24899"/>
      <w:bookmarkStart w:id="2778" w:name="_Toc3238"/>
      <w:bookmarkStart w:id="2779" w:name="_Toc15743"/>
      <w:bookmarkStart w:id="2780" w:name="_Toc23492"/>
      <w:bookmarkStart w:id="2781" w:name="_Toc26051"/>
      <w:bookmarkStart w:id="2782" w:name="_Toc103175807"/>
      <w:bookmarkStart w:id="2783" w:name="_Toc84"/>
      <w:bookmarkStart w:id="2784" w:name="_Toc3068"/>
      <w:r>
        <w:rPr>
          <w:rFonts w:hint="eastAsia" w:cs="宋体"/>
          <w:b w:val="0"/>
          <w:color w:val="auto"/>
          <w:sz w:val="21"/>
          <w:szCs w:val="21"/>
          <w:highlight w:val="none"/>
        </w:rPr>
        <w:t>第2条 发包人</w:t>
      </w:r>
      <w:bookmarkEnd w:id="2774"/>
      <w:bookmarkEnd w:id="2775"/>
      <w:bookmarkEnd w:id="2776"/>
      <w:bookmarkEnd w:id="2777"/>
      <w:bookmarkEnd w:id="2778"/>
      <w:bookmarkEnd w:id="2779"/>
      <w:bookmarkEnd w:id="2780"/>
      <w:bookmarkEnd w:id="2781"/>
      <w:bookmarkEnd w:id="2782"/>
      <w:bookmarkEnd w:id="2783"/>
      <w:bookmarkEnd w:id="2784"/>
    </w:p>
    <w:p w14:paraId="1D54063C">
      <w:pPr>
        <w:ind w:firstLine="600"/>
        <w:rPr>
          <w:rFonts w:hint="eastAsia" w:ascii="宋体" w:hAnsi="宋体" w:cs="宋体"/>
          <w:color w:val="auto"/>
          <w:szCs w:val="21"/>
          <w:highlight w:val="none"/>
        </w:rPr>
      </w:pPr>
      <w:r>
        <w:rPr>
          <w:rFonts w:hint="eastAsia" w:ascii="宋体" w:hAnsi="宋体" w:cs="宋体"/>
          <w:color w:val="auto"/>
          <w:szCs w:val="21"/>
          <w:highlight w:val="none"/>
        </w:rPr>
        <w:t>2.2 提供施工现场和工作条件</w:t>
      </w:r>
    </w:p>
    <w:p w14:paraId="231C8718">
      <w:pPr>
        <w:ind w:firstLine="600"/>
        <w:rPr>
          <w:rFonts w:hint="eastAsia" w:ascii="宋体" w:hAnsi="宋体" w:cs="宋体"/>
          <w:color w:val="auto"/>
          <w:szCs w:val="21"/>
          <w:highlight w:val="none"/>
        </w:rPr>
      </w:pPr>
      <w:r>
        <w:rPr>
          <w:rFonts w:hint="eastAsia" w:ascii="宋体" w:hAnsi="宋体" w:cs="宋体"/>
          <w:color w:val="auto"/>
          <w:szCs w:val="21"/>
          <w:highlight w:val="none"/>
        </w:rPr>
        <w:t>2.2.1 提供施工现场</w:t>
      </w:r>
    </w:p>
    <w:p w14:paraId="4D10986B">
      <w:pPr>
        <w:ind w:firstLine="600"/>
        <w:rPr>
          <w:rFonts w:hint="eastAsia" w:ascii="宋体" w:hAnsi="宋体" w:cs="宋体"/>
          <w:color w:val="auto"/>
          <w:szCs w:val="21"/>
          <w:highlight w:val="none"/>
        </w:rPr>
      </w:pPr>
      <w:r>
        <w:rPr>
          <w:rFonts w:hint="eastAsia" w:ascii="宋体" w:hAnsi="宋体" w:cs="宋体"/>
          <w:color w:val="auto"/>
          <w:szCs w:val="21"/>
          <w:highlight w:val="none"/>
        </w:rPr>
        <w:t>关于发包人提供施工现场的范围和期限：</w:t>
      </w:r>
      <w:r>
        <w:rPr>
          <w:rFonts w:hint="eastAsia" w:ascii="宋体" w:hAnsi="宋体" w:cs="宋体"/>
          <w:color w:val="auto"/>
          <w:szCs w:val="21"/>
          <w:highlight w:val="none"/>
          <w:u w:val="single"/>
        </w:rPr>
        <w:t xml:space="preserve">  按发包人给定范围，开工前7日提供   </w:t>
      </w:r>
      <w:r>
        <w:rPr>
          <w:rFonts w:hint="eastAsia" w:ascii="宋体" w:hAnsi="宋体" w:cs="宋体"/>
          <w:color w:val="auto"/>
          <w:szCs w:val="21"/>
          <w:highlight w:val="none"/>
        </w:rPr>
        <w:t>。</w:t>
      </w:r>
    </w:p>
    <w:p w14:paraId="06EB0B05">
      <w:pPr>
        <w:ind w:firstLine="600"/>
        <w:rPr>
          <w:rFonts w:hint="eastAsia" w:ascii="宋体" w:hAnsi="宋体" w:cs="宋体"/>
          <w:color w:val="auto"/>
          <w:szCs w:val="21"/>
          <w:highlight w:val="none"/>
        </w:rPr>
      </w:pPr>
      <w:r>
        <w:rPr>
          <w:rFonts w:hint="eastAsia" w:ascii="宋体" w:hAnsi="宋体" w:cs="宋体"/>
          <w:color w:val="auto"/>
          <w:szCs w:val="21"/>
          <w:highlight w:val="none"/>
        </w:rPr>
        <w:t>2.2.2 提供工作条件</w:t>
      </w:r>
    </w:p>
    <w:p w14:paraId="5BFAE9E0">
      <w:pPr>
        <w:ind w:firstLine="600"/>
        <w:rPr>
          <w:rFonts w:hint="eastAsia" w:ascii="宋体" w:hAnsi="宋体" w:cs="宋体"/>
          <w:color w:val="auto"/>
          <w:szCs w:val="21"/>
          <w:highlight w:val="none"/>
        </w:rPr>
      </w:pPr>
      <w:r>
        <w:rPr>
          <w:rFonts w:hint="eastAsia" w:ascii="宋体" w:hAnsi="宋体" w:cs="宋体"/>
          <w:color w:val="auto"/>
          <w:szCs w:val="21"/>
          <w:highlight w:val="none"/>
        </w:rPr>
        <w:t>关于发包人应负责提供的工作条件包括：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B67C5E5">
      <w:pPr>
        <w:ind w:firstLine="600"/>
        <w:rPr>
          <w:rFonts w:hint="eastAsia" w:ascii="宋体" w:hAnsi="宋体" w:cs="宋体"/>
          <w:color w:val="auto"/>
          <w:szCs w:val="21"/>
          <w:highlight w:val="none"/>
        </w:rPr>
      </w:pPr>
      <w:r>
        <w:rPr>
          <w:rFonts w:hint="eastAsia" w:ascii="宋体" w:hAnsi="宋体" w:cs="宋体"/>
          <w:color w:val="auto"/>
          <w:szCs w:val="21"/>
          <w:highlight w:val="none"/>
        </w:rPr>
        <w:t>2.3 提供基础资料</w:t>
      </w:r>
    </w:p>
    <w:p w14:paraId="25739E6A">
      <w:pPr>
        <w:ind w:firstLine="600"/>
        <w:rPr>
          <w:rFonts w:hint="eastAsia" w:ascii="宋体" w:hAnsi="宋体" w:cs="宋体"/>
          <w:color w:val="auto"/>
          <w:szCs w:val="21"/>
          <w:highlight w:val="none"/>
        </w:rPr>
      </w:pPr>
      <w:r>
        <w:rPr>
          <w:rFonts w:hint="eastAsia" w:ascii="宋体" w:hAnsi="宋体" w:cs="宋体"/>
          <w:color w:val="auto"/>
          <w:szCs w:val="21"/>
          <w:highlight w:val="none"/>
        </w:rPr>
        <w:t>关于发包人应提供的基础资料的范围和期限：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7757DB3">
      <w:pPr>
        <w:ind w:firstLine="600"/>
        <w:rPr>
          <w:rFonts w:hint="eastAsia" w:ascii="宋体" w:hAnsi="宋体" w:cs="宋体"/>
          <w:color w:val="auto"/>
          <w:szCs w:val="21"/>
          <w:highlight w:val="none"/>
        </w:rPr>
      </w:pPr>
      <w:r>
        <w:rPr>
          <w:rFonts w:hint="eastAsia" w:ascii="宋体" w:hAnsi="宋体" w:cs="宋体"/>
          <w:color w:val="auto"/>
          <w:szCs w:val="21"/>
          <w:highlight w:val="none"/>
        </w:rPr>
        <w:t>2.5 支付合同价款</w:t>
      </w:r>
    </w:p>
    <w:p w14:paraId="2E338267">
      <w:pPr>
        <w:ind w:firstLine="600"/>
        <w:rPr>
          <w:rFonts w:hint="eastAsia" w:ascii="宋体" w:hAnsi="宋体" w:cs="宋体"/>
          <w:color w:val="auto"/>
          <w:szCs w:val="21"/>
          <w:highlight w:val="none"/>
        </w:rPr>
      </w:pPr>
      <w:r>
        <w:rPr>
          <w:rFonts w:hint="eastAsia" w:ascii="宋体" w:hAnsi="宋体" w:cs="宋体"/>
          <w:color w:val="auto"/>
          <w:szCs w:val="21"/>
          <w:highlight w:val="none"/>
        </w:rPr>
        <w:t>2.5.2 发包人提供资金来源证明及资金安排的期限要求：</w:t>
      </w:r>
      <w:r>
        <w:rPr>
          <w:rFonts w:hint="eastAsia" w:ascii="宋体" w:hAnsi="宋体" w:cs="宋体"/>
          <w:color w:val="auto"/>
          <w:szCs w:val="21"/>
          <w:highlight w:val="none"/>
          <w:u w:val="single"/>
          <w:lang w:val="en-US" w:eastAsia="zh-CN"/>
        </w:rPr>
        <w:t>以河北省财政厅批复的年度投资预算为准</w:t>
      </w:r>
      <w:r>
        <w:rPr>
          <w:rFonts w:hint="eastAsia" w:ascii="宋体" w:hAnsi="宋体" w:cs="宋体"/>
          <w:color w:val="auto"/>
          <w:szCs w:val="21"/>
          <w:highlight w:val="none"/>
        </w:rPr>
        <w:t>。</w:t>
      </w:r>
    </w:p>
    <w:p w14:paraId="41AF09D2">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2.5.3 发包人提供支付担保的形式、期限、金额（或比例）：</w:t>
      </w:r>
      <w:r>
        <w:rPr>
          <w:rFonts w:hint="eastAsia" w:ascii="宋体" w:hAnsi="宋体" w:cs="宋体"/>
          <w:color w:val="auto"/>
          <w:szCs w:val="21"/>
          <w:highlight w:val="none"/>
          <w:u w:val="single"/>
        </w:rPr>
        <w:t xml:space="preserve"> 根据《河北省房屋建筑和市政基础设施工程领域工程款支付担保管理实施办法（试行）》，</w:t>
      </w:r>
      <w:r>
        <w:rPr>
          <w:rFonts w:hint="eastAsia" w:ascii="宋体" w:hAnsi="宋体" w:cs="宋体"/>
          <w:color w:val="auto"/>
          <w:szCs w:val="21"/>
          <w:highlight w:val="none"/>
          <w:u w:val="single"/>
          <w:lang w:eastAsia="zh-CN"/>
        </w:rPr>
        <w:t>合同金额的</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可凭发包人出具的建设资金落实证明及相关资料替代工程款支付担保函件。</w:t>
      </w:r>
    </w:p>
    <w:p w14:paraId="783134CC">
      <w:pPr>
        <w:ind w:firstLine="600"/>
        <w:rPr>
          <w:rFonts w:hint="eastAsia" w:ascii="宋体" w:hAnsi="宋体" w:cs="宋体"/>
          <w:color w:val="auto"/>
          <w:szCs w:val="21"/>
          <w:highlight w:val="none"/>
        </w:rPr>
      </w:pPr>
      <w:r>
        <w:rPr>
          <w:rFonts w:hint="eastAsia" w:ascii="宋体" w:hAnsi="宋体" w:cs="宋体"/>
          <w:color w:val="auto"/>
          <w:szCs w:val="21"/>
          <w:highlight w:val="none"/>
        </w:rPr>
        <w:t>2.7 其他义务</w:t>
      </w:r>
    </w:p>
    <w:p w14:paraId="0A729929">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发包人应履行的其他义务：</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D7AE024">
      <w:pPr>
        <w:pStyle w:val="91"/>
        <w:rPr>
          <w:rFonts w:hint="eastAsia" w:cs="宋体"/>
          <w:b w:val="0"/>
          <w:color w:val="auto"/>
          <w:sz w:val="21"/>
          <w:szCs w:val="21"/>
          <w:highlight w:val="none"/>
        </w:rPr>
      </w:pPr>
      <w:bookmarkStart w:id="2785" w:name="_Toc21985"/>
      <w:bookmarkStart w:id="2786" w:name="_Toc17850"/>
      <w:bookmarkStart w:id="2787" w:name="_Toc7635"/>
      <w:bookmarkStart w:id="2788" w:name="_Toc2460"/>
      <w:bookmarkStart w:id="2789" w:name="_Toc3977"/>
      <w:bookmarkStart w:id="2790" w:name="_Toc7453"/>
      <w:bookmarkStart w:id="2791" w:name="_Toc29152"/>
      <w:bookmarkStart w:id="2792" w:name="_Toc27549"/>
      <w:bookmarkStart w:id="2793" w:name="_Toc7684"/>
      <w:bookmarkStart w:id="2794" w:name="_Toc31447"/>
      <w:bookmarkStart w:id="2795" w:name="_Toc103175808"/>
      <w:r>
        <w:rPr>
          <w:rFonts w:hint="eastAsia" w:cs="宋体"/>
          <w:b w:val="0"/>
          <w:color w:val="auto"/>
          <w:sz w:val="21"/>
          <w:szCs w:val="21"/>
          <w:highlight w:val="none"/>
        </w:rPr>
        <w:t>第3条 发包人的管理</w:t>
      </w:r>
      <w:bookmarkEnd w:id="2785"/>
      <w:bookmarkEnd w:id="2786"/>
      <w:bookmarkEnd w:id="2787"/>
      <w:bookmarkEnd w:id="2788"/>
      <w:bookmarkEnd w:id="2789"/>
      <w:bookmarkEnd w:id="2790"/>
      <w:bookmarkEnd w:id="2791"/>
      <w:bookmarkEnd w:id="2792"/>
      <w:bookmarkEnd w:id="2793"/>
      <w:bookmarkEnd w:id="2794"/>
      <w:bookmarkEnd w:id="2795"/>
    </w:p>
    <w:p w14:paraId="482588BC">
      <w:pPr>
        <w:ind w:firstLine="640"/>
        <w:rPr>
          <w:rFonts w:hint="eastAsia" w:ascii="宋体" w:hAnsi="宋体" w:cs="宋体"/>
          <w:color w:val="auto"/>
          <w:szCs w:val="21"/>
          <w:highlight w:val="none"/>
        </w:rPr>
      </w:pPr>
      <w:r>
        <w:rPr>
          <w:rFonts w:hint="eastAsia" w:ascii="宋体" w:hAnsi="宋体" w:cs="宋体"/>
          <w:color w:val="auto"/>
          <w:szCs w:val="21"/>
          <w:highlight w:val="none"/>
        </w:rPr>
        <w:t>3.1 发包人代表</w:t>
      </w:r>
    </w:p>
    <w:p w14:paraId="315ABC25">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发包人代表的姓名：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2A4FEF7">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发包人代表的身份证号：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6D59BDD">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发包人代表的职务：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55C661">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发包人代表的联系电话：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9B1D13">
      <w:pPr>
        <w:ind w:firstLine="600"/>
        <w:rPr>
          <w:rFonts w:hint="eastAsia" w:ascii="宋体" w:hAnsi="宋体" w:cs="宋体"/>
          <w:color w:val="auto"/>
          <w:szCs w:val="21"/>
          <w:highlight w:val="none"/>
        </w:rPr>
      </w:pPr>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代表发包人协调各方面工作关系，协调推进工程进度，办理工程款支付，审核、签署施工过程中发生的往来经济函件，上述文件必须经发包方及全过程工程咨询单位共同盖章确认后方能作为工程变更及结算的依据</w:t>
      </w:r>
      <w:r>
        <w:rPr>
          <w:rFonts w:hint="eastAsia" w:ascii="宋体" w:hAnsi="宋体" w:cs="宋体"/>
          <w:color w:val="auto"/>
          <w:szCs w:val="21"/>
          <w:highlight w:val="none"/>
        </w:rPr>
        <w:t>；</w:t>
      </w:r>
    </w:p>
    <w:p w14:paraId="49844B12">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发包人代表的职责：</w:t>
      </w:r>
      <w:r>
        <w:rPr>
          <w:rFonts w:hint="eastAsia" w:ascii="宋体" w:hAnsi="宋体" w:cs="宋体"/>
          <w:color w:val="auto"/>
          <w:szCs w:val="21"/>
          <w:highlight w:val="none"/>
          <w:u w:val="single"/>
        </w:rPr>
        <w:t>对工程质量、工期、进度、安全、文明施工及材料和设备进场进行监督检查；协调施工现场及外部有关事宜；督促工程师认真履行职责</w:t>
      </w:r>
      <w:r>
        <w:rPr>
          <w:rFonts w:hint="eastAsia" w:ascii="宋体" w:hAnsi="宋体" w:cs="宋体"/>
          <w:color w:val="auto"/>
          <w:szCs w:val="21"/>
          <w:highlight w:val="none"/>
        </w:rPr>
        <w:t>。</w:t>
      </w:r>
    </w:p>
    <w:p w14:paraId="25FA02F0">
      <w:pPr>
        <w:ind w:firstLine="640"/>
        <w:rPr>
          <w:rFonts w:hint="eastAsia" w:ascii="宋体" w:hAnsi="宋体" w:cs="宋体"/>
          <w:color w:val="auto"/>
          <w:szCs w:val="21"/>
          <w:highlight w:val="none"/>
        </w:rPr>
      </w:pPr>
      <w:r>
        <w:rPr>
          <w:rFonts w:hint="eastAsia" w:ascii="宋体" w:hAnsi="宋体" w:cs="宋体"/>
          <w:color w:val="auto"/>
          <w:szCs w:val="21"/>
          <w:highlight w:val="none"/>
        </w:rPr>
        <w:t>3.2 发包人人员</w:t>
      </w:r>
    </w:p>
    <w:p w14:paraId="46CB44D5">
      <w:pPr>
        <w:ind w:firstLine="600"/>
        <w:rPr>
          <w:rFonts w:hint="eastAsia" w:ascii="宋体" w:hAnsi="宋体" w:cs="宋体"/>
          <w:color w:val="auto"/>
          <w:szCs w:val="21"/>
          <w:highlight w:val="none"/>
        </w:rPr>
      </w:pPr>
      <w:r>
        <w:rPr>
          <w:rFonts w:hint="eastAsia" w:ascii="宋体" w:hAnsi="宋体" w:cs="宋体"/>
          <w:color w:val="auto"/>
          <w:szCs w:val="21"/>
          <w:highlight w:val="none"/>
        </w:rPr>
        <w:t>发包人人员姓名：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C428E4">
      <w:pPr>
        <w:ind w:firstLine="640"/>
        <w:rPr>
          <w:rFonts w:hint="eastAsia" w:ascii="宋体" w:hAnsi="宋体" w:cs="宋体"/>
          <w:color w:val="auto"/>
          <w:szCs w:val="21"/>
          <w:highlight w:val="none"/>
        </w:rPr>
      </w:pPr>
      <w:r>
        <w:rPr>
          <w:rFonts w:hint="eastAsia" w:ascii="宋体" w:hAnsi="宋体" w:cs="宋体"/>
          <w:color w:val="auto"/>
          <w:szCs w:val="21"/>
          <w:highlight w:val="none"/>
        </w:rPr>
        <w:t>3.3 工程师</w:t>
      </w:r>
    </w:p>
    <w:p w14:paraId="37FC4978">
      <w:pPr>
        <w:ind w:firstLine="600"/>
        <w:rPr>
          <w:rFonts w:hint="eastAsia" w:ascii="宋体" w:hAnsi="宋体" w:cs="宋体"/>
          <w:color w:val="auto"/>
          <w:szCs w:val="21"/>
          <w:highlight w:val="none"/>
        </w:rPr>
      </w:pPr>
      <w:r>
        <w:rPr>
          <w:rFonts w:hint="eastAsia" w:ascii="宋体" w:hAnsi="宋体" w:cs="宋体"/>
          <w:color w:val="auto"/>
          <w:szCs w:val="21"/>
          <w:highlight w:val="none"/>
        </w:rPr>
        <w:t>3.3.1 工程师名称：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；工程师监督管理范围、内容：</w:t>
      </w:r>
      <w:r>
        <w:rPr>
          <w:rFonts w:hint="eastAsia" w:ascii="宋体" w:hAnsi="宋体" w:cs="宋体"/>
          <w:color w:val="auto"/>
          <w:szCs w:val="21"/>
          <w:highlight w:val="none"/>
          <w:u w:val="single"/>
        </w:rPr>
        <w:t xml:space="preserve">  详见监理合同  </w:t>
      </w:r>
      <w:r>
        <w:rPr>
          <w:rFonts w:hint="eastAsia" w:ascii="宋体" w:hAnsi="宋体" w:cs="宋体"/>
          <w:color w:val="auto"/>
          <w:szCs w:val="21"/>
          <w:highlight w:val="none"/>
        </w:rPr>
        <w:t>；工程师权限：</w:t>
      </w:r>
      <w:r>
        <w:rPr>
          <w:rFonts w:hint="eastAsia" w:ascii="宋体" w:hAnsi="宋体" w:cs="宋体"/>
          <w:color w:val="auto"/>
          <w:szCs w:val="21"/>
          <w:highlight w:val="none"/>
          <w:u w:val="single"/>
        </w:rPr>
        <w:t xml:space="preserve"> 依照法律法规、工程建设标准、勘察设计文件、建设工程监理合同及其它合同文件在施工阶段对建设工程质量、造价、进度进行控制，对合同、信息进行管理，对建设工程相关方的关系进行协调，并履行建设工程安全生产管理法定职责。监理人对工期顺延、质量验收、工程变更、价款支付、索赔、竣工结算、合同争议处理等无权单方确认，必须经发包人盖章确认后方对发包人发生效力 </w:t>
      </w:r>
      <w:r>
        <w:rPr>
          <w:rFonts w:hint="eastAsia" w:ascii="宋体" w:hAnsi="宋体" w:cs="宋体"/>
          <w:color w:val="auto"/>
          <w:szCs w:val="21"/>
          <w:highlight w:val="none"/>
        </w:rPr>
        <w:t>。</w:t>
      </w:r>
    </w:p>
    <w:p w14:paraId="765075DE">
      <w:pPr>
        <w:ind w:firstLine="640"/>
        <w:rPr>
          <w:rFonts w:hint="eastAsia" w:ascii="宋体" w:hAnsi="宋体" w:cs="宋体"/>
          <w:color w:val="auto"/>
          <w:szCs w:val="21"/>
          <w:highlight w:val="none"/>
        </w:rPr>
      </w:pPr>
      <w:r>
        <w:rPr>
          <w:rFonts w:hint="eastAsia" w:ascii="宋体" w:hAnsi="宋体" w:cs="宋体"/>
          <w:color w:val="auto"/>
          <w:szCs w:val="21"/>
          <w:highlight w:val="none"/>
        </w:rPr>
        <w:t>3.6 商定或确定</w:t>
      </w:r>
    </w:p>
    <w:p w14:paraId="7A391E55">
      <w:pPr>
        <w:ind w:firstLine="600"/>
        <w:rPr>
          <w:rFonts w:hint="eastAsia" w:ascii="宋体" w:hAnsi="宋体" w:cs="宋体"/>
          <w:color w:val="auto"/>
          <w:szCs w:val="21"/>
          <w:highlight w:val="none"/>
        </w:rPr>
      </w:pPr>
      <w:r>
        <w:rPr>
          <w:rFonts w:hint="eastAsia" w:ascii="宋体" w:hAnsi="宋体" w:cs="宋体"/>
          <w:color w:val="auto"/>
          <w:szCs w:val="21"/>
          <w:highlight w:val="none"/>
        </w:rPr>
        <w:t>3.6.2 关于商定时间限制的具体约定：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80CCFF">
      <w:pPr>
        <w:ind w:firstLine="600"/>
        <w:rPr>
          <w:rFonts w:hint="eastAsia" w:ascii="宋体" w:hAnsi="宋体" w:cs="宋体"/>
          <w:color w:val="auto"/>
          <w:szCs w:val="21"/>
          <w:highlight w:val="none"/>
        </w:rPr>
      </w:pPr>
      <w:r>
        <w:rPr>
          <w:rFonts w:hint="eastAsia" w:ascii="宋体" w:hAnsi="宋体" w:cs="宋体"/>
          <w:color w:val="auto"/>
          <w:szCs w:val="21"/>
          <w:highlight w:val="none"/>
        </w:rPr>
        <w:t>3.6.3 关于商定或确定效力的具体约定：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；关于对工程师的确定提出异议的具体约定：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999CF94">
      <w:pPr>
        <w:ind w:firstLine="640"/>
        <w:rPr>
          <w:rFonts w:hint="eastAsia" w:ascii="宋体" w:hAnsi="宋体" w:cs="宋体"/>
          <w:color w:val="auto"/>
          <w:szCs w:val="21"/>
          <w:highlight w:val="none"/>
        </w:rPr>
      </w:pPr>
      <w:r>
        <w:rPr>
          <w:rFonts w:hint="eastAsia" w:ascii="宋体" w:hAnsi="宋体" w:cs="宋体"/>
          <w:color w:val="auto"/>
          <w:szCs w:val="21"/>
          <w:highlight w:val="none"/>
        </w:rPr>
        <w:t>3.7 会议</w:t>
      </w:r>
    </w:p>
    <w:p w14:paraId="6254DF4C">
      <w:pPr>
        <w:ind w:firstLine="600"/>
        <w:rPr>
          <w:rFonts w:hint="eastAsia" w:ascii="宋体" w:hAnsi="宋体" w:cs="宋体"/>
          <w:color w:val="auto"/>
          <w:szCs w:val="21"/>
          <w:highlight w:val="none"/>
        </w:rPr>
      </w:pPr>
      <w:r>
        <w:rPr>
          <w:rFonts w:hint="eastAsia" w:ascii="宋体" w:hAnsi="宋体" w:cs="宋体"/>
          <w:color w:val="auto"/>
          <w:szCs w:val="21"/>
          <w:highlight w:val="none"/>
        </w:rPr>
        <w:t>3.7.1 关于召开会议的具体约定：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C140492">
      <w:pPr>
        <w:ind w:firstLine="600"/>
        <w:rPr>
          <w:rFonts w:hint="eastAsia" w:ascii="宋体" w:hAnsi="宋体" w:cs="宋体"/>
          <w:color w:val="auto"/>
          <w:szCs w:val="21"/>
          <w:highlight w:val="none"/>
        </w:rPr>
      </w:pPr>
      <w:r>
        <w:rPr>
          <w:rFonts w:hint="eastAsia" w:ascii="宋体" w:hAnsi="宋体" w:cs="宋体"/>
          <w:color w:val="auto"/>
          <w:szCs w:val="21"/>
          <w:highlight w:val="none"/>
        </w:rPr>
        <w:t>3.7.2 关于保存和提供会议纪要的具体约定：</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AF7702">
      <w:pPr>
        <w:pStyle w:val="91"/>
        <w:rPr>
          <w:rFonts w:hint="eastAsia" w:cs="宋体"/>
          <w:b w:val="0"/>
          <w:color w:val="auto"/>
          <w:sz w:val="21"/>
          <w:szCs w:val="21"/>
          <w:highlight w:val="none"/>
        </w:rPr>
      </w:pPr>
      <w:bookmarkStart w:id="2796" w:name="_Toc28988"/>
      <w:bookmarkStart w:id="2797" w:name="_Toc103175809"/>
      <w:bookmarkStart w:id="2798" w:name="_Toc30447"/>
      <w:bookmarkStart w:id="2799" w:name="_Toc24056"/>
      <w:bookmarkStart w:id="2800" w:name="_Toc31560"/>
      <w:bookmarkStart w:id="2801" w:name="_Toc19762"/>
      <w:bookmarkStart w:id="2802" w:name="_Toc13839"/>
      <w:bookmarkStart w:id="2803" w:name="_Toc32469"/>
      <w:bookmarkStart w:id="2804" w:name="_Toc13474"/>
      <w:bookmarkStart w:id="2805" w:name="_Toc4659"/>
      <w:bookmarkStart w:id="2806" w:name="_Toc30528"/>
      <w:r>
        <w:rPr>
          <w:rFonts w:hint="eastAsia" w:cs="宋体"/>
          <w:b w:val="0"/>
          <w:color w:val="auto"/>
          <w:sz w:val="21"/>
          <w:szCs w:val="21"/>
          <w:highlight w:val="none"/>
        </w:rPr>
        <w:t>第4条 承包人</w:t>
      </w:r>
      <w:bookmarkEnd w:id="2796"/>
      <w:bookmarkEnd w:id="2797"/>
      <w:bookmarkEnd w:id="2798"/>
      <w:bookmarkEnd w:id="2799"/>
      <w:bookmarkEnd w:id="2800"/>
      <w:bookmarkEnd w:id="2801"/>
      <w:bookmarkEnd w:id="2802"/>
      <w:bookmarkEnd w:id="2803"/>
      <w:bookmarkEnd w:id="2804"/>
      <w:bookmarkEnd w:id="2805"/>
      <w:bookmarkEnd w:id="2806"/>
    </w:p>
    <w:p w14:paraId="32FCD322">
      <w:pPr>
        <w:ind w:firstLine="600"/>
        <w:rPr>
          <w:rFonts w:hint="eastAsia" w:ascii="宋体" w:hAnsi="宋体" w:cs="宋体"/>
          <w:color w:val="auto"/>
          <w:szCs w:val="21"/>
          <w:highlight w:val="none"/>
        </w:rPr>
      </w:pPr>
      <w:r>
        <w:rPr>
          <w:rFonts w:hint="eastAsia" w:ascii="宋体" w:hAnsi="宋体" w:cs="宋体"/>
          <w:color w:val="auto"/>
          <w:szCs w:val="21"/>
          <w:highlight w:val="none"/>
        </w:rPr>
        <w:t>4.1 承包人的一般义务</w:t>
      </w:r>
    </w:p>
    <w:p w14:paraId="083078B5">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承包人应履行的其他义务：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61A3A0">
      <w:pPr>
        <w:ind w:firstLine="600"/>
        <w:rPr>
          <w:rFonts w:hint="eastAsia" w:ascii="宋体" w:hAnsi="宋体" w:cs="宋体"/>
          <w:color w:val="auto"/>
          <w:szCs w:val="21"/>
          <w:highlight w:val="none"/>
        </w:rPr>
      </w:pPr>
      <w:r>
        <w:rPr>
          <w:rFonts w:hint="eastAsia" w:ascii="宋体" w:hAnsi="宋体" w:cs="宋体"/>
          <w:color w:val="auto"/>
          <w:szCs w:val="21"/>
          <w:highlight w:val="none"/>
        </w:rPr>
        <w:t>4.2 履约担保</w:t>
      </w:r>
    </w:p>
    <w:p w14:paraId="3A3DC1A9">
      <w:pPr>
        <w:ind w:firstLine="600"/>
        <w:rPr>
          <w:rFonts w:hint="eastAsia" w:ascii="宋体" w:hAnsi="宋体" w:cs="宋体"/>
          <w:color w:val="auto"/>
          <w:szCs w:val="21"/>
          <w:highlight w:val="none"/>
        </w:rPr>
      </w:pPr>
      <w:r>
        <w:rPr>
          <w:rFonts w:hint="eastAsia" w:ascii="宋体" w:hAnsi="宋体" w:cs="宋体"/>
          <w:color w:val="auto"/>
          <w:szCs w:val="21"/>
          <w:highlight w:val="none"/>
        </w:rPr>
        <w:t>承包人是否提供履约担保：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E4DF90A">
      <w:pPr>
        <w:ind w:firstLine="600"/>
        <w:rPr>
          <w:rFonts w:hint="eastAsia" w:ascii="宋体" w:hAnsi="宋体" w:cs="宋体"/>
          <w:color w:val="auto"/>
          <w:szCs w:val="21"/>
          <w:highlight w:val="none"/>
        </w:rPr>
      </w:pPr>
      <w:r>
        <w:rPr>
          <w:rFonts w:hint="eastAsia" w:ascii="宋体" w:hAnsi="宋体" w:cs="宋体"/>
          <w:color w:val="auto"/>
          <w:szCs w:val="21"/>
          <w:highlight w:val="none"/>
        </w:rPr>
        <w:t>履约担保的方式、金额及期限:</w:t>
      </w:r>
      <w:r>
        <w:rPr>
          <w:rFonts w:hint="eastAsia" w:ascii="宋体" w:hAnsi="宋体" w:cs="宋体"/>
          <w:color w:val="auto"/>
          <w:szCs w:val="21"/>
          <w:highlight w:val="none"/>
          <w:u w:val="single"/>
        </w:rPr>
        <w:t xml:space="preserve"> 保函、工程担保或保证保险</w:t>
      </w:r>
      <w:r>
        <w:rPr>
          <w:rFonts w:hint="eastAsia" w:ascii="宋体" w:hAnsi="宋体" w:cs="宋体"/>
          <w:color w:val="auto"/>
          <w:szCs w:val="21"/>
          <w:highlight w:val="none"/>
          <w:u w:val="single"/>
          <w:lang w:eastAsia="zh-CN"/>
        </w:rPr>
        <w:t>，合同金额的</w:t>
      </w:r>
      <w:r>
        <w:rPr>
          <w:rFonts w:hint="eastAsia" w:ascii="宋体" w:hAnsi="宋体" w:cs="宋体"/>
          <w:color w:val="auto"/>
          <w:szCs w:val="21"/>
          <w:highlight w:val="none"/>
          <w:u w:val="single"/>
          <w:lang w:val="en-US" w:eastAsia="zh-CN"/>
        </w:rPr>
        <w:t>10%，预付款支付前提供，期限至竣工验收合格</w:t>
      </w:r>
      <w:r>
        <w:rPr>
          <w:rFonts w:hint="eastAsia" w:ascii="宋体" w:hAnsi="宋体" w:cs="宋体"/>
          <w:color w:val="auto"/>
          <w:szCs w:val="21"/>
          <w:highlight w:val="none"/>
        </w:rPr>
        <w:t>。</w:t>
      </w:r>
    </w:p>
    <w:p w14:paraId="2722AB4D">
      <w:pPr>
        <w:ind w:firstLine="600"/>
        <w:rPr>
          <w:rFonts w:hint="eastAsia" w:ascii="宋体" w:hAnsi="宋体" w:cs="宋体"/>
          <w:color w:val="auto"/>
          <w:szCs w:val="21"/>
          <w:highlight w:val="none"/>
        </w:rPr>
      </w:pPr>
      <w:r>
        <w:rPr>
          <w:rFonts w:hint="eastAsia" w:ascii="宋体" w:hAnsi="宋体" w:cs="宋体"/>
          <w:color w:val="auto"/>
          <w:szCs w:val="21"/>
          <w:highlight w:val="none"/>
        </w:rPr>
        <w:t>4.3 工程总承包项目经理</w:t>
      </w:r>
    </w:p>
    <w:p w14:paraId="0F42BACC">
      <w:pPr>
        <w:ind w:firstLine="600"/>
        <w:rPr>
          <w:rFonts w:hint="eastAsia" w:ascii="宋体" w:hAnsi="宋体" w:cs="宋体"/>
          <w:color w:val="auto"/>
          <w:szCs w:val="21"/>
          <w:highlight w:val="none"/>
        </w:rPr>
      </w:pPr>
      <w:r>
        <w:rPr>
          <w:rFonts w:hint="eastAsia" w:ascii="宋体" w:hAnsi="宋体" w:cs="宋体"/>
          <w:color w:val="auto"/>
          <w:szCs w:val="21"/>
          <w:highlight w:val="none"/>
        </w:rPr>
        <w:t>4.3.1 工程总承包项目经理姓名：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E24A5D1">
      <w:pPr>
        <w:ind w:firstLine="600"/>
        <w:rPr>
          <w:rFonts w:hint="eastAsia" w:ascii="宋体" w:hAnsi="宋体" w:cs="宋体"/>
          <w:color w:val="auto"/>
          <w:szCs w:val="21"/>
          <w:highlight w:val="none"/>
        </w:rPr>
      </w:pPr>
      <w:r>
        <w:rPr>
          <w:rFonts w:hint="eastAsia" w:ascii="宋体" w:hAnsi="宋体" w:cs="宋体"/>
          <w:color w:val="auto"/>
          <w:szCs w:val="21"/>
          <w:highlight w:val="none"/>
        </w:rPr>
        <w:t>执业资格或职称类型：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2613C5">
      <w:pPr>
        <w:ind w:firstLine="600"/>
        <w:rPr>
          <w:rFonts w:hint="eastAsia" w:ascii="宋体" w:hAnsi="宋体" w:cs="宋体"/>
          <w:color w:val="auto"/>
          <w:szCs w:val="21"/>
          <w:highlight w:val="none"/>
        </w:rPr>
      </w:pPr>
      <w:r>
        <w:rPr>
          <w:rFonts w:hint="eastAsia" w:ascii="宋体" w:hAnsi="宋体" w:cs="宋体"/>
          <w:color w:val="auto"/>
          <w:szCs w:val="21"/>
          <w:highlight w:val="none"/>
        </w:rPr>
        <w:t>执业资格证或职称证号码：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00047D0">
      <w:pPr>
        <w:ind w:firstLine="6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EC9DD9B">
      <w:pPr>
        <w:ind w:firstLine="600"/>
        <w:rPr>
          <w:rFonts w:hint="eastAsia" w:ascii="宋体" w:hAnsi="宋体" w:cs="宋体"/>
          <w:color w:val="auto"/>
          <w:szCs w:val="21"/>
          <w:highlight w:val="non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3F9831">
      <w:pPr>
        <w:ind w:firstLine="6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9F6DEEA">
      <w:pPr>
        <w:ind w:firstLine="600"/>
        <w:rPr>
          <w:rFonts w:hint="eastAsia" w:ascii="宋体" w:hAnsi="宋体" w:cs="宋体"/>
          <w:color w:val="auto"/>
          <w:szCs w:val="21"/>
          <w:highlight w:val="none"/>
        </w:rPr>
      </w:pPr>
      <w:r>
        <w:rPr>
          <w:rFonts w:hint="eastAsia" w:ascii="宋体" w:hAnsi="宋体" w:cs="宋体"/>
          <w:color w:val="auto"/>
          <w:szCs w:val="21"/>
          <w:highlight w:val="none"/>
        </w:rPr>
        <w:t>承包人未提交劳动合同，以及没有为工程总承包项目经理缴纳社会保险证明的违约责任：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w:t>
      </w:r>
      <w:r>
        <w:rPr>
          <w:rFonts w:hint="eastAsia" w:ascii="宋体" w:hAnsi="宋体" w:cs="宋体"/>
          <w:color w:val="auto"/>
          <w:szCs w:val="21"/>
          <w:highlight w:val="none"/>
        </w:rPr>
        <w:t>。</w:t>
      </w:r>
    </w:p>
    <w:p w14:paraId="5DFC1261">
      <w:pPr>
        <w:ind w:firstLine="600"/>
        <w:rPr>
          <w:rFonts w:hint="eastAsia" w:ascii="宋体" w:hAnsi="宋体" w:cs="宋体"/>
          <w:color w:val="auto"/>
          <w:szCs w:val="21"/>
          <w:highlight w:val="none"/>
        </w:rPr>
      </w:pPr>
      <w:r>
        <w:rPr>
          <w:rFonts w:hint="eastAsia" w:ascii="宋体" w:hAnsi="宋体" w:cs="宋体"/>
          <w:color w:val="auto"/>
          <w:szCs w:val="21"/>
          <w:highlight w:val="none"/>
        </w:rPr>
        <w:t>4.3.2 工程总承包项目经理每月在现场的时间要求：</w:t>
      </w:r>
      <w:r>
        <w:rPr>
          <w:rFonts w:hint="eastAsia" w:ascii="宋体" w:hAnsi="宋体" w:cs="宋体"/>
          <w:color w:val="auto"/>
          <w:szCs w:val="21"/>
          <w:highlight w:val="none"/>
          <w:u w:val="single"/>
        </w:rPr>
        <w:t xml:space="preserve">  不少于22天  </w:t>
      </w:r>
      <w:r>
        <w:rPr>
          <w:rFonts w:hint="eastAsia" w:ascii="宋体" w:hAnsi="宋体" w:cs="宋体"/>
          <w:color w:val="auto"/>
          <w:szCs w:val="21"/>
          <w:highlight w:val="none"/>
        </w:rPr>
        <w:t>。</w:t>
      </w:r>
    </w:p>
    <w:p w14:paraId="091D77CF">
      <w:pPr>
        <w:ind w:firstLine="600"/>
        <w:rPr>
          <w:rFonts w:hint="eastAsia" w:ascii="宋体" w:hAnsi="宋体" w:cs="宋体"/>
          <w:color w:val="auto"/>
          <w:szCs w:val="21"/>
          <w:highlight w:val="none"/>
        </w:rPr>
      </w:pPr>
      <w:r>
        <w:rPr>
          <w:rFonts w:hint="eastAsia" w:ascii="宋体" w:hAnsi="宋体" w:cs="宋体"/>
          <w:color w:val="auto"/>
          <w:szCs w:val="21"/>
          <w:highlight w:val="none"/>
        </w:rPr>
        <w:t>工程总承包项目经理未经批准擅自离开施工现场的违约责任：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710745D">
      <w:pPr>
        <w:ind w:firstLine="600"/>
        <w:rPr>
          <w:rFonts w:hint="eastAsia" w:ascii="宋体" w:hAnsi="宋体" w:cs="宋体"/>
          <w:color w:val="auto"/>
          <w:szCs w:val="21"/>
          <w:highlight w:val="none"/>
        </w:rPr>
      </w:pPr>
      <w:r>
        <w:rPr>
          <w:rFonts w:hint="eastAsia" w:ascii="宋体" w:hAnsi="宋体" w:cs="宋体"/>
          <w:color w:val="auto"/>
          <w:szCs w:val="21"/>
          <w:highlight w:val="none"/>
        </w:rPr>
        <w:t>4.3.3 承包人对工程总承包项目经理的授权范围</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3C6AEA8">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4.3.4 承包人擅自更换工程总承包项目经理的违约责任：</w:t>
      </w:r>
      <w:r>
        <w:rPr>
          <w:rFonts w:hint="eastAsia" w:ascii="宋体" w:hAnsi="宋体" w:cs="宋体"/>
          <w:color w:val="auto"/>
          <w:szCs w:val="21"/>
          <w:highlight w:val="none"/>
          <w:u w:val="single"/>
        </w:rPr>
        <w:t xml:space="preserve"> 承包人更换项目经理，</w:t>
      </w:r>
      <w:r>
        <w:rPr>
          <w:rFonts w:hint="eastAsia" w:ascii="宋体" w:hAnsi="宋体" w:cs="宋体"/>
          <w:color w:val="auto"/>
          <w:szCs w:val="21"/>
          <w:highlight w:val="none"/>
          <w:u w:val="single"/>
          <w:lang w:eastAsia="zh-CN"/>
        </w:rPr>
        <w:t>违约金</w:t>
      </w:r>
      <w:r>
        <w:rPr>
          <w:rFonts w:hint="eastAsia" w:ascii="宋体" w:hAnsi="宋体" w:cs="宋体"/>
          <w:color w:val="auto"/>
          <w:szCs w:val="21"/>
          <w:highlight w:val="none"/>
          <w:u w:val="single"/>
          <w:lang w:val="en-US" w:eastAsia="zh-CN"/>
        </w:rPr>
        <w:t>伍</w:t>
      </w:r>
      <w:r>
        <w:rPr>
          <w:rFonts w:hint="eastAsia" w:ascii="宋体" w:hAnsi="宋体" w:cs="宋体"/>
          <w:color w:val="auto"/>
          <w:szCs w:val="21"/>
          <w:highlight w:val="none"/>
          <w:u w:val="single"/>
        </w:rPr>
        <w:t>万元；擅自更换项目经理，</w:t>
      </w:r>
      <w:r>
        <w:rPr>
          <w:rFonts w:hint="eastAsia" w:ascii="宋体" w:hAnsi="宋体" w:cs="宋体"/>
          <w:color w:val="auto"/>
          <w:szCs w:val="21"/>
          <w:highlight w:val="none"/>
          <w:u w:val="single"/>
          <w:lang w:eastAsia="zh-CN"/>
        </w:rPr>
        <w:t>违约金</w:t>
      </w:r>
      <w:r>
        <w:rPr>
          <w:rFonts w:hint="eastAsia" w:ascii="宋体" w:hAnsi="宋体" w:cs="宋体"/>
          <w:color w:val="auto"/>
          <w:szCs w:val="21"/>
          <w:highlight w:val="none"/>
          <w:u w:val="single"/>
          <w:lang w:val="en-US" w:eastAsia="zh-CN"/>
        </w:rPr>
        <w:t>壹拾</w:t>
      </w:r>
      <w:r>
        <w:rPr>
          <w:rFonts w:hint="eastAsia" w:ascii="宋体" w:hAnsi="宋体" w:cs="宋体"/>
          <w:color w:val="auto"/>
          <w:szCs w:val="21"/>
          <w:highlight w:val="none"/>
          <w:u w:val="single"/>
        </w:rPr>
        <w:t>万元。</w:t>
      </w:r>
    </w:p>
    <w:p w14:paraId="4CBFD324">
      <w:pPr>
        <w:ind w:firstLine="600"/>
        <w:rPr>
          <w:rFonts w:hint="eastAsia" w:ascii="宋体" w:hAnsi="宋体" w:cs="宋体"/>
          <w:color w:val="auto"/>
          <w:szCs w:val="21"/>
          <w:highlight w:val="none"/>
        </w:rPr>
      </w:pPr>
      <w:r>
        <w:rPr>
          <w:rFonts w:hint="eastAsia" w:ascii="宋体" w:hAnsi="宋体" w:cs="宋体"/>
          <w:color w:val="auto"/>
          <w:szCs w:val="21"/>
          <w:highlight w:val="none"/>
        </w:rPr>
        <w:t>4.3.5 承包人无正当理由拒绝更换工程总承包项目经理的违约责任: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违约金</w:t>
      </w:r>
      <w:r>
        <w:rPr>
          <w:rFonts w:hint="eastAsia" w:ascii="宋体" w:hAnsi="宋体" w:cs="宋体"/>
          <w:color w:val="auto"/>
          <w:szCs w:val="21"/>
          <w:highlight w:val="none"/>
          <w:u w:val="single"/>
          <w:lang w:val="en-US" w:eastAsia="zh-CN"/>
        </w:rPr>
        <w:t>伍</w:t>
      </w:r>
      <w:r>
        <w:rPr>
          <w:rFonts w:hint="eastAsia" w:ascii="宋体" w:hAnsi="宋体" w:cs="宋体"/>
          <w:color w:val="auto"/>
          <w:szCs w:val="21"/>
          <w:highlight w:val="none"/>
          <w:u w:val="single"/>
        </w:rPr>
        <w:t xml:space="preserve">万元  </w:t>
      </w:r>
      <w:r>
        <w:rPr>
          <w:rFonts w:hint="eastAsia" w:ascii="宋体" w:hAnsi="宋体" w:cs="宋体"/>
          <w:color w:val="auto"/>
          <w:szCs w:val="21"/>
          <w:highlight w:val="none"/>
        </w:rPr>
        <w:t>。</w:t>
      </w:r>
    </w:p>
    <w:p w14:paraId="5E2888D0">
      <w:pPr>
        <w:ind w:firstLine="600"/>
        <w:rPr>
          <w:rFonts w:hint="eastAsia" w:ascii="宋体" w:hAnsi="宋体" w:cs="宋体"/>
          <w:color w:val="auto"/>
          <w:szCs w:val="21"/>
          <w:highlight w:val="none"/>
        </w:rPr>
      </w:pPr>
      <w:r>
        <w:rPr>
          <w:rFonts w:hint="eastAsia" w:ascii="宋体" w:hAnsi="宋体" w:cs="宋体"/>
          <w:color w:val="auto"/>
          <w:szCs w:val="21"/>
          <w:highlight w:val="none"/>
        </w:rPr>
        <w:t>承包人更换项目经理</w:t>
      </w:r>
      <w:r>
        <w:rPr>
          <w:rFonts w:hint="eastAsia" w:ascii="宋体" w:hAnsi="宋体" w:cs="宋体"/>
          <w:color w:val="auto"/>
          <w:szCs w:val="21"/>
          <w:highlight w:val="none"/>
          <w:u w:val="none"/>
          <w:lang w:eastAsia="zh-CN"/>
        </w:rPr>
        <w:t>违约金</w:t>
      </w:r>
      <w:r>
        <w:rPr>
          <w:rFonts w:hint="eastAsia" w:ascii="宋体" w:hAnsi="宋体" w:cs="宋体"/>
          <w:color w:val="auto"/>
          <w:szCs w:val="21"/>
          <w:highlight w:val="none"/>
        </w:rPr>
        <w:t>，工程结算时进行扣除。</w:t>
      </w:r>
    </w:p>
    <w:p w14:paraId="66180615">
      <w:pPr>
        <w:ind w:firstLine="600"/>
        <w:rPr>
          <w:rFonts w:hint="eastAsia" w:ascii="宋体" w:hAnsi="宋体" w:cs="宋体"/>
          <w:color w:val="auto"/>
          <w:szCs w:val="21"/>
          <w:highlight w:val="none"/>
        </w:rPr>
      </w:pPr>
      <w:r>
        <w:rPr>
          <w:rFonts w:hint="eastAsia" w:ascii="宋体" w:hAnsi="宋体" w:cs="宋体"/>
          <w:color w:val="auto"/>
          <w:szCs w:val="21"/>
          <w:highlight w:val="none"/>
        </w:rPr>
        <w:t>4.4 承包人人员</w:t>
      </w:r>
    </w:p>
    <w:p w14:paraId="5D7EAE43">
      <w:pPr>
        <w:ind w:firstLine="600"/>
        <w:rPr>
          <w:rFonts w:hint="eastAsia" w:ascii="宋体" w:hAnsi="宋体" w:cs="宋体"/>
          <w:color w:val="auto"/>
          <w:szCs w:val="21"/>
          <w:highlight w:val="none"/>
        </w:rPr>
      </w:pPr>
      <w:r>
        <w:rPr>
          <w:rFonts w:hint="eastAsia" w:ascii="宋体" w:hAnsi="宋体" w:cs="宋体"/>
          <w:color w:val="auto"/>
          <w:szCs w:val="21"/>
          <w:highlight w:val="none"/>
        </w:rPr>
        <w:t>4.4.1 人员安排</w:t>
      </w:r>
    </w:p>
    <w:p w14:paraId="30A8B597">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承包人提交项目管理机构及施工现场人员安排的报告的期限：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721335B">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承包人提交关键人员信息及注册执业资格等证明其具备担任关键人员能力的相关文件的期限：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p>
    <w:p w14:paraId="5F9DEA4B">
      <w:pPr>
        <w:ind w:firstLine="600"/>
        <w:rPr>
          <w:rFonts w:hint="eastAsia" w:ascii="宋体" w:hAnsi="宋体" w:cs="宋体"/>
          <w:color w:val="auto"/>
          <w:szCs w:val="21"/>
          <w:highlight w:val="none"/>
        </w:rPr>
      </w:pPr>
      <w:r>
        <w:rPr>
          <w:rFonts w:hint="eastAsia" w:ascii="宋体" w:hAnsi="宋体" w:cs="宋体"/>
          <w:color w:val="auto"/>
          <w:szCs w:val="21"/>
          <w:highlight w:val="none"/>
        </w:rPr>
        <w:t>4.4.2 关键人员更换</w:t>
      </w:r>
    </w:p>
    <w:p w14:paraId="19CB45F0">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承包人擅自更换关键人员的违约责任：</w:t>
      </w:r>
      <w:r>
        <w:rPr>
          <w:rFonts w:hint="eastAsia" w:ascii="宋体" w:hAnsi="宋体" w:cs="宋体"/>
          <w:color w:val="auto"/>
          <w:szCs w:val="21"/>
          <w:highlight w:val="none"/>
          <w:u w:val="single"/>
        </w:rPr>
        <w:t xml:space="preserve">  承包人更换关键人员，</w:t>
      </w:r>
      <w:r>
        <w:rPr>
          <w:rFonts w:hint="eastAsia" w:ascii="宋体" w:hAnsi="宋体" w:cs="宋体"/>
          <w:color w:val="auto"/>
          <w:szCs w:val="21"/>
          <w:highlight w:val="none"/>
          <w:u w:val="single"/>
          <w:lang w:eastAsia="zh-CN"/>
        </w:rPr>
        <w:t>违约金</w:t>
      </w:r>
      <w:r>
        <w:rPr>
          <w:rFonts w:hint="eastAsia" w:ascii="宋体" w:hAnsi="宋体" w:cs="宋体"/>
          <w:color w:val="auto"/>
          <w:szCs w:val="21"/>
          <w:highlight w:val="none"/>
          <w:u w:val="single"/>
          <w:lang w:val="en-US" w:eastAsia="zh-CN"/>
        </w:rPr>
        <w:t>贰</w:t>
      </w:r>
      <w:r>
        <w:rPr>
          <w:rFonts w:hint="eastAsia" w:ascii="宋体" w:hAnsi="宋体" w:cs="宋体"/>
          <w:color w:val="auto"/>
          <w:szCs w:val="21"/>
          <w:highlight w:val="none"/>
          <w:u w:val="single"/>
        </w:rPr>
        <w:t>万元；擅自更换关键人员，</w:t>
      </w:r>
      <w:r>
        <w:rPr>
          <w:rFonts w:hint="eastAsia" w:ascii="宋体" w:hAnsi="宋体" w:cs="宋体"/>
          <w:color w:val="auto"/>
          <w:szCs w:val="21"/>
          <w:highlight w:val="none"/>
          <w:u w:val="single"/>
          <w:lang w:eastAsia="zh-CN"/>
        </w:rPr>
        <w:t>违约金</w:t>
      </w:r>
      <w:r>
        <w:rPr>
          <w:rFonts w:hint="eastAsia" w:ascii="宋体" w:hAnsi="宋体" w:cs="宋体"/>
          <w:color w:val="auto"/>
          <w:szCs w:val="21"/>
          <w:highlight w:val="none"/>
          <w:u w:val="single"/>
          <w:lang w:val="en-US" w:eastAsia="zh-CN"/>
        </w:rPr>
        <w:t>伍</w:t>
      </w:r>
      <w:r>
        <w:rPr>
          <w:rFonts w:hint="eastAsia" w:ascii="宋体" w:hAnsi="宋体" w:cs="宋体"/>
          <w:color w:val="auto"/>
          <w:szCs w:val="21"/>
          <w:highlight w:val="none"/>
          <w:u w:val="single"/>
        </w:rPr>
        <w:t>万元。</w:t>
      </w:r>
    </w:p>
    <w:p w14:paraId="2CC503FB">
      <w:pPr>
        <w:ind w:firstLine="600"/>
        <w:rPr>
          <w:rFonts w:hint="eastAsia" w:ascii="宋体" w:hAnsi="宋体" w:cs="宋体"/>
          <w:color w:val="auto"/>
          <w:szCs w:val="21"/>
          <w:highlight w:val="none"/>
        </w:rPr>
      </w:pPr>
      <w:r>
        <w:rPr>
          <w:rFonts w:hint="eastAsia" w:ascii="宋体" w:hAnsi="宋体" w:cs="宋体"/>
          <w:color w:val="auto"/>
          <w:szCs w:val="21"/>
          <w:highlight w:val="none"/>
        </w:rPr>
        <w:t>承包人无正当理由拒绝撤换关键人员的违约责任：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违约金</w:t>
      </w:r>
      <w:r>
        <w:rPr>
          <w:rFonts w:hint="eastAsia" w:ascii="宋体" w:hAnsi="宋体" w:cs="宋体"/>
          <w:color w:val="auto"/>
          <w:szCs w:val="21"/>
          <w:highlight w:val="none"/>
          <w:u w:val="single"/>
          <w:lang w:val="en-US" w:eastAsia="zh-CN"/>
        </w:rPr>
        <w:t>伍万</w:t>
      </w:r>
      <w:r>
        <w:rPr>
          <w:rFonts w:hint="eastAsia" w:ascii="宋体" w:hAnsi="宋体" w:cs="宋体"/>
          <w:color w:val="auto"/>
          <w:szCs w:val="21"/>
          <w:highlight w:val="none"/>
          <w:u w:val="single"/>
        </w:rPr>
        <w:t xml:space="preserve">元  </w:t>
      </w:r>
      <w:r>
        <w:rPr>
          <w:rFonts w:hint="eastAsia" w:ascii="宋体" w:hAnsi="宋体" w:cs="宋体"/>
          <w:color w:val="auto"/>
          <w:szCs w:val="21"/>
          <w:highlight w:val="none"/>
        </w:rPr>
        <w:t>。</w:t>
      </w:r>
    </w:p>
    <w:p w14:paraId="42CC0B75">
      <w:pPr>
        <w:ind w:firstLine="600"/>
        <w:rPr>
          <w:rFonts w:hint="eastAsia" w:ascii="宋体" w:hAnsi="宋体" w:cs="宋体"/>
          <w:color w:val="auto"/>
          <w:szCs w:val="21"/>
          <w:highlight w:val="none"/>
        </w:rPr>
      </w:pPr>
      <w:r>
        <w:rPr>
          <w:rFonts w:hint="eastAsia" w:ascii="宋体" w:hAnsi="宋体" w:cs="宋体"/>
          <w:color w:val="auto"/>
          <w:szCs w:val="21"/>
          <w:highlight w:val="none"/>
        </w:rPr>
        <w:t>4.4.3 现场管理关键人员在岗要求</w:t>
      </w:r>
    </w:p>
    <w:p w14:paraId="0BD95262">
      <w:pPr>
        <w:ind w:firstLine="600"/>
        <w:rPr>
          <w:rFonts w:hint="eastAsia" w:ascii="宋体" w:hAnsi="宋体" w:cs="宋体"/>
          <w:color w:val="auto"/>
          <w:szCs w:val="21"/>
          <w:highlight w:val="none"/>
        </w:rPr>
      </w:pPr>
      <w:r>
        <w:rPr>
          <w:rFonts w:hint="eastAsia" w:ascii="宋体" w:hAnsi="宋体" w:cs="宋体"/>
          <w:color w:val="auto"/>
          <w:szCs w:val="21"/>
          <w:highlight w:val="none"/>
        </w:rPr>
        <w:t>承包人现场管理关键人员离开施工现场的批准要求：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3F8945">
      <w:pPr>
        <w:ind w:firstLine="600"/>
        <w:rPr>
          <w:rFonts w:hint="eastAsia" w:ascii="宋体" w:hAnsi="宋体" w:cs="宋体"/>
          <w:color w:val="auto"/>
          <w:szCs w:val="21"/>
          <w:highlight w:val="none"/>
        </w:rPr>
      </w:pPr>
      <w:r>
        <w:rPr>
          <w:rFonts w:hint="eastAsia" w:ascii="宋体" w:hAnsi="宋体" w:cs="宋体"/>
          <w:color w:val="auto"/>
          <w:szCs w:val="21"/>
          <w:highlight w:val="none"/>
        </w:rPr>
        <w:t>承包人现场管理关键人员擅自离开施工现场的违约责任：</w:t>
      </w:r>
      <w:r>
        <w:rPr>
          <w:rFonts w:hint="eastAsia" w:ascii="宋体" w:hAnsi="宋体" w:cs="宋体"/>
          <w:color w:val="auto"/>
          <w:szCs w:val="21"/>
          <w:highlight w:val="none"/>
          <w:u w:val="single"/>
        </w:rPr>
        <w:t xml:space="preserve">  </w:t>
      </w:r>
      <w:r>
        <w:rPr>
          <w:rFonts w:hint="eastAsia" w:ascii="宋体" w:hAnsi="宋体" w:eastAsia="宋体" w:cs="宋体"/>
          <w:color w:val="auto"/>
          <w:kern w:val="2"/>
          <w:highlight w:val="none"/>
          <w:u w:val="single"/>
          <w:lang w:eastAsia="zh-CN" w:bidi="ar"/>
        </w:rPr>
        <w:t>支付违约金</w:t>
      </w:r>
      <w:r>
        <w:rPr>
          <w:rFonts w:hint="eastAsia" w:ascii="宋体" w:hAnsi="宋体" w:eastAsia="宋体" w:cs="宋体"/>
          <w:color w:val="auto"/>
          <w:kern w:val="2"/>
          <w:highlight w:val="none"/>
          <w:u w:val="single"/>
          <w:lang w:val="en-US" w:eastAsia="zh-CN" w:bidi="ar"/>
        </w:rPr>
        <w:t>壹万元</w:t>
      </w:r>
      <w:r>
        <w:rPr>
          <w:rFonts w:hint="eastAsia" w:ascii="宋体" w:hAnsi="宋体" w:eastAsia="宋体" w:cs="宋体"/>
          <w:color w:val="auto"/>
          <w:kern w:val="2"/>
          <w:highlight w:val="none"/>
          <w:u w:val="single"/>
          <w:lang w:bidi="ar"/>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B95DF7">
      <w:pPr>
        <w:pStyle w:val="16"/>
        <w:rPr>
          <w:color w:val="auto"/>
          <w:highlight w:val="none"/>
        </w:rPr>
      </w:pPr>
      <w:r>
        <w:rPr>
          <w:rFonts w:hint="eastAsia" w:ascii="宋体" w:hAnsi="宋体" w:cs="宋体"/>
          <w:color w:val="auto"/>
          <w:szCs w:val="21"/>
          <w:highlight w:val="none"/>
        </w:rPr>
        <w:t>承包人更换人员</w:t>
      </w:r>
      <w:r>
        <w:rPr>
          <w:rFonts w:hint="eastAsia" w:ascii="宋体" w:hAnsi="宋体" w:cs="宋体"/>
          <w:color w:val="auto"/>
          <w:szCs w:val="21"/>
          <w:highlight w:val="none"/>
          <w:u w:val="none"/>
          <w:lang w:eastAsia="zh-CN"/>
        </w:rPr>
        <w:t>违约金</w:t>
      </w:r>
      <w:r>
        <w:rPr>
          <w:rFonts w:hint="eastAsia" w:ascii="宋体" w:hAnsi="宋体" w:cs="宋体"/>
          <w:color w:val="auto"/>
          <w:szCs w:val="21"/>
          <w:highlight w:val="none"/>
        </w:rPr>
        <w:t>，工程结算时进行扣除。</w:t>
      </w:r>
    </w:p>
    <w:p w14:paraId="57E03F7F">
      <w:pPr>
        <w:ind w:firstLine="600"/>
        <w:rPr>
          <w:rFonts w:hint="eastAsia" w:ascii="宋体" w:hAnsi="宋体" w:cs="宋体"/>
          <w:color w:val="auto"/>
          <w:szCs w:val="21"/>
          <w:highlight w:val="none"/>
        </w:rPr>
      </w:pPr>
      <w:r>
        <w:rPr>
          <w:rFonts w:hint="eastAsia" w:ascii="宋体" w:hAnsi="宋体" w:cs="宋体"/>
          <w:color w:val="auto"/>
          <w:szCs w:val="21"/>
          <w:highlight w:val="none"/>
        </w:rPr>
        <w:t>4.5 分包</w:t>
      </w:r>
    </w:p>
    <w:p w14:paraId="4F8D4BD1">
      <w:pPr>
        <w:ind w:firstLine="600"/>
        <w:rPr>
          <w:rFonts w:hint="eastAsia" w:ascii="宋体" w:hAnsi="宋体" w:cs="宋体"/>
          <w:color w:val="auto"/>
          <w:szCs w:val="21"/>
          <w:highlight w:val="none"/>
        </w:rPr>
      </w:pPr>
      <w:r>
        <w:rPr>
          <w:rFonts w:hint="eastAsia" w:ascii="宋体" w:hAnsi="宋体" w:cs="宋体"/>
          <w:color w:val="auto"/>
          <w:szCs w:val="21"/>
          <w:highlight w:val="none"/>
        </w:rPr>
        <w:t>4.5.1 一般约定</w:t>
      </w:r>
    </w:p>
    <w:p w14:paraId="0F284B5C">
      <w:pPr>
        <w:ind w:firstLine="600"/>
        <w:rPr>
          <w:rFonts w:hint="eastAsia"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17889EC3">
      <w:pPr>
        <w:ind w:firstLine="600"/>
        <w:rPr>
          <w:rFonts w:hint="eastAsia" w:ascii="宋体" w:hAnsi="宋体" w:cs="宋体"/>
          <w:color w:val="auto"/>
          <w:szCs w:val="21"/>
          <w:highlight w:val="none"/>
        </w:rPr>
      </w:pPr>
      <w:r>
        <w:rPr>
          <w:rFonts w:hint="eastAsia" w:ascii="宋体" w:hAnsi="宋体" w:cs="宋体"/>
          <w:color w:val="auto"/>
          <w:szCs w:val="21"/>
          <w:highlight w:val="none"/>
        </w:rPr>
        <w:t>4.5.2 分包的确定</w:t>
      </w:r>
    </w:p>
    <w:p w14:paraId="742D5EB6">
      <w:pPr>
        <w:ind w:firstLine="600"/>
        <w:rPr>
          <w:rFonts w:hint="eastAsia" w:ascii="宋体" w:hAnsi="宋体" w:cs="宋体"/>
          <w:color w:val="auto"/>
          <w:szCs w:val="21"/>
          <w:highlight w:val="none"/>
        </w:rPr>
      </w:pPr>
      <w:r>
        <w:rPr>
          <w:rFonts w:hint="eastAsia" w:ascii="宋体" w:hAnsi="宋体" w:cs="宋体"/>
          <w:color w:val="auto"/>
          <w:szCs w:val="21"/>
          <w:highlight w:val="none"/>
        </w:rPr>
        <w:t>允许分包的工程包括：</w:t>
      </w:r>
      <w:r>
        <w:rPr>
          <w:rFonts w:hint="eastAsia" w:ascii="宋体" w:hAnsi="宋体" w:cs="宋体"/>
          <w:color w:val="auto"/>
          <w:szCs w:val="21"/>
          <w:highlight w:val="none"/>
          <w:u w:val="single"/>
        </w:rPr>
        <w:t xml:space="preserve">  所有分包单位须经发包人认可，并做好对分包单位的管理工作，确保不拖欠分包单位工程款和农民工工资  </w:t>
      </w:r>
      <w:r>
        <w:rPr>
          <w:rFonts w:hint="eastAsia" w:ascii="宋体" w:hAnsi="宋体" w:cs="宋体"/>
          <w:color w:val="auto"/>
          <w:szCs w:val="21"/>
          <w:highlight w:val="none"/>
        </w:rPr>
        <w:t>。</w:t>
      </w:r>
    </w:p>
    <w:p w14:paraId="5A7B3241">
      <w:pPr>
        <w:ind w:firstLine="600"/>
        <w:rPr>
          <w:rFonts w:hint="eastAsia" w:ascii="宋体" w:hAnsi="宋体" w:cs="宋体"/>
          <w:color w:val="auto"/>
          <w:szCs w:val="21"/>
          <w:highlight w:val="none"/>
        </w:rPr>
      </w:pPr>
      <w:r>
        <w:rPr>
          <w:rFonts w:hint="eastAsia" w:ascii="宋体" w:hAnsi="宋体" w:cs="宋体"/>
          <w:color w:val="auto"/>
          <w:szCs w:val="21"/>
          <w:highlight w:val="none"/>
        </w:rPr>
        <w:t>其他关于分包的约定：</w:t>
      </w:r>
      <w:r>
        <w:rPr>
          <w:rFonts w:hint="eastAsia" w:ascii="宋体" w:hAnsi="宋体" w:cs="宋体"/>
          <w:color w:val="auto"/>
          <w:szCs w:val="21"/>
          <w:highlight w:val="none"/>
          <w:u w:val="single"/>
        </w:rPr>
        <w:t xml:space="preserve"> </w:t>
      </w:r>
      <w:r>
        <w:rPr>
          <w:rFonts w:hint="eastAsia" w:ascii="宋体" w:hAnsi="宋体" w:eastAsia="宋体" w:cs="宋体"/>
          <w:color w:val="auto"/>
          <w:kern w:val="2"/>
          <w:highlight w:val="none"/>
          <w:u w:val="single"/>
          <w:lang w:bidi="ar"/>
        </w:rPr>
        <w:t xml:space="preserve"> </w:t>
      </w:r>
      <w:r>
        <w:rPr>
          <w:rFonts w:hint="eastAsia" w:ascii="宋体" w:hAnsi="宋体" w:cs="宋体"/>
          <w:color w:val="auto"/>
          <w:szCs w:val="21"/>
          <w:highlight w:val="none"/>
          <w:u w:val="single"/>
        </w:rPr>
        <w:t>经发包人认可</w:t>
      </w:r>
      <w:r>
        <w:rPr>
          <w:rFonts w:hint="eastAsia" w:ascii="宋体" w:hAnsi="宋体" w:cs="宋体"/>
          <w:color w:val="auto"/>
          <w:szCs w:val="21"/>
          <w:highlight w:val="none"/>
          <w:u w:val="single"/>
          <w:lang w:eastAsia="zh-CN"/>
        </w:rPr>
        <w:t>的分包单位，</w:t>
      </w:r>
      <w:r>
        <w:rPr>
          <w:rFonts w:hint="eastAsia" w:ascii="宋体" w:hAnsi="宋体" w:eastAsia="宋体" w:cs="宋体"/>
          <w:color w:val="auto"/>
          <w:kern w:val="2"/>
          <w:highlight w:val="none"/>
          <w:u w:val="single"/>
          <w:lang w:bidi="ar"/>
        </w:rPr>
        <w:t>承包人应确保分包人具有相应的资质和能力。工程分包不减轻或免除承包人的责任和义务，承包人和分包人就分包工程向发包人承担连带责任</w:t>
      </w:r>
      <w:r>
        <w:rPr>
          <w:rFonts w:hint="eastAsia" w:ascii="宋体" w:hAnsi="宋体" w:cs="宋体"/>
          <w:color w:val="auto"/>
          <w:szCs w:val="21"/>
          <w:highlight w:val="none"/>
        </w:rPr>
        <w:t>。</w:t>
      </w:r>
    </w:p>
    <w:p w14:paraId="4CC7D19B">
      <w:pPr>
        <w:ind w:firstLine="600"/>
        <w:rPr>
          <w:rFonts w:hint="eastAsia" w:ascii="宋体" w:hAnsi="宋体" w:cs="宋体"/>
          <w:color w:val="auto"/>
          <w:szCs w:val="21"/>
          <w:highlight w:val="none"/>
        </w:rPr>
      </w:pPr>
      <w:r>
        <w:rPr>
          <w:rFonts w:hint="eastAsia" w:ascii="宋体" w:hAnsi="宋体" w:cs="宋体"/>
          <w:color w:val="auto"/>
          <w:szCs w:val="21"/>
          <w:highlight w:val="none"/>
        </w:rPr>
        <w:t>4.5.5 分包合同价款支付</w:t>
      </w:r>
    </w:p>
    <w:p w14:paraId="596066B9">
      <w:pPr>
        <w:ind w:firstLine="600"/>
        <w:rPr>
          <w:rFonts w:hint="eastAsia"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65126B2">
      <w:pPr>
        <w:ind w:firstLine="600"/>
        <w:rPr>
          <w:rFonts w:hint="eastAsia" w:ascii="宋体" w:hAnsi="宋体" w:cs="宋体"/>
          <w:color w:val="auto"/>
          <w:szCs w:val="21"/>
          <w:highlight w:val="none"/>
        </w:rPr>
      </w:pPr>
      <w:r>
        <w:rPr>
          <w:rFonts w:hint="eastAsia" w:ascii="宋体" w:hAnsi="宋体" w:cs="宋体"/>
          <w:color w:val="auto"/>
          <w:szCs w:val="21"/>
          <w:highlight w:val="none"/>
        </w:rPr>
        <w:t>4.6 联合体</w:t>
      </w:r>
    </w:p>
    <w:p w14:paraId="59BFEA6E">
      <w:pPr>
        <w:ind w:firstLine="600"/>
        <w:rPr>
          <w:rFonts w:hint="eastAsia" w:ascii="宋体" w:hAnsi="宋体" w:cs="宋体"/>
          <w:color w:val="auto"/>
          <w:szCs w:val="21"/>
          <w:highlight w:val="none"/>
        </w:rPr>
      </w:pPr>
      <w:r>
        <w:rPr>
          <w:rFonts w:hint="eastAsia" w:ascii="宋体" w:hAnsi="宋体" w:cs="宋体"/>
          <w:color w:val="auto"/>
          <w:szCs w:val="21"/>
          <w:highlight w:val="none"/>
        </w:rPr>
        <w:t>4.6.2 联合体各成员的分工、费用收取、发票开具等事项：</w:t>
      </w:r>
      <w:r>
        <w:rPr>
          <w:rFonts w:hint="eastAsia" w:ascii="宋体" w:hAnsi="宋体" w:cs="宋体"/>
          <w:color w:val="auto"/>
          <w:szCs w:val="21"/>
          <w:highlight w:val="none"/>
          <w:u w:val="single"/>
        </w:rPr>
        <w:t xml:space="preserve">联合体各成员的分工按照联合体协议执行，发包人可以直接向联合体各成员支付费用  </w:t>
      </w:r>
      <w:r>
        <w:rPr>
          <w:rFonts w:hint="eastAsia" w:ascii="宋体" w:hAnsi="宋体" w:cs="宋体"/>
          <w:color w:val="auto"/>
          <w:szCs w:val="21"/>
          <w:highlight w:val="none"/>
        </w:rPr>
        <w:t>。</w:t>
      </w:r>
    </w:p>
    <w:p w14:paraId="17F10BDC">
      <w:pPr>
        <w:ind w:firstLine="600"/>
        <w:rPr>
          <w:rFonts w:hint="eastAsia" w:ascii="宋体" w:hAnsi="宋体" w:cs="宋体"/>
          <w:color w:val="auto"/>
          <w:szCs w:val="21"/>
          <w:highlight w:val="none"/>
        </w:rPr>
      </w:pPr>
      <w:r>
        <w:rPr>
          <w:rFonts w:hint="eastAsia" w:ascii="宋体" w:hAnsi="宋体" w:cs="宋体"/>
          <w:color w:val="auto"/>
          <w:szCs w:val="21"/>
          <w:highlight w:val="none"/>
        </w:rPr>
        <w:t>4.7 承包人现场查勘</w:t>
      </w:r>
    </w:p>
    <w:p w14:paraId="03F2CC48">
      <w:pPr>
        <w:ind w:firstLine="600"/>
        <w:rPr>
          <w:rFonts w:hint="eastAsia" w:ascii="宋体" w:hAnsi="宋体" w:cs="宋体"/>
          <w:color w:val="auto"/>
          <w:szCs w:val="21"/>
          <w:highlight w:val="none"/>
        </w:rPr>
      </w:pPr>
      <w:r>
        <w:rPr>
          <w:rFonts w:hint="eastAsia" w:ascii="宋体" w:hAnsi="宋体" w:cs="宋体"/>
          <w:color w:val="auto"/>
          <w:szCs w:val="21"/>
          <w:highlight w:val="none"/>
        </w:rPr>
        <w:t>4.7.1 双方当事人对现场查勘的责任承担的约定：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C177C22">
      <w:pPr>
        <w:ind w:firstLine="600"/>
        <w:rPr>
          <w:rFonts w:hint="eastAsia" w:ascii="宋体" w:hAnsi="宋体" w:cs="宋体"/>
          <w:color w:val="auto"/>
          <w:szCs w:val="21"/>
          <w:highlight w:val="none"/>
        </w:rPr>
      </w:pPr>
      <w:r>
        <w:rPr>
          <w:rFonts w:hint="eastAsia" w:ascii="宋体" w:hAnsi="宋体" w:cs="宋体"/>
          <w:color w:val="auto"/>
          <w:szCs w:val="21"/>
          <w:highlight w:val="none"/>
        </w:rPr>
        <w:t>4.8 不可预见的困难</w:t>
      </w:r>
    </w:p>
    <w:p w14:paraId="7DB4AA66">
      <w:pPr>
        <w:ind w:firstLine="600"/>
        <w:rPr>
          <w:rFonts w:hint="eastAsia" w:ascii="宋体" w:hAnsi="宋体" w:cs="宋体"/>
          <w:color w:val="auto"/>
          <w:szCs w:val="21"/>
          <w:highlight w:val="none"/>
        </w:rPr>
      </w:pPr>
      <w:r>
        <w:rPr>
          <w:rFonts w:hint="eastAsia" w:ascii="宋体" w:hAnsi="宋体" w:cs="宋体"/>
          <w:color w:val="auto"/>
          <w:szCs w:val="21"/>
          <w:highlight w:val="none"/>
        </w:rPr>
        <w:t>不可预见的困难包括：</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0FAECE8">
      <w:pPr>
        <w:pStyle w:val="91"/>
        <w:rPr>
          <w:rFonts w:hint="eastAsia" w:cs="宋体"/>
          <w:b w:val="0"/>
          <w:color w:val="auto"/>
          <w:sz w:val="21"/>
          <w:szCs w:val="21"/>
          <w:highlight w:val="none"/>
        </w:rPr>
      </w:pPr>
      <w:bookmarkStart w:id="2807" w:name="_Toc103175810"/>
      <w:bookmarkStart w:id="2808" w:name="_Toc22757"/>
      <w:bookmarkStart w:id="2809" w:name="_Toc8681"/>
      <w:bookmarkStart w:id="2810" w:name="_Toc22960"/>
      <w:bookmarkStart w:id="2811" w:name="_Toc27082"/>
      <w:bookmarkStart w:id="2812" w:name="_Toc4832"/>
      <w:bookmarkStart w:id="2813" w:name="_Toc708"/>
      <w:bookmarkStart w:id="2814" w:name="_Toc29816"/>
      <w:bookmarkStart w:id="2815" w:name="_Toc20942"/>
      <w:bookmarkStart w:id="2816" w:name="_Toc31943"/>
      <w:bookmarkStart w:id="2817" w:name="_Toc14540"/>
      <w:r>
        <w:rPr>
          <w:rFonts w:hint="eastAsia" w:cs="宋体"/>
          <w:b w:val="0"/>
          <w:color w:val="auto"/>
          <w:sz w:val="21"/>
          <w:szCs w:val="21"/>
          <w:highlight w:val="none"/>
        </w:rPr>
        <w:t>第5条 设计</w:t>
      </w:r>
      <w:bookmarkEnd w:id="2807"/>
      <w:bookmarkEnd w:id="2808"/>
      <w:bookmarkEnd w:id="2809"/>
      <w:bookmarkEnd w:id="2810"/>
      <w:bookmarkEnd w:id="2811"/>
      <w:bookmarkEnd w:id="2812"/>
      <w:bookmarkEnd w:id="2813"/>
      <w:bookmarkEnd w:id="2814"/>
      <w:bookmarkEnd w:id="2815"/>
      <w:bookmarkEnd w:id="2816"/>
      <w:bookmarkEnd w:id="2817"/>
    </w:p>
    <w:p w14:paraId="3F14A155">
      <w:pPr>
        <w:ind w:firstLine="600"/>
        <w:rPr>
          <w:rFonts w:hint="eastAsia" w:ascii="宋体" w:hAnsi="宋体" w:cs="宋体"/>
          <w:color w:val="auto"/>
          <w:szCs w:val="21"/>
          <w:highlight w:val="none"/>
        </w:rPr>
      </w:pPr>
      <w:r>
        <w:rPr>
          <w:rFonts w:hint="eastAsia" w:ascii="宋体" w:hAnsi="宋体" w:cs="宋体"/>
          <w:color w:val="auto"/>
          <w:szCs w:val="21"/>
          <w:highlight w:val="none"/>
        </w:rPr>
        <w:t>5.2 承包人文件审查</w:t>
      </w:r>
    </w:p>
    <w:p w14:paraId="3FF8960B">
      <w:pPr>
        <w:ind w:firstLine="600"/>
        <w:rPr>
          <w:rFonts w:hint="eastAsia" w:ascii="宋体" w:hAnsi="宋体" w:cs="宋体"/>
          <w:color w:val="auto"/>
          <w:szCs w:val="21"/>
          <w:highlight w:val="none"/>
        </w:rPr>
      </w:pPr>
      <w:r>
        <w:rPr>
          <w:rFonts w:hint="eastAsia" w:ascii="宋体" w:hAnsi="宋体" w:cs="宋体"/>
          <w:color w:val="auto"/>
          <w:szCs w:val="21"/>
          <w:highlight w:val="none"/>
        </w:rPr>
        <w:t>5.2.1 承包人文件审查的期限：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7A0DB04">
      <w:pPr>
        <w:ind w:firstLine="600"/>
        <w:rPr>
          <w:rFonts w:hint="eastAsia" w:ascii="宋体" w:hAnsi="宋体" w:cs="宋体"/>
          <w:color w:val="auto"/>
          <w:szCs w:val="21"/>
          <w:highlight w:val="none"/>
        </w:rPr>
      </w:pPr>
      <w:r>
        <w:rPr>
          <w:rFonts w:hint="eastAsia" w:ascii="宋体" w:hAnsi="宋体" w:cs="宋体"/>
          <w:color w:val="auto"/>
          <w:szCs w:val="21"/>
          <w:highlight w:val="none"/>
        </w:rPr>
        <w:t>5.2.2 审查会议的审查形式和时间安排为：</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，审查会议的相关费用由</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承担。</w:t>
      </w:r>
    </w:p>
    <w:p w14:paraId="7D74947E">
      <w:pPr>
        <w:ind w:firstLine="600"/>
        <w:rPr>
          <w:rFonts w:hint="eastAsia" w:ascii="宋体" w:hAnsi="宋体" w:cs="宋体"/>
          <w:color w:val="auto"/>
          <w:szCs w:val="21"/>
          <w:highlight w:val="none"/>
        </w:rPr>
      </w:pPr>
      <w:r>
        <w:rPr>
          <w:rFonts w:hint="eastAsia" w:ascii="宋体" w:hAnsi="宋体" w:cs="宋体"/>
          <w:color w:val="auto"/>
          <w:szCs w:val="21"/>
          <w:highlight w:val="none"/>
        </w:rPr>
        <w:t>5.2.3 关于第三方审查单位的约定：</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DA29D6">
      <w:pPr>
        <w:ind w:firstLine="600"/>
        <w:rPr>
          <w:rFonts w:hint="eastAsia" w:ascii="宋体" w:hAnsi="宋体" w:cs="宋体"/>
          <w:color w:val="auto"/>
          <w:szCs w:val="21"/>
          <w:highlight w:val="none"/>
        </w:rPr>
      </w:pPr>
      <w:r>
        <w:rPr>
          <w:rFonts w:hint="eastAsia" w:ascii="宋体" w:hAnsi="宋体" w:cs="宋体"/>
          <w:color w:val="auto"/>
          <w:szCs w:val="21"/>
          <w:highlight w:val="none"/>
        </w:rPr>
        <w:t>5.3 培训</w:t>
      </w:r>
    </w:p>
    <w:p w14:paraId="4E87E5A3">
      <w:pPr>
        <w:ind w:firstLine="600"/>
        <w:rPr>
          <w:rFonts w:hint="eastAsia" w:ascii="宋体" w:hAnsi="宋体" w:cs="宋体"/>
          <w:color w:val="auto"/>
          <w:szCs w:val="21"/>
          <w:highlight w:val="none"/>
        </w:rPr>
      </w:pPr>
      <w:r>
        <w:rPr>
          <w:rFonts w:hint="eastAsia" w:ascii="宋体" w:hAnsi="宋体" w:cs="宋体"/>
          <w:color w:val="auto"/>
          <w:szCs w:val="21"/>
          <w:highlight w:val="none"/>
        </w:rPr>
        <w:t>培训的时长为</w:t>
      </w:r>
      <w:r>
        <w:rPr>
          <w:rFonts w:hint="eastAsia" w:ascii="宋体" w:hAnsi="宋体" w:cs="宋体"/>
          <w:color w:val="auto"/>
          <w:szCs w:val="21"/>
          <w:highlight w:val="none"/>
          <w:u w:val="single"/>
        </w:rPr>
        <w:t xml:space="preserve">  按发包人要求执行 </w:t>
      </w:r>
      <w:r>
        <w:rPr>
          <w:rFonts w:hint="eastAsia" w:ascii="宋体" w:hAnsi="宋体" w:cs="宋体"/>
          <w:color w:val="auto"/>
          <w:szCs w:val="21"/>
          <w:highlight w:val="none"/>
        </w:rPr>
        <w:t>，承包人应为培训提供的人员、设施和其它必要条件为</w:t>
      </w:r>
      <w:r>
        <w:rPr>
          <w:rFonts w:hint="eastAsia" w:ascii="宋体" w:hAnsi="宋体" w:cs="宋体"/>
          <w:color w:val="auto"/>
          <w:szCs w:val="21"/>
          <w:highlight w:val="none"/>
          <w:u w:val="single"/>
        </w:rPr>
        <w:t xml:space="preserve">  按发包人要求执行  </w:t>
      </w:r>
      <w:r>
        <w:rPr>
          <w:rFonts w:hint="eastAsia" w:ascii="宋体" w:hAnsi="宋体" w:cs="宋体"/>
          <w:color w:val="auto"/>
          <w:szCs w:val="21"/>
          <w:highlight w:val="none"/>
        </w:rPr>
        <w:t>。</w:t>
      </w:r>
    </w:p>
    <w:p w14:paraId="7583C98B">
      <w:pPr>
        <w:ind w:firstLine="600"/>
        <w:rPr>
          <w:rFonts w:hint="eastAsia" w:ascii="宋体" w:hAnsi="宋体" w:cs="宋体"/>
          <w:color w:val="auto"/>
          <w:szCs w:val="21"/>
          <w:highlight w:val="none"/>
        </w:rPr>
      </w:pPr>
      <w:r>
        <w:rPr>
          <w:rFonts w:hint="eastAsia" w:ascii="宋体" w:hAnsi="宋体" w:cs="宋体"/>
          <w:color w:val="auto"/>
          <w:szCs w:val="21"/>
          <w:highlight w:val="none"/>
        </w:rPr>
        <w:t>5.4 竣工文件</w:t>
      </w:r>
    </w:p>
    <w:p w14:paraId="0B624D81">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5.4.1 竣工文件的形式、提供的份数、技术标准以及其它相关要求：</w:t>
      </w:r>
      <w:r>
        <w:rPr>
          <w:rFonts w:hint="eastAsia" w:ascii="宋体" w:hAnsi="宋体" w:cs="宋体"/>
          <w:color w:val="auto"/>
          <w:szCs w:val="21"/>
          <w:highlight w:val="none"/>
          <w:u w:val="single"/>
        </w:rPr>
        <w:t>竣工验收后，提供竣工文件纸质版四套，电子版一份。</w:t>
      </w:r>
    </w:p>
    <w:p w14:paraId="67C2216F">
      <w:pPr>
        <w:ind w:firstLine="600"/>
        <w:rPr>
          <w:rFonts w:hint="eastAsia" w:ascii="宋体" w:hAnsi="宋体" w:cs="宋体"/>
          <w:color w:val="auto"/>
          <w:szCs w:val="21"/>
          <w:highlight w:val="none"/>
        </w:rPr>
      </w:pPr>
      <w:r>
        <w:rPr>
          <w:rFonts w:hint="eastAsia" w:ascii="宋体" w:hAnsi="宋体" w:cs="宋体"/>
          <w:color w:val="auto"/>
          <w:szCs w:val="21"/>
          <w:highlight w:val="none"/>
        </w:rPr>
        <w:t>5.4.3 关于竣工文件的其他约定：</w:t>
      </w:r>
      <w:r>
        <w:rPr>
          <w:rFonts w:hint="eastAsia" w:ascii="宋体" w:hAnsi="宋体" w:cs="宋体"/>
          <w:color w:val="auto"/>
          <w:szCs w:val="21"/>
          <w:highlight w:val="none"/>
          <w:u w:val="single"/>
        </w:rPr>
        <w:t xml:space="preserve">  按发包人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要求执行  </w:t>
      </w:r>
      <w:r>
        <w:rPr>
          <w:rFonts w:hint="eastAsia" w:ascii="宋体" w:hAnsi="宋体" w:cs="宋体"/>
          <w:color w:val="auto"/>
          <w:szCs w:val="21"/>
          <w:highlight w:val="none"/>
        </w:rPr>
        <w:t>。</w:t>
      </w:r>
    </w:p>
    <w:p w14:paraId="5CF30B79">
      <w:pPr>
        <w:ind w:firstLine="600"/>
        <w:rPr>
          <w:rFonts w:hint="eastAsia" w:ascii="宋体" w:hAnsi="宋体" w:cs="宋体"/>
          <w:color w:val="auto"/>
          <w:szCs w:val="21"/>
          <w:highlight w:val="none"/>
        </w:rPr>
      </w:pPr>
      <w:r>
        <w:rPr>
          <w:rFonts w:hint="eastAsia" w:ascii="宋体" w:hAnsi="宋体" w:cs="宋体"/>
          <w:color w:val="auto"/>
          <w:szCs w:val="21"/>
          <w:highlight w:val="none"/>
        </w:rPr>
        <w:t>5.5 操作和维修手册</w:t>
      </w:r>
    </w:p>
    <w:p w14:paraId="7A479C1E">
      <w:pPr>
        <w:ind w:firstLine="600"/>
        <w:rPr>
          <w:rFonts w:hint="eastAsia" w:ascii="宋体" w:hAnsi="宋体" w:cs="宋体"/>
          <w:color w:val="auto"/>
          <w:szCs w:val="21"/>
          <w:highlight w:val="none"/>
        </w:rPr>
      </w:pPr>
      <w:r>
        <w:rPr>
          <w:rFonts w:hint="eastAsia" w:ascii="宋体" w:hAnsi="宋体" w:cs="宋体"/>
          <w:color w:val="auto"/>
          <w:szCs w:val="21"/>
          <w:highlight w:val="none"/>
        </w:rPr>
        <w:t>5.5.3 对最终操作和维修手册的约定：</w:t>
      </w:r>
      <w:r>
        <w:rPr>
          <w:rFonts w:hint="eastAsia" w:ascii="宋体" w:hAnsi="宋体" w:cs="宋体"/>
          <w:color w:val="auto"/>
          <w:szCs w:val="21"/>
          <w:highlight w:val="none"/>
          <w:u w:val="single"/>
        </w:rPr>
        <w:t>按发包人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要求执行  </w:t>
      </w:r>
      <w:r>
        <w:rPr>
          <w:rFonts w:hint="eastAsia" w:ascii="宋体" w:hAnsi="宋体" w:cs="宋体"/>
          <w:color w:val="auto"/>
          <w:szCs w:val="21"/>
          <w:highlight w:val="none"/>
        </w:rPr>
        <w:t>。</w:t>
      </w:r>
    </w:p>
    <w:p w14:paraId="4A0094C8">
      <w:pPr>
        <w:pStyle w:val="91"/>
        <w:rPr>
          <w:rFonts w:hint="eastAsia" w:cs="宋体"/>
          <w:b w:val="0"/>
          <w:color w:val="auto"/>
          <w:sz w:val="21"/>
          <w:szCs w:val="21"/>
          <w:highlight w:val="none"/>
        </w:rPr>
      </w:pPr>
      <w:bookmarkStart w:id="2818" w:name="_Toc15066"/>
      <w:bookmarkStart w:id="2819" w:name="_Toc32140"/>
      <w:bookmarkStart w:id="2820" w:name="_Toc16908"/>
      <w:bookmarkStart w:id="2821" w:name="_Toc27908"/>
      <w:bookmarkStart w:id="2822" w:name="_Toc18372"/>
      <w:bookmarkStart w:id="2823" w:name="_Toc20572"/>
      <w:bookmarkStart w:id="2824" w:name="_Toc21103"/>
      <w:bookmarkStart w:id="2825" w:name="_Toc103175811"/>
      <w:bookmarkStart w:id="2826" w:name="_Toc10275"/>
      <w:bookmarkStart w:id="2827" w:name="_Toc15952"/>
      <w:bookmarkStart w:id="2828" w:name="_Toc2830"/>
      <w:r>
        <w:rPr>
          <w:rFonts w:hint="eastAsia" w:cs="宋体"/>
          <w:b w:val="0"/>
          <w:color w:val="auto"/>
          <w:sz w:val="21"/>
          <w:szCs w:val="21"/>
          <w:highlight w:val="none"/>
        </w:rPr>
        <w:t>第6条 材料、工程设备</w:t>
      </w:r>
      <w:bookmarkEnd w:id="2818"/>
      <w:bookmarkEnd w:id="2819"/>
      <w:bookmarkEnd w:id="2820"/>
      <w:bookmarkEnd w:id="2821"/>
      <w:bookmarkEnd w:id="2822"/>
      <w:bookmarkEnd w:id="2823"/>
      <w:bookmarkEnd w:id="2824"/>
      <w:bookmarkEnd w:id="2825"/>
      <w:bookmarkEnd w:id="2826"/>
      <w:bookmarkEnd w:id="2827"/>
      <w:bookmarkEnd w:id="2828"/>
    </w:p>
    <w:p w14:paraId="375E5ECD">
      <w:pPr>
        <w:ind w:firstLine="600"/>
        <w:rPr>
          <w:rFonts w:hint="eastAsia" w:ascii="宋体" w:hAnsi="宋体" w:cs="宋体"/>
          <w:color w:val="auto"/>
          <w:szCs w:val="21"/>
          <w:highlight w:val="none"/>
        </w:rPr>
      </w:pPr>
      <w:r>
        <w:rPr>
          <w:rFonts w:hint="eastAsia" w:ascii="宋体" w:hAnsi="宋体" w:cs="宋体"/>
          <w:color w:val="auto"/>
          <w:szCs w:val="21"/>
          <w:highlight w:val="none"/>
        </w:rPr>
        <w:t>6.1 实施方法</w:t>
      </w:r>
    </w:p>
    <w:p w14:paraId="2C737D8E">
      <w:pPr>
        <w:ind w:firstLine="600"/>
        <w:rPr>
          <w:rFonts w:hint="eastAsia" w:ascii="宋体" w:hAnsi="宋体" w:cs="宋体"/>
          <w:color w:val="auto"/>
          <w:szCs w:val="21"/>
          <w:highlight w:val="none"/>
        </w:rPr>
      </w:pPr>
      <w:r>
        <w:rPr>
          <w:rFonts w:hint="eastAsia" w:ascii="宋体" w:hAnsi="宋体" w:cs="宋体"/>
          <w:color w:val="auto"/>
          <w:szCs w:val="21"/>
          <w:highlight w:val="none"/>
        </w:rPr>
        <w:t>双方当事人约定的实施方法、设备、设施和材料：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1450673">
      <w:pPr>
        <w:ind w:firstLine="600"/>
        <w:rPr>
          <w:rFonts w:hint="eastAsia" w:ascii="宋体" w:hAnsi="宋体" w:cs="宋体"/>
          <w:color w:val="auto"/>
          <w:szCs w:val="21"/>
          <w:highlight w:val="none"/>
        </w:rPr>
      </w:pPr>
      <w:r>
        <w:rPr>
          <w:rFonts w:hint="eastAsia" w:ascii="宋体" w:hAnsi="宋体" w:cs="宋体"/>
          <w:color w:val="auto"/>
          <w:szCs w:val="21"/>
          <w:highlight w:val="none"/>
        </w:rPr>
        <w:t>6.2 材料和工程设备</w:t>
      </w:r>
    </w:p>
    <w:p w14:paraId="2999F695">
      <w:pPr>
        <w:ind w:firstLine="600"/>
        <w:rPr>
          <w:rFonts w:hint="eastAsia" w:ascii="宋体" w:hAnsi="宋体" w:cs="宋体"/>
          <w:color w:val="auto"/>
          <w:szCs w:val="21"/>
          <w:highlight w:val="none"/>
        </w:rPr>
      </w:pPr>
      <w:r>
        <w:rPr>
          <w:rFonts w:hint="eastAsia" w:ascii="宋体" w:hAnsi="宋体" w:cs="宋体"/>
          <w:color w:val="auto"/>
          <w:szCs w:val="21"/>
          <w:highlight w:val="none"/>
        </w:rPr>
        <w:t>6.2.1 发包人提供的材料和工程设备</w:t>
      </w:r>
    </w:p>
    <w:p w14:paraId="662A3BC8">
      <w:pPr>
        <w:ind w:firstLine="600"/>
        <w:rPr>
          <w:rFonts w:hint="eastAsia" w:ascii="宋体" w:hAnsi="宋体" w:cs="宋体"/>
          <w:color w:val="auto"/>
          <w:szCs w:val="21"/>
          <w:highlight w:val="none"/>
        </w:rPr>
      </w:pPr>
      <w:r>
        <w:rPr>
          <w:rFonts w:hint="eastAsia" w:ascii="宋体" w:hAnsi="宋体" w:cs="宋体"/>
          <w:color w:val="auto"/>
          <w:szCs w:val="21"/>
          <w:highlight w:val="none"/>
        </w:rPr>
        <w:t>发包人提供的材料和工程设备验收后，由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负责接收、运输和保管。</w:t>
      </w:r>
    </w:p>
    <w:p w14:paraId="0158EF15">
      <w:pPr>
        <w:ind w:firstLine="600"/>
        <w:rPr>
          <w:rFonts w:hint="eastAsia" w:ascii="宋体" w:hAnsi="宋体" w:cs="宋体"/>
          <w:color w:val="auto"/>
          <w:szCs w:val="21"/>
          <w:highlight w:val="none"/>
        </w:rPr>
      </w:pPr>
      <w:r>
        <w:rPr>
          <w:rFonts w:hint="eastAsia" w:ascii="宋体" w:hAnsi="宋体" w:cs="宋体"/>
          <w:color w:val="auto"/>
          <w:szCs w:val="21"/>
          <w:highlight w:val="none"/>
        </w:rPr>
        <w:t>6.2.2 承包人提供的材料和工程设备</w:t>
      </w:r>
    </w:p>
    <w:p w14:paraId="455D17AC">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材料和工程设备的类别、估算数量：</w:t>
      </w:r>
      <w:r>
        <w:rPr>
          <w:rFonts w:hint="eastAsia" w:ascii="宋体" w:hAnsi="宋体" w:cs="宋体"/>
          <w:color w:val="auto"/>
          <w:szCs w:val="21"/>
          <w:highlight w:val="none"/>
          <w:u w:val="single"/>
        </w:rPr>
        <w:t>工程涉及的所有材料和工程设备，数量依据施工图纸</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并符合相关技术、标准、规范要求</w:t>
      </w:r>
      <w:r>
        <w:rPr>
          <w:rFonts w:hint="eastAsia"/>
          <w:snapToGrid w:val="0"/>
          <w:color w:val="auto"/>
          <w:kern w:val="0"/>
          <w:szCs w:val="21"/>
          <w:highlight w:val="none"/>
          <w:u w:val="single"/>
          <w:lang w:eastAsia="zh-CN"/>
        </w:rPr>
        <w:t>。</w:t>
      </w:r>
      <w:r>
        <w:rPr>
          <w:rFonts w:hint="eastAsia" w:ascii="宋体" w:hAnsi="宋体" w:cs="宋体"/>
          <w:color w:val="auto"/>
          <w:szCs w:val="21"/>
          <w:highlight w:val="none"/>
          <w:u w:val="single"/>
        </w:rPr>
        <w:t>各项材料和工程设备的供货人及品种、技术要求、规格、数量和供货时间等报送</w:t>
      </w:r>
      <w:r>
        <w:rPr>
          <w:rFonts w:hint="eastAsia" w:ascii="宋体" w:hAnsi="宋体" w:cs="宋体"/>
          <w:color w:val="auto"/>
          <w:szCs w:val="21"/>
          <w:highlight w:val="none"/>
          <w:u w:val="single"/>
          <w:lang w:eastAsia="zh-CN"/>
        </w:rPr>
        <w:t>监理</w:t>
      </w:r>
      <w:r>
        <w:rPr>
          <w:rFonts w:hint="eastAsia" w:ascii="宋体" w:hAnsi="宋体" w:cs="宋体"/>
          <w:color w:val="auto"/>
          <w:szCs w:val="21"/>
          <w:highlight w:val="none"/>
          <w:u w:val="single"/>
        </w:rPr>
        <w:t>工程师批准。承包人应向工程师提交其负责提供的材料和工程设备的质量证明文件，并根据合同约定的质量标准，对材料、工程设备质量负责。</w:t>
      </w:r>
    </w:p>
    <w:p w14:paraId="44039D8D">
      <w:pPr>
        <w:rPr>
          <w:rFonts w:hint="eastAsia" w:ascii="宋体" w:hAnsi="宋体" w:cs="宋体"/>
          <w:color w:val="auto"/>
          <w:szCs w:val="21"/>
          <w:highlight w:val="none"/>
        </w:rPr>
      </w:pPr>
      <w:r>
        <w:rPr>
          <w:rFonts w:hint="eastAsia" w:ascii="宋体" w:hAnsi="宋体" w:cs="宋体"/>
          <w:color w:val="auto"/>
          <w:szCs w:val="21"/>
          <w:highlight w:val="none"/>
        </w:rPr>
        <w:t>竣工后试验的生产性材料的类别或（和）清单：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4FF13B">
      <w:pPr>
        <w:ind w:firstLine="600"/>
        <w:rPr>
          <w:rFonts w:hint="eastAsia" w:ascii="宋体" w:hAnsi="宋体" w:cs="宋体"/>
          <w:color w:val="auto"/>
          <w:szCs w:val="21"/>
          <w:highlight w:val="none"/>
        </w:rPr>
      </w:pPr>
      <w:r>
        <w:rPr>
          <w:rFonts w:hint="eastAsia" w:ascii="宋体" w:hAnsi="宋体" w:cs="宋体"/>
          <w:color w:val="auto"/>
          <w:szCs w:val="21"/>
          <w:highlight w:val="none"/>
        </w:rPr>
        <w:t>6.2.3 材料和工程设备的保管</w:t>
      </w:r>
    </w:p>
    <w:p w14:paraId="32993637">
      <w:pPr>
        <w:ind w:firstLine="600"/>
        <w:rPr>
          <w:rFonts w:hint="eastAsia" w:ascii="宋体" w:hAnsi="宋体" w:cs="宋体"/>
          <w:color w:val="auto"/>
          <w:szCs w:val="21"/>
          <w:highlight w:val="none"/>
        </w:rPr>
      </w:pPr>
      <w:r>
        <w:rPr>
          <w:rFonts w:hint="eastAsia" w:ascii="宋体" w:hAnsi="宋体" w:cs="宋体"/>
          <w:color w:val="auto"/>
          <w:szCs w:val="21"/>
          <w:highlight w:val="none"/>
        </w:rPr>
        <w:t>发包人供应的材料和工程设备的保管费用由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承担。</w:t>
      </w:r>
    </w:p>
    <w:p w14:paraId="27ABF805">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承包人提交保管、维护方案的时间：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52CC8D7">
      <w:pPr>
        <w:ind w:firstLine="600"/>
        <w:rPr>
          <w:rFonts w:hint="eastAsia" w:ascii="宋体" w:hAnsi="宋体" w:cs="宋体"/>
          <w:color w:val="auto"/>
          <w:szCs w:val="21"/>
          <w:highlight w:val="none"/>
        </w:rPr>
      </w:pPr>
      <w:r>
        <w:rPr>
          <w:rFonts w:hint="eastAsia" w:ascii="宋体" w:hAnsi="宋体" w:cs="宋体"/>
          <w:color w:val="auto"/>
          <w:szCs w:val="21"/>
          <w:highlight w:val="none"/>
        </w:rPr>
        <w:t>发包人提供的库房、堆场、设施和设备：</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2F007DA">
      <w:pPr>
        <w:ind w:firstLine="600"/>
        <w:rPr>
          <w:rFonts w:hint="eastAsia" w:ascii="宋体" w:hAnsi="宋体" w:cs="宋体"/>
          <w:color w:val="auto"/>
          <w:szCs w:val="21"/>
          <w:highlight w:val="none"/>
        </w:rPr>
      </w:pPr>
      <w:r>
        <w:rPr>
          <w:rFonts w:hint="eastAsia" w:ascii="宋体" w:hAnsi="宋体" w:cs="宋体"/>
          <w:color w:val="auto"/>
          <w:szCs w:val="21"/>
          <w:highlight w:val="none"/>
        </w:rPr>
        <w:t>6.3 样品</w:t>
      </w:r>
    </w:p>
    <w:p w14:paraId="7E98C95E">
      <w:pPr>
        <w:ind w:firstLine="600"/>
        <w:rPr>
          <w:rFonts w:hint="eastAsia" w:ascii="宋体" w:hAnsi="宋体" w:cs="宋体"/>
          <w:color w:val="auto"/>
          <w:szCs w:val="21"/>
          <w:highlight w:val="none"/>
        </w:rPr>
      </w:pPr>
      <w:r>
        <w:rPr>
          <w:rFonts w:hint="eastAsia" w:ascii="宋体" w:hAnsi="宋体" w:cs="宋体"/>
          <w:color w:val="auto"/>
          <w:szCs w:val="21"/>
          <w:highlight w:val="none"/>
        </w:rPr>
        <w:t>6.3.1 样品的报送与封存</w:t>
      </w:r>
    </w:p>
    <w:p w14:paraId="27E0F24B">
      <w:pPr>
        <w:ind w:firstLine="600"/>
        <w:rPr>
          <w:rFonts w:hint="eastAsia" w:ascii="宋体" w:hAnsi="宋体" w:cs="宋体"/>
          <w:color w:val="auto"/>
          <w:szCs w:val="21"/>
          <w:highlight w:val="none"/>
        </w:rPr>
      </w:pPr>
      <w:r>
        <w:rPr>
          <w:rFonts w:hint="eastAsia" w:ascii="宋体" w:hAnsi="宋体" w:cs="宋体"/>
          <w:color w:val="auto"/>
          <w:szCs w:val="21"/>
          <w:highlight w:val="none"/>
        </w:rPr>
        <w:t>需要承包人报送样品的材料或工程设备，样品种类、名称、规格、数量：</w:t>
      </w:r>
      <w:r>
        <w:rPr>
          <w:rFonts w:hint="eastAsia" w:ascii="宋体" w:hAnsi="宋体" w:cs="宋体"/>
          <w:color w:val="auto"/>
          <w:szCs w:val="21"/>
          <w:highlight w:val="none"/>
          <w:u w:val="single"/>
          <w:lang w:eastAsia="zh-CN"/>
        </w:rPr>
        <w:t>按发包人现场管理要求执行，按照河北省住建厅、河北省发展和改革委印发的《河北省房屋建筑和市政基础设施项目工程总承包管理办法》（冀建建市</w:t>
      </w:r>
      <w:r>
        <w:rPr>
          <w:rFonts w:hint="eastAsia" w:ascii="宋体" w:hAnsi="宋体" w:cs="宋体"/>
          <w:color w:val="auto"/>
          <w:szCs w:val="21"/>
          <w:highlight w:val="none"/>
          <w:u w:val="single"/>
          <w:lang w:val="en-US" w:eastAsia="zh-CN"/>
        </w:rPr>
        <w:t>[2021]3号</w:t>
      </w:r>
      <w:r>
        <w:rPr>
          <w:rFonts w:hint="eastAsia" w:ascii="宋体" w:hAnsi="宋体" w:cs="宋体"/>
          <w:color w:val="auto"/>
          <w:szCs w:val="21"/>
          <w:highlight w:val="none"/>
          <w:u w:val="single"/>
          <w:lang w:eastAsia="zh-CN"/>
        </w:rPr>
        <w:t>），项目所涉及的材料和设备规格型号、工艺水平以及技术指标严格执行初步设计文件要求，并须经发包人认可</w:t>
      </w:r>
      <w:r>
        <w:rPr>
          <w:rFonts w:hint="eastAsia" w:ascii="宋体" w:hAnsi="宋体" w:cs="宋体"/>
          <w:color w:val="auto"/>
          <w:szCs w:val="21"/>
          <w:highlight w:val="none"/>
        </w:rPr>
        <w:t>。</w:t>
      </w:r>
    </w:p>
    <w:p w14:paraId="55DABCD9">
      <w:pPr>
        <w:ind w:firstLine="600"/>
        <w:rPr>
          <w:rFonts w:hint="eastAsia" w:ascii="宋体" w:hAnsi="宋体" w:cs="宋体"/>
          <w:color w:val="auto"/>
          <w:szCs w:val="21"/>
          <w:highlight w:val="none"/>
        </w:rPr>
      </w:pPr>
      <w:r>
        <w:rPr>
          <w:rFonts w:hint="eastAsia" w:ascii="宋体" w:hAnsi="宋体" w:cs="宋体"/>
          <w:color w:val="auto"/>
          <w:szCs w:val="21"/>
          <w:highlight w:val="none"/>
        </w:rPr>
        <w:t>6.4 质量检查</w:t>
      </w:r>
    </w:p>
    <w:p w14:paraId="5D39C894">
      <w:pPr>
        <w:ind w:firstLine="600"/>
        <w:rPr>
          <w:rFonts w:hint="eastAsia" w:ascii="宋体" w:hAnsi="宋体" w:cs="宋体"/>
          <w:color w:val="auto"/>
          <w:szCs w:val="21"/>
          <w:highlight w:val="none"/>
        </w:rPr>
      </w:pPr>
      <w:r>
        <w:rPr>
          <w:rFonts w:hint="eastAsia" w:ascii="宋体" w:hAnsi="宋体" w:cs="宋体"/>
          <w:color w:val="auto"/>
          <w:szCs w:val="21"/>
          <w:highlight w:val="none"/>
        </w:rPr>
        <w:t>6.4.1 工程质量要求</w:t>
      </w:r>
    </w:p>
    <w:p w14:paraId="55B537FE">
      <w:pPr>
        <w:ind w:firstLine="600"/>
        <w:rPr>
          <w:rFonts w:hint="eastAsia" w:ascii="宋体" w:hAnsi="宋体" w:cs="宋体"/>
          <w:color w:val="auto"/>
          <w:szCs w:val="21"/>
          <w:highlight w:val="none"/>
        </w:rPr>
      </w:pPr>
      <w:r>
        <w:rPr>
          <w:rFonts w:hint="eastAsia" w:ascii="宋体" w:hAnsi="宋体" w:cs="宋体"/>
          <w:color w:val="auto"/>
          <w:szCs w:val="21"/>
          <w:highlight w:val="none"/>
        </w:rPr>
        <w:t>工程质量的特殊标准或要求：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w:t>
      </w:r>
      <w:r>
        <w:rPr>
          <w:rFonts w:hint="eastAsia" w:ascii="宋体" w:hAnsi="宋体" w:cs="宋体"/>
          <w:color w:val="auto"/>
          <w:szCs w:val="21"/>
          <w:highlight w:val="none"/>
          <w:u w:val="single"/>
          <w:lang w:val="en-US" w:eastAsia="zh-CN"/>
        </w:rPr>
        <w:t>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310EA5B">
      <w:pPr>
        <w:ind w:firstLine="600"/>
        <w:rPr>
          <w:rFonts w:hint="eastAsia" w:ascii="宋体" w:hAnsi="宋体" w:cs="宋体"/>
          <w:color w:val="auto"/>
          <w:szCs w:val="21"/>
          <w:highlight w:val="none"/>
        </w:rPr>
      </w:pPr>
      <w:r>
        <w:rPr>
          <w:rFonts w:hint="eastAsia" w:ascii="宋体" w:hAnsi="宋体" w:cs="宋体"/>
          <w:color w:val="auto"/>
          <w:szCs w:val="21"/>
          <w:highlight w:val="none"/>
        </w:rPr>
        <w:t>6.4.2 质量检查</w:t>
      </w:r>
    </w:p>
    <w:p w14:paraId="3F8366C0">
      <w:pPr>
        <w:ind w:firstLine="600"/>
        <w:rPr>
          <w:rFonts w:hint="eastAsia" w:ascii="宋体" w:hAnsi="宋体" w:cs="宋体"/>
          <w:color w:val="auto"/>
          <w:szCs w:val="21"/>
          <w:highlight w:val="none"/>
        </w:rPr>
      </w:pPr>
      <w:r>
        <w:rPr>
          <w:rFonts w:hint="eastAsia" w:ascii="宋体" w:hAnsi="宋体" w:cs="宋体"/>
          <w:color w:val="auto"/>
          <w:szCs w:val="21"/>
          <w:highlight w:val="none"/>
        </w:rPr>
        <w:t>除通用合同条件已列明的质量检查的地点外，发包人有权进行质量检查的其他地点：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DA05710">
      <w:pPr>
        <w:ind w:firstLine="600"/>
        <w:rPr>
          <w:rFonts w:hint="eastAsia" w:ascii="宋体" w:hAnsi="宋体" w:cs="宋体"/>
          <w:color w:val="auto"/>
          <w:szCs w:val="21"/>
          <w:highlight w:val="none"/>
        </w:rPr>
      </w:pPr>
      <w:r>
        <w:rPr>
          <w:rFonts w:hint="eastAsia" w:ascii="宋体" w:hAnsi="宋体" w:cs="宋体"/>
          <w:color w:val="auto"/>
          <w:szCs w:val="21"/>
          <w:highlight w:val="none"/>
        </w:rPr>
        <w:t>6.4.3 隐蔽工程检查</w:t>
      </w:r>
    </w:p>
    <w:p w14:paraId="756AAAE7">
      <w:pPr>
        <w:ind w:firstLine="600"/>
        <w:rPr>
          <w:rFonts w:hint="eastAsia" w:ascii="宋体" w:hAnsi="宋体" w:cs="宋体"/>
          <w:color w:val="auto"/>
          <w:szCs w:val="21"/>
          <w:highlight w:val="none"/>
        </w:rPr>
      </w:pPr>
      <w:r>
        <w:rPr>
          <w:rFonts w:hint="eastAsia" w:ascii="宋体" w:hAnsi="宋体" w:cs="宋体"/>
          <w:color w:val="auto"/>
          <w:szCs w:val="21"/>
          <w:highlight w:val="none"/>
        </w:rPr>
        <w:t>关于隐蔽工程和中间验收的特别约定：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69079C34">
      <w:pPr>
        <w:ind w:firstLine="600"/>
        <w:rPr>
          <w:rFonts w:hint="eastAsia" w:ascii="宋体" w:hAnsi="宋体" w:cs="宋体"/>
          <w:color w:val="auto"/>
          <w:szCs w:val="21"/>
          <w:highlight w:val="none"/>
        </w:rPr>
      </w:pPr>
      <w:r>
        <w:rPr>
          <w:rFonts w:hint="eastAsia" w:ascii="宋体" w:hAnsi="宋体" w:cs="宋体"/>
          <w:color w:val="auto"/>
          <w:szCs w:val="21"/>
          <w:highlight w:val="none"/>
        </w:rPr>
        <w:t>6.5 由承包人试验和检验</w:t>
      </w:r>
    </w:p>
    <w:p w14:paraId="138F4F6A">
      <w:pPr>
        <w:ind w:firstLine="600"/>
        <w:rPr>
          <w:rFonts w:hint="eastAsia" w:ascii="宋体" w:hAnsi="宋体" w:cs="宋体"/>
          <w:color w:val="auto"/>
          <w:szCs w:val="21"/>
          <w:highlight w:val="none"/>
        </w:rPr>
      </w:pPr>
      <w:r>
        <w:rPr>
          <w:rFonts w:hint="eastAsia" w:ascii="宋体" w:hAnsi="宋体" w:cs="宋体"/>
          <w:color w:val="auto"/>
          <w:szCs w:val="21"/>
          <w:highlight w:val="none"/>
        </w:rPr>
        <w:t>6.5.1 试验设备与试验人员</w:t>
      </w:r>
    </w:p>
    <w:p w14:paraId="65AA9247">
      <w:pPr>
        <w:ind w:firstLine="600"/>
        <w:rPr>
          <w:rFonts w:hint="eastAsia" w:ascii="宋体" w:hAnsi="宋体" w:cs="宋体"/>
          <w:color w:val="auto"/>
          <w:szCs w:val="21"/>
          <w:highlight w:val="none"/>
        </w:rPr>
      </w:pPr>
      <w:r>
        <w:rPr>
          <w:rFonts w:hint="eastAsia" w:ascii="宋体" w:hAnsi="宋体" w:cs="宋体"/>
          <w:color w:val="auto"/>
          <w:szCs w:val="21"/>
          <w:highlight w:val="none"/>
        </w:rPr>
        <w:t>试验的内容、时间和地点：</w:t>
      </w:r>
      <w:r>
        <w:rPr>
          <w:rFonts w:hint="eastAsia" w:ascii="宋体" w:hAnsi="宋体" w:cs="宋体"/>
          <w:color w:val="auto"/>
          <w:szCs w:val="21"/>
          <w:highlight w:val="none"/>
          <w:u w:val="single"/>
        </w:rPr>
        <w:t xml:space="preserve"> 按发包人</w:t>
      </w:r>
      <w:r>
        <w:rPr>
          <w:rFonts w:hint="eastAsia" w:ascii="宋体" w:hAnsi="宋体" w:cs="宋体"/>
          <w:color w:val="auto"/>
          <w:szCs w:val="21"/>
          <w:highlight w:val="none"/>
          <w:u w:val="single"/>
          <w:lang w:eastAsia="zh-CN"/>
        </w:rPr>
        <w:t>现场管理和工程师要求</w:t>
      </w:r>
      <w:r>
        <w:rPr>
          <w:rFonts w:hint="eastAsia" w:ascii="宋体" w:hAnsi="宋体" w:cs="宋体"/>
          <w:color w:val="auto"/>
          <w:szCs w:val="21"/>
          <w:highlight w:val="none"/>
          <w:u w:val="single"/>
        </w:rPr>
        <w:t>执行</w:t>
      </w:r>
      <w:r>
        <w:rPr>
          <w:rFonts w:hint="eastAsia" w:ascii="宋体" w:hAnsi="宋体" w:cs="宋体"/>
          <w:color w:val="auto"/>
          <w:szCs w:val="21"/>
          <w:highlight w:val="none"/>
        </w:rPr>
        <w:t>。</w:t>
      </w:r>
    </w:p>
    <w:p w14:paraId="460EE7ED">
      <w:pPr>
        <w:ind w:firstLine="600"/>
        <w:rPr>
          <w:rFonts w:hint="eastAsia" w:ascii="宋体" w:hAnsi="宋体" w:cs="宋体"/>
          <w:color w:val="auto"/>
          <w:szCs w:val="21"/>
          <w:highlight w:val="none"/>
        </w:rPr>
      </w:pPr>
      <w:r>
        <w:rPr>
          <w:rFonts w:hint="eastAsia" w:ascii="宋体" w:hAnsi="宋体" w:cs="宋体"/>
          <w:color w:val="auto"/>
          <w:szCs w:val="21"/>
          <w:highlight w:val="none"/>
        </w:rPr>
        <w:t>试验所需要的试验设备、取样装置、试验场所和试验条件：</w:t>
      </w:r>
      <w:r>
        <w:rPr>
          <w:rFonts w:hint="eastAsia" w:ascii="宋体" w:hAnsi="宋体" w:cs="宋体"/>
          <w:color w:val="auto"/>
          <w:szCs w:val="21"/>
          <w:highlight w:val="none"/>
          <w:u w:val="single"/>
        </w:rPr>
        <w:t xml:space="preserve"> 按有关规定执行 </w:t>
      </w:r>
      <w:r>
        <w:rPr>
          <w:rFonts w:hint="eastAsia" w:ascii="宋体" w:hAnsi="宋体" w:cs="宋体"/>
          <w:color w:val="auto"/>
          <w:szCs w:val="21"/>
          <w:highlight w:val="none"/>
        </w:rPr>
        <w:t>。</w:t>
      </w:r>
    </w:p>
    <w:p w14:paraId="2C0F8783">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试验和检验费用的计价原则：</w:t>
      </w:r>
      <w:r>
        <w:rPr>
          <w:rFonts w:hint="eastAsia" w:ascii="宋体" w:hAnsi="宋体" w:cs="宋体"/>
          <w:color w:val="auto"/>
          <w:szCs w:val="21"/>
          <w:highlight w:val="none"/>
          <w:u w:val="single"/>
          <w:lang w:eastAsia="zh-CN"/>
        </w:rPr>
        <w:t>除法律、法规规定的必须由发包人进行的检测外，全部由承包人负责，</w:t>
      </w:r>
      <w:r>
        <w:rPr>
          <w:rFonts w:hint="eastAsia" w:ascii="宋体" w:hAnsi="宋体" w:cs="宋体"/>
          <w:color w:val="auto"/>
          <w:szCs w:val="21"/>
          <w:highlight w:val="none"/>
          <w:u w:val="single"/>
        </w:rPr>
        <w:t>并承担相关费用。</w:t>
      </w:r>
    </w:p>
    <w:p w14:paraId="5A4D4573">
      <w:pPr>
        <w:pStyle w:val="91"/>
        <w:rPr>
          <w:rFonts w:hint="eastAsia" w:cs="宋体"/>
          <w:color w:val="auto"/>
          <w:sz w:val="21"/>
          <w:szCs w:val="21"/>
          <w:highlight w:val="none"/>
        </w:rPr>
      </w:pPr>
      <w:bookmarkStart w:id="2829" w:name="_Toc30023"/>
      <w:bookmarkStart w:id="2830" w:name="_Toc13392"/>
      <w:bookmarkStart w:id="2831" w:name="_Toc26692"/>
      <w:bookmarkStart w:id="2832" w:name="_Toc23188"/>
      <w:bookmarkStart w:id="2833" w:name="_Toc21494"/>
      <w:bookmarkStart w:id="2834" w:name="_Toc8108"/>
      <w:bookmarkStart w:id="2835" w:name="_Toc14707"/>
      <w:bookmarkStart w:id="2836" w:name="_Toc26307"/>
      <w:bookmarkStart w:id="2837" w:name="_Toc29333"/>
      <w:bookmarkStart w:id="2838" w:name="_Toc6107"/>
      <w:bookmarkStart w:id="2839" w:name="_Toc103175812"/>
      <w:r>
        <w:rPr>
          <w:rFonts w:hint="eastAsia" w:cs="宋体"/>
          <w:color w:val="auto"/>
          <w:sz w:val="21"/>
          <w:szCs w:val="21"/>
          <w:highlight w:val="none"/>
        </w:rPr>
        <w:t>第7条 施工</w:t>
      </w:r>
      <w:bookmarkEnd w:id="2829"/>
      <w:bookmarkEnd w:id="2830"/>
      <w:bookmarkEnd w:id="2831"/>
      <w:bookmarkEnd w:id="2832"/>
      <w:bookmarkEnd w:id="2833"/>
      <w:bookmarkEnd w:id="2834"/>
      <w:bookmarkEnd w:id="2835"/>
      <w:bookmarkEnd w:id="2836"/>
      <w:bookmarkEnd w:id="2837"/>
      <w:bookmarkEnd w:id="2838"/>
      <w:bookmarkEnd w:id="2839"/>
    </w:p>
    <w:p w14:paraId="56C1F435">
      <w:pPr>
        <w:ind w:firstLine="600"/>
        <w:rPr>
          <w:rFonts w:hint="eastAsia" w:ascii="宋体" w:hAnsi="宋体" w:cs="宋体"/>
          <w:color w:val="auto"/>
          <w:szCs w:val="21"/>
          <w:highlight w:val="none"/>
        </w:rPr>
      </w:pPr>
      <w:r>
        <w:rPr>
          <w:rFonts w:hint="eastAsia" w:ascii="宋体" w:hAnsi="宋体" w:cs="宋体"/>
          <w:color w:val="auto"/>
          <w:szCs w:val="21"/>
          <w:highlight w:val="none"/>
        </w:rPr>
        <w:t>7.1 交通运输</w:t>
      </w:r>
    </w:p>
    <w:p w14:paraId="3DC32DDD">
      <w:pPr>
        <w:ind w:firstLine="600"/>
        <w:rPr>
          <w:rFonts w:hint="eastAsia" w:ascii="宋体" w:hAnsi="宋体" w:cs="宋体"/>
          <w:color w:val="auto"/>
          <w:szCs w:val="21"/>
          <w:highlight w:val="none"/>
        </w:rPr>
      </w:pPr>
      <w:r>
        <w:rPr>
          <w:rFonts w:hint="eastAsia" w:ascii="宋体" w:hAnsi="宋体" w:cs="宋体"/>
          <w:color w:val="auto"/>
          <w:szCs w:val="21"/>
          <w:highlight w:val="none"/>
        </w:rPr>
        <w:t>7.1.1 出入现场的权利</w:t>
      </w:r>
    </w:p>
    <w:p w14:paraId="162029D7">
      <w:pPr>
        <w:ind w:firstLine="600"/>
        <w:rPr>
          <w:rFonts w:hint="eastAsia" w:ascii="宋体" w:hAnsi="宋体" w:cs="宋体"/>
          <w:color w:val="auto"/>
          <w:szCs w:val="21"/>
          <w:highlight w:val="non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7CFEF2BE">
      <w:pPr>
        <w:ind w:firstLine="600"/>
        <w:rPr>
          <w:rFonts w:hint="eastAsia" w:ascii="宋体" w:hAnsi="宋体" w:cs="宋体"/>
          <w:color w:val="auto"/>
          <w:szCs w:val="21"/>
          <w:highlight w:val="none"/>
        </w:rPr>
      </w:pPr>
      <w:r>
        <w:rPr>
          <w:rFonts w:hint="eastAsia" w:ascii="宋体" w:hAnsi="宋体" w:cs="宋体"/>
          <w:color w:val="auto"/>
          <w:szCs w:val="21"/>
          <w:highlight w:val="none"/>
        </w:rPr>
        <w:t>7.1.2 场外交通</w:t>
      </w:r>
    </w:p>
    <w:p w14:paraId="61D8ABCE">
      <w:pPr>
        <w:ind w:firstLine="600"/>
        <w:rPr>
          <w:rFonts w:hint="eastAsia" w:ascii="宋体" w:hAnsi="宋体" w:cs="宋体"/>
          <w:color w:val="auto"/>
          <w:szCs w:val="21"/>
          <w:highlight w:val="none"/>
        </w:rPr>
      </w:pPr>
      <w:r>
        <w:rPr>
          <w:rFonts w:hint="eastAsia" w:ascii="宋体" w:hAnsi="宋体" w:cs="宋体"/>
          <w:color w:val="auto"/>
          <w:szCs w:val="21"/>
          <w:highlight w:val="none"/>
        </w:rPr>
        <w:t>关于场外交通的特别约定：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0C1C20CB">
      <w:pPr>
        <w:ind w:firstLine="600"/>
        <w:rPr>
          <w:rFonts w:hint="eastAsia" w:ascii="宋体" w:hAnsi="宋体" w:cs="宋体"/>
          <w:color w:val="auto"/>
          <w:szCs w:val="21"/>
          <w:highlight w:val="none"/>
        </w:rPr>
      </w:pPr>
      <w:r>
        <w:rPr>
          <w:rFonts w:hint="eastAsia" w:ascii="宋体" w:hAnsi="宋体" w:cs="宋体"/>
          <w:color w:val="auto"/>
          <w:szCs w:val="21"/>
          <w:highlight w:val="none"/>
        </w:rPr>
        <w:t>7.1.3 场内交通</w:t>
      </w:r>
    </w:p>
    <w:p w14:paraId="28F5FD95">
      <w:pPr>
        <w:ind w:firstLine="600"/>
        <w:rPr>
          <w:rFonts w:hint="eastAsia" w:ascii="宋体" w:hAnsi="宋体" w:cs="宋体"/>
          <w:color w:val="auto"/>
          <w:szCs w:val="21"/>
          <w:highlight w:val="none"/>
        </w:rPr>
      </w:pPr>
      <w:r>
        <w:rPr>
          <w:rFonts w:hint="eastAsia" w:ascii="宋体" w:hAnsi="宋体" w:cs="宋体"/>
          <w:color w:val="auto"/>
          <w:szCs w:val="21"/>
          <w:highlight w:val="none"/>
        </w:rPr>
        <w:t>关于场内交通的特别约定：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83F5D8">
      <w:pPr>
        <w:ind w:firstLine="600"/>
        <w:rPr>
          <w:rFonts w:hint="eastAsia" w:ascii="宋体" w:hAnsi="宋体" w:cs="宋体"/>
          <w:color w:val="auto"/>
          <w:szCs w:val="21"/>
          <w:highlight w:val="none"/>
        </w:rPr>
      </w:pPr>
      <w:r>
        <w:rPr>
          <w:rFonts w:hint="eastAsia" w:ascii="宋体" w:hAnsi="宋体" w:cs="宋体"/>
          <w:color w:val="auto"/>
          <w:szCs w:val="21"/>
          <w:highlight w:val="none"/>
        </w:rPr>
        <w:t>关于场内交通与场外交通边界的约定：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以项目现场围墙（项目用地红线）为界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1F3C7E0">
      <w:pPr>
        <w:ind w:firstLine="600"/>
        <w:rPr>
          <w:rFonts w:hint="eastAsia" w:ascii="宋体" w:hAnsi="宋体" w:cs="宋体"/>
          <w:color w:val="auto"/>
          <w:szCs w:val="21"/>
          <w:highlight w:val="none"/>
        </w:rPr>
      </w:pPr>
      <w:r>
        <w:rPr>
          <w:rFonts w:hint="eastAsia" w:ascii="宋体" w:hAnsi="宋体" w:cs="宋体"/>
          <w:color w:val="auto"/>
          <w:szCs w:val="21"/>
          <w:highlight w:val="none"/>
        </w:rPr>
        <w:t>7.1.4 超大件和超重件的运输</w:t>
      </w:r>
    </w:p>
    <w:p w14:paraId="0BAC8818">
      <w:pPr>
        <w:ind w:firstLine="600"/>
        <w:rPr>
          <w:rFonts w:hint="eastAsia"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承包人承担</w:t>
      </w:r>
      <w:r>
        <w:rPr>
          <w:rFonts w:hint="eastAsia" w:ascii="宋体" w:hAnsi="宋体" w:cs="宋体"/>
          <w:color w:val="auto"/>
          <w:szCs w:val="21"/>
          <w:highlight w:val="none"/>
        </w:rPr>
        <w:t>。</w:t>
      </w:r>
    </w:p>
    <w:p w14:paraId="07B6A77E">
      <w:pPr>
        <w:ind w:firstLine="600"/>
        <w:rPr>
          <w:rFonts w:hint="eastAsia" w:ascii="宋体" w:hAnsi="宋体" w:cs="宋体"/>
          <w:color w:val="auto"/>
          <w:szCs w:val="21"/>
          <w:highlight w:val="none"/>
        </w:rPr>
      </w:pPr>
      <w:r>
        <w:rPr>
          <w:rFonts w:hint="eastAsia" w:ascii="宋体" w:hAnsi="宋体" w:cs="宋体"/>
          <w:color w:val="auto"/>
          <w:szCs w:val="21"/>
          <w:highlight w:val="none"/>
        </w:rPr>
        <w:t>7.2 施工设备和临时设施</w:t>
      </w:r>
    </w:p>
    <w:p w14:paraId="1A631E59">
      <w:pPr>
        <w:ind w:firstLine="600"/>
        <w:rPr>
          <w:rFonts w:hint="eastAsia" w:ascii="宋体" w:hAnsi="宋体" w:cs="宋体"/>
          <w:color w:val="auto"/>
          <w:szCs w:val="21"/>
          <w:highlight w:val="none"/>
        </w:rPr>
      </w:pPr>
      <w:r>
        <w:rPr>
          <w:rFonts w:hint="eastAsia" w:ascii="宋体" w:hAnsi="宋体" w:cs="宋体"/>
          <w:color w:val="auto"/>
          <w:szCs w:val="21"/>
          <w:highlight w:val="none"/>
        </w:rPr>
        <w:t>7.2.1 承包人提供的施工设备和临时设施：</w:t>
      </w:r>
      <w:r>
        <w:rPr>
          <w:rFonts w:hint="eastAsia" w:ascii="宋体" w:hAnsi="宋体" w:cs="宋体"/>
          <w:color w:val="auto"/>
          <w:szCs w:val="21"/>
          <w:highlight w:val="none"/>
          <w:u w:val="single"/>
        </w:rPr>
        <w:t>承包人应提供满足发包人及监理人员需求的房间，房间应具有空调采暖办公等设施，该费用包含在投标总价中。</w:t>
      </w:r>
    </w:p>
    <w:p w14:paraId="173294F8">
      <w:pPr>
        <w:ind w:firstLine="600"/>
        <w:rPr>
          <w:rFonts w:hint="eastAsia" w:ascii="宋体" w:hAnsi="宋体" w:cs="宋体"/>
          <w:color w:val="auto"/>
          <w:szCs w:val="21"/>
          <w:highlight w:val="none"/>
        </w:rPr>
      </w:pPr>
      <w:r>
        <w:rPr>
          <w:rFonts w:hint="eastAsia" w:ascii="宋体" w:hAnsi="宋体" w:cs="宋体"/>
          <w:color w:val="auto"/>
          <w:szCs w:val="21"/>
          <w:highlight w:val="none"/>
        </w:rPr>
        <w:t>临时设施的费用和临时占地手续和费用承担的特别约定：</w:t>
      </w:r>
      <w:r>
        <w:rPr>
          <w:rFonts w:hint="eastAsia" w:ascii="宋体" w:hAnsi="宋体" w:cs="宋体"/>
          <w:color w:val="auto"/>
          <w:szCs w:val="21"/>
          <w:highlight w:val="none"/>
          <w:u w:val="single"/>
        </w:rPr>
        <w:t>由承包人承担</w:t>
      </w:r>
      <w:r>
        <w:rPr>
          <w:rFonts w:hint="eastAsia" w:ascii="宋体" w:hAnsi="宋体" w:cs="宋体"/>
          <w:color w:val="auto"/>
          <w:szCs w:val="21"/>
          <w:highlight w:val="none"/>
        </w:rPr>
        <w:t>。</w:t>
      </w:r>
    </w:p>
    <w:p w14:paraId="03F4D209">
      <w:pPr>
        <w:ind w:firstLine="600"/>
        <w:rPr>
          <w:rFonts w:ascii="宋体" w:hAnsi="宋体" w:cs="宋体"/>
          <w:color w:val="auto"/>
          <w:szCs w:val="21"/>
          <w:highlight w:val="none"/>
        </w:rPr>
      </w:pPr>
      <w:r>
        <w:rPr>
          <w:rFonts w:hint="eastAsia" w:ascii="宋体" w:hAnsi="宋体" w:cs="宋体"/>
          <w:color w:val="auto"/>
          <w:szCs w:val="21"/>
          <w:highlight w:val="none"/>
        </w:rPr>
        <w:t>7.2.2 发包人提供的施工设备和临时设施：</w:t>
      </w:r>
      <w:r>
        <w:rPr>
          <w:snapToGrid w:val="0"/>
          <w:color w:val="auto"/>
          <w:szCs w:val="21"/>
          <w:highlight w:val="none"/>
          <w:u w:val="single"/>
        </w:rPr>
        <w:t xml:space="preserve"> </w:t>
      </w:r>
      <w:r>
        <w:rPr>
          <w:rFonts w:hint="eastAsia"/>
          <w:snapToGrid w:val="0"/>
          <w:color w:val="auto"/>
          <w:szCs w:val="21"/>
          <w:highlight w:val="none"/>
          <w:u w:val="single"/>
        </w:rPr>
        <w:t>无 。</w:t>
      </w:r>
    </w:p>
    <w:p w14:paraId="36109F62">
      <w:pPr>
        <w:ind w:firstLine="600"/>
        <w:rPr>
          <w:rFonts w:hint="eastAsia" w:ascii="宋体" w:hAnsi="宋体" w:cs="宋体"/>
          <w:color w:val="auto"/>
          <w:szCs w:val="21"/>
          <w:highlight w:val="none"/>
        </w:rPr>
      </w:pPr>
      <w:r>
        <w:rPr>
          <w:rFonts w:hint="eastAsia" w:ascii="宋体" w:hAnsi="宋体" w:cs="宋体"/>
          <w:color w:val="auto"/>
          <w:szCs w:val="21"/>
          <w:highlight w:val="none"/>
        </w:rPr>
        <w:t>7.3 现场合作</w:t>
      </w:r>
    </w:p>
    <w:p w14:paraId="20BAE7FA">
      <w:pPr>
        <w:ind w:firstLine="600"/>
        <w:rPr>
          <w:rFonts w:hint="eastAsia" w:ascii="宋体" w:hAnsi="宋体" w:cs="宋体"/>
          <w:color w:val="auto"/>
          <w:szCs w:val="21"/>
          <w:highlight w:val="none"/>
        </w:rPr>
      </w:pPr>
      <w:r>
        <w:rPr>
          <w:rFonts w:hint="eastAsia" w:ascii="宋体" w:hAnsi="宋体" w:cs="宋体"/>
          <w:color w:val="auto"/>
          <w:szCs w:val="21"/>
          <w:highlight w:val="none"/>
        </w:rPr>
        <w:t>关于现场合作费用的特别约定：</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FEFB4F">
      <w:pPr>
        <w:ind w:firstLine="600"/>
        <w:rPr>
          <w:rFonts w:hint="eastAsia" w:ascii="宋体" w:hAnsi="宋体" w:cs="宋体"/>
          <w:color w:val="auto"/>
          <w:szCs w:val="21"/>
          <w:highlight w:val="none"/>
        </w:rPr>
      </w:pPr>
      <w:r>
        <w:rPr>
          <w:rFonts w:hint="eastAsia" w:ascii="宋体" w:hAnsi="宋体" w:cs="宋体"/>
          <w:color w:val="auto"/>
          <w:szCs w:val="21"/>
          <w:highlight w:val="none"/>
        </w:rPr>
        <w:t>7.4 测量放线</w:t>
      </w:r>
    </w:p>
    <w:p w14:paraId="54C066AD">
      <w:pPr>
        <w:ind w:firstLine="600"/>
        <w:rPr>
          <w:rFonts w:hint="eastAsia" w:ascii="宋体" w:hAnsi="宋体" w:cs="宋体"/>
          <w:color w:val="auto"/>
          <w:szCs w:val="21"/>
          <w:highlight w:val="none"/>
        </w:rPr>
      </w:pPr>
      <w:r>
        <w:rPr>
          <w:rFonts w:hint="eastAsia" w:ascii="宋体" w:hAnsi="宋体" w:cs="宋体"/>
          <w:color w:val="auto"/>
          <w:szCs w:val="21"/>
          <w:highlight w:val="none"/>
        </w:rPr>
        <w:t>7.4.1 关于测量放线的特别约定的技术规范：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。施工控制网资料的告知期限：</w:t>
      </w:r>
      <w:r>
        <w:rPr>
          <w:rFonts w:hint="eastAsia" w:ascii="宋体" w:hAnsi="宋体" w:cs="宋体"/>
          <w:color w:val="auto"/>
          <w:szCs w:val="21"/>
          <w:highlight w:val="none"/>
          <w:u w:val="single"/>
        </w:rPr>
        <w:t xml:space="preserve"> 按发包人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要求执行</w:t>
      </w:r>
      <w:r>
        <w:rPr>
          <w:rFonts w:hint="eastAsia" w:ascii="宋体" w:hAnsi="宋体" w:cs="宋体"/>
          <w:color w:val="auto"/>
          <w:szCs w:val="21"/>
          <w:highlight w:val="none"/>
        </w:rPr>
        <w:t>。</w:t>
      </w:r>
    </w:p>
    <w:p w14:paraId="1847FD6E">
      <w:pPr>
        <w:ind w:firstLine="600"/>
        <w:rPr>
          <w:rFonts w:hint="eastAsia" w:ascii="宋体" w:hAnsi="宋体" w:cs="宋体"/>
          <w:color w:val="auto"/>
          <w:szCs w:val="21"/>
          <w:highlight w:val="none"/>
        </w:rPr>
      </w:pPr>
      <w:r>
        <w:rPr>
          <w:rFonts w:hint="eastAsia" w:ascii="宋体" w:hAnsi="宋体" w:cs="宋体"/>
          <w:color w:val="auto"/>
          <w:szCs w:val="21"/>
          <w:highlight w:val="none"/>
        </w:rPr>
        <w:t>7.5 现场劳动用工</w:t>
      </w:r>
    </w:p>
    <w:p w14:paraId="5DF63174">
      <w:pPr>
        <w:ind w:firstLine="600"/>
        <w:rPr>
          <w:rFonts w:hint="eastAsia" w:ascii="宋体" w:hAnsi="宋体" w:cs="宋体"/>
          <w:color w:val="auto"/>
          <w:szCs w:val="21"/>
          <w:highlight w:val="none"/>
        </w:rPr>
      </w:pPr>
      <w:r>
        <w:rPr>
          <w:rFonts w:hint="eastAsia" w:ascii="宋体" w:hAnsi="宋体" w:cs="宋体"/>
          <w:color w:val="auto"/>
          <w:szCs w:val="21"/>
          <w:highlight w:val="none"/>
        </w:rPr>
        <w:t>7.5.2 合同当事人对建筑工人工资清偿事宜和违约责任的约定：</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A28DCF8">
      <w:pPr>
        <w:ind w:firstLine="600"/>
        <w:rPr>
          <w:rFonts w:hint="eastAsia" w:ascii="宋体" w:hAnsi="宋体" w:cs="宋体"/>
          <w:color w:val="auto"/>
          <w:szCs w:val="21"/>
          <w:highlight w:val="none"/>
        </w:rPr>
      </w:pPr>
      <w:r>
        <w:rPr>
          <w:rFonts w:hint="eastAsia" w:ascii="宋体" w:hAnsi="宋体" w:cs="宋体"/>
          <w:color w:val="auto"/>
          <w:szCs w:val="21"/>
          <w:highlight w:val="none"/>
        </w:rPr>
        <w:t>7.6 安全文明施工</w:t>
      </w:r>
    </w:p>
    <w:p w14:paraId="48ACFAD6">
      <w:pPr>
        <w:ind w:firstLine="600"/>
        <w:rPr>
          <w:rFonts w:hint="eastAsia" w:ascii="宋体" w:hAnsi="宋体" w:cs="宋体"/>
          <w:color w:val="auto"/>
          <w:szCs w:val="21"/>
          <w:highlight w:val="none"/>
        </w:rPr>
      </w:pPr>
      <w:r>
        <w:rPr>
          <w:rFonts w:hint="eastAsia" w:ascii="宋体" w:hAnsi="宋体" w:cs="宋体"/>
          <w:color w:val="auto"/>
          <w:szCs w:val="21"/>
          <w:highlight w:val="none"/>
        </w:rPr>
        <w:t>7.6.1 安全生产要求</w:t>
      </w:r>
    </w:p>
    <w:p w14:paraId="4F0E99F3">
      <w:pPr>
        <w:rPr>
          <w:rFonts w:hint="eastAsia" w:ascii="宋体" w:hAnsi="宋体" w:cs="宋体"/>
          <w:color w:val="auto"/>
          <w:szCs w:val="21"/>
          <w:highlight w:val="none"/>
        </w:rPr>
      </w:pPr>
      <w:r>
        <w:rPr>
          <w:rFonts w:hint="eastAsia" w:ascii="宋体" w:hAnsi="宋体" w:cs="宋体"/>
          <w:color w:val="auto"/>
          <w:szCs w:val="21"/>
          <w:highlight w:val="none"/>
        </w:rPr>
        <w:t>合同当事人对安全施工的要求：</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08838B82">
      <w:pPr>
        <w:ind w:firstLine="600"/>
        <w:rPr>
          <w:rFonts w:hint="eastAsia" w:ascii="宋体" w:hAnsi="宋体" w:cs="宋体"/>
          <w:color w:val="auto"/>
          <w:szCs w:val="21"/>
          <w:highlight w:val="none"/>
        </w:rPr>
      </w:pPr>
      <w:r>
        <w:rPr>
          <w:rFonts w:hint="eastAsia" w:ascii="宋体" w:hAnsi="宋体" w:cs="宋体"/>
          <w:color w:val="auto"/>
          <w:szCs w:val="21"/>
          <w:highlight w:val="none"/>
        </w:rPr>
        <w:t>7.6.3 文明施工</w:t>
      </w:r>
    </w:p>
    <w:p w14:paraId="38D484BF">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 xml:space="preserve"> 按发包人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要求执行 </w:t>
      </w:r>
      <w:r>
        <w:rPr>
          <w:rFonts w:hint="eastAsia" w:ascii="宋体" w:hAnsi="宋体" w:cs="宋体"/>
          <w:color w:val="auto"/>
          <w:szCs w:val="21"/>
          <w:highlight w:val="none"/>
        </w:rPr>
        <w:t>。</w:t>
      </w:r>
    </w:p>
    <w:p w14:paraId="14A02EC3">
      <w:pPr>
        <w:ind w:firstLine="600"/>
        <w:rPr>
          <w:rFonts w:hint="eastAsia" w:ascii="宋体" w:hAnsi="宋体" w:cs="宋体"/>
          <w:color w:val="auto"/>
          <w:szCs w:val="21"/>
          <w:highlight w:val="none"/>
        </w:rPr>
      </w:pPr>
      <w:r>
        <w:rPr>
          <w:rFonts w:hint="eastAsia" w:ascii="宋体" w:hAnsi="宋体" w:cs="宋体"/>
          <w:color w:val="auto"/>
          <w:szCs w:val="21"/>
          <w:highlight w:val="none"/>
        </w:rPr>
        <w:t>7.9 临时性公用设施</w:t>
      </w:r>
    </w:p>
    <w:p w14:paraId="4FA6158D">
      <w:pPr>
        <w:ind w:firstLine="600"/>
        <w:rPr>
          <w:rFonts w:hint="eastAsia" w:ascii="宋体" w:hAnsi="宋体" w:cs="宋体"/>
          <w:color w:val="auto"/>
          <w:szCs w:val="21"/>
          <w:highlight w:val="none"/>
        </w:rPr>
      </w:pPr>
      <w:r>
        <w:rPr>
          <w:rFonts w:hint="eastAsia" w:ascii="宋体" w:hAnsi="宋体" w:cs="宋体"/>
          <w:color w:val="auto"/>
          <w:szCs w:val="21"/>
          <w:highlight w:val="none"/>
        </w:rPr>
        <w:t>关于临时性公用设施的特别约定：</w:t>
      </w:r>
      <w:r>
        <w:rPr>
          <w:rFonts w:hint="eastAsia" w:ascii="宋体" w:hAnsi="宋体" w:cs="宋体"/>
          <w:color w:val="auto"/>
          <w:szCs w:val="21"/>
          <w:highlight w:val="none"/>
          <w:u w:val="single"/>
        </w:rPr>
        <w:t>发包人提供接点位置，承包人承担相关费用</w:t>
      </w:r>
      <w:r>
        <w:rPr>
          <w:rFonts w:hint="eastAsia" w:ascii="宋体" w:hAnsi="宋体" w:cs="宋体"/>
          <w:color w:val="auto"/>
          <w:szCs w:val="21"/>
          <w:highlight w:val="none"/>
        </w:rPr>
        <w:t>。</w:t>
      </w:r>
    </w:p>
    <w:p w14:paraId="4C1ECA88">
      <w:pPr>
        <w:ind w:firstLine="600"/>
        <w:rPr>
          <w:rFonts w:hint="eastAsia" w:ascii="宋体" w:hAnsi="宋体" w:cs="宋体"/>
          <w:color w:val="auto"/>
          <w:szCs w:val="21"/>
          <w:highlight w:val="none"/>
        </w:rPr>
      </w:pPr>
      <w:r>
        <w:rPr>
          <w:rFonts w:hint="eastAsia" w:ascii="宋体" w:hAnsi="宋体" w:cs="宋体"/>
          <w:color w:val="auto"/>
          <w:szCs w:val="21"/>
          <w:highlight w:val="none"/>
        </w:rPr>
        <w:t>7.10 现场安保</w:t>
      </w:r>
    </w:p>
    <w:p w14:paraId="720B3D7A">
      <w:pPr>
        <w:ind w:firstLine="600"/>
        <w:rPr>
          <w:rFonts w:hint="eastAsia" w:ascii="宋体" w:hAnsi="宋体" w:cs="宋体"/>
          <w:color w:val="auto"/>
          <w:szCs w:val="21"/>
          <w:highlight w:val="none"/>
        </w:rPr>
      </w:pPr>
      <w:r>
        <w:rPr>
          <w:rFonts w:hint="eastAsia" w:ascii="宋体" w:hAnsi="宋体" w:cs="宋体"/>
          <w:color w:val="auto"/>
          <w:szCs w:val="21"/>
          <w:highlight w:val="none"/>
        </w:rPr>
        <w:t>承包人现场安保义务的特别约定：</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7EEEC9D1">
      <w:pPr>
        <w:pStyle w:val="91"/>
        <w:rPr>
          <w:rFonts w:hint="eastAsia" w:cs="宋体"/>
          <w:b w:val="0"/>
          <w:color w:val="auto"/>
          <w:sz w:val="21"/>
          <w:szCs w:val="21"/>
          <w:highlight w:val="none"/>
        </w:rPr>
      </w:pPr>
      <w:bookmarkStart w:id="2840" w:name="_Toc27239"/>
      <w:bookmarkStart w:id="2841" w:name="_Toc365"/>
      <w:bookmarkStart w:id="2842" w:name="_Toc569"/>
      <w:bookmarkStart w:id="2843" w:name="_Toc15300"/>
      <w:bookmarkStart w:id="2844" w:name="_Toc29081"/>
      <w:bookmarkStart w:id="2845" w:name="_Toc12147"/>
      <w:bookmarkStart w:id="2846" w:name="_Toc1828"/>
      <w:bookmarkStart w:id="2847" w:name="_Toc18511"/>
      <w:bookmarkStart w:id="2848" w:name="_Toc16128"/>
      <w:bookmarkStart w:id="2849" w:name="_Toc103175813"/>
      <w:bookmarkStart w:id="2850" w:name="_Toc28194"/>
      <w:r>
        <w:rPr>
          <w:rFonts w:hint="eastAsia" w:cs="宋体"/>
          <w:b w:val="0"/>
          <w:color w:val="auto"/>
          <w:sz w:val="21"/>
          <w:szCs w:val="21"/>
          <w:highlight w:val="none"/>
        </w:rPr>
        <w:t>第8条 工期和进度</w:t>
      </w:r>
      <w:bookmarkEnd w:id="2840"/>
      <w:bookmarkEnd w:id="2841"/>
      <w:bookmarkEnd w:id="2842"/>
      <w:bookmarkEnd w:id="2843"/>
      <w:bookmarkEnd w:id="2844"/>
      <w:bookmarkEnd w:id="2845"/>
      <w:bookmarkEnd w:id="2846"/>
      <w:bookmarkEnd w:id="2847"/>
      <w:bookmarkEnd w:id="2848"/>
      <w:bookmarkEnd w:id="2849"/>
      <w:bookmarkEnd w:id="2850"/>
    </w:p>
    <w:p w14:paraId="5433D997">
      <w:pPr>
        <w:ind w:firstLine="600"/>
        <w:rPr>
          <w:rFonts w:hint="eastAsia" w:ascii="宋体" w:hAnsi="宋体" w:cs="宋体"/>
          <w:color w:val="auto"/>
          <w:szCs w:val="21"/>
          <w:highlight w:val="none"/>
        </w:rPr>
      </w:pPr>
      <w:r>
        <w:rPr>
          <w:rFonts w:hint="eastAsia" w:ascii="宋体" w:hAnsi="宋体" w:cs="宋体"/>
          <w:color w:val="auto"/>
          <w:szCs w:val="21"/>
          <w:highlight w:val="none"/>
        </w:rPr>
        <w:t>8.1 开始工作</w:t>
      </w:r>
    </w:p>
    <w:p w14:paraId="5A7BFE2E">
      <w:pPr>
        <w:ind w:firstLine="600"/>
        <w:rPr>
          <w:rFonts w:hint="eastAsia" w:ascii="宋体" w:hAnsi="宋体" w:cs="宋体"/>
          <w:color w:val="auto"/>
          <w:szCs w:val="21"/>
          <w:highlight w:val="none"/>
        </w:rPr>
      </w:pPr>
      <w:r>
        <w:rPr>
          <w:rFonts w:hint="eastAsia" w:ascii="宋体" w:hAnsi="宋体" w:cs="宋体"/>
          <w:color w:val="auto"/>
          <w:szCs w:val="21"/>
          <w:highlight w:val="none"/>
        </w:rPr>
        <w:t>8.1.1 开始准备工作：</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合同签订生效后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FBF94E6">
      <w:pPr>
        <w:ind w:firstLine="600"/>
        <w:rPr>
          <w:rFonts w:hint="eastAsia" w:ascii="宋体" w:hAnsi="宋体" w:cs="宋体"/>
          <w:color w:val="auto"/>
          <w:szCs w:val="21"/>
          <w:highlight w:val="none"/>
        </w:rPr>
      </w:pPr>
      <w:r>
        <w:rPr>
          <w:rFonts w:hint="eastAsia" w:ascii="宋体" w:hAnsi="宋体" w:cs="宋体"/>
          <w:color w:val="auto"/>
          <w:szCs w:val="21"/>
          <w:highlight w:val="none"/>
        </w:rPr>
        <w:t>8.1.2 发包人可在计划开始工作之日起84日后发出开始工作通知的特殊情形：</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7694C1B">
      <w:pPr>
        <w:ind w:firstLine="600"/>
        <w:rPr>
          <w:rFonts w:hint="eastAsia" w:ascii="宋体" w:hAnsi="宋体" w:cs="宋体"/>
          <w:color w:val="auto"/>
          <w:szCs w:val="21"/>
          <w:highlight w:val="none"/>
        </w:rPr>
      </w:pPr>
      <w:r>
        <w:rPr>
          <w:rFonts w:hint="eastAsia" w:ascii="宋体" w:hAnsi="宋体" w:cs="宋体"/>
          <w:color w:val="auto"/>
          <w:szCs w:val="21"/>
          <w:highlight w:val="none"/>
        </w:rPr>
        <w:t>8.2 竣工日期</w:t>
      </w:r>
    </w:p>
    <w:p w14:paraId="5F6E5F72">
      <w:pPr>
        <w:ind w:firstLine="600"/>
        <w:rPr>
          <w:rFonts w:hint="eastAsia" w:ascii="宋体" w:hAnsi="宋体" w:cs="宋体"/>
          <w:color w:val="auto"/>
          <w:szCs w:val="21"/>
          <w:highlight w:val="none"/>
        </w:rPr>
      </w:pPr>
      <w:r>
        <w:rPr>
          <w:rFonts w:hint="eastAsia" w:ascii="宋体" w:hAnsi="宋体" w:cs="宋体"/>
          <w:color w:val="auto"/>
          <w:szCs w:val="21"/>
          <w:highlight w:val="none"/>
        </w:rPr>
        <w:t>竣工日期的约定：</w:t>
      </w:r>
      <w:r>
        <w:rPr>
          <w:rFonts w:hint="eastAsia" w:ascii="宋体" w:hAnsi="宋体" w:cs="宋体"/>
          <w:color w:val="auto"/>
          <w:szCs w:val="21"/>
          <w:highlight w:val="none"/>
          <w:u w:val="single"/>
          <w:lang w:val="en-US" w:eastAsia="zh-CN"/>
        </w:rPr>
        <w:t>以本合同协议书约定的竣工时间为准</w:t>
      </w:r>
      <w:r>
        <w:rPr>
          <w:rFonts w:hint="eastAsia" w:ascii="宋体" w:hAnsi="宋体" w:cs="宋体"/>
          <w:color w:val="auto"/>
          <w:szCs w:val="21"/>
          <w:highlight w:val="none"/>
        </w:rPr>
        <w:t>。</w:t>
      </w:r>
    </w:p>
    <w:p w14:paraId="70A04F21">
      <w:pPr>
        <w:ind w:firstLine="600"/>
        <w:rPr>
          <w:rFonts w:hint="eastAsia" w:ascii="宋体" w:hAnsi="宋体" w:cs="宋体"/>
          <w:color w:val="auto"/>
          <w:szCs w:val="21"/>
          <w:highlight w:val="none"/>
        </w:rPr>
      </w:pPr>
      <w:r>
        <w:rPr>
          <w:rFonts w:hint="eastAsia" w:ascii="宋体" w:hAnsi="宋体" w:cs="宋体"/>
          <w:color w:val="auto"/>
          <w:szCs w:val="21"/>
          <w:highlight w:val="none"/>
        </w:rPr>
        <w:t>8.3 项目实施计划</w:t>
      </w:r>
    </w:p>
    <w:p w14:paraId="14F303A5">
      <w:pPr>
        <w:ind w:firstLine="600"/>
        <w:rPr>
          <w:rFonts w:hint="eastAsia" w:ascii="宋体" w:hAnsi="宋体" w:cs="宋体"/>
          <w:color w:val="auto"/>
          <w:szCs w:val="21"/>
          <w:highlight w:val="none"/>
        </w:rPr>
      </w:pPr>
      <w:r>
        <w:rPr>
          <w:rFonts w:hint="eastAsia" w:ascii="宋体" w:hAnsi="宋体" w:cs="宋体"/>
          <w:color w:val="auto"/>
          <w:szCs w:val="21"/>
          <w:highlight w:val="none"/>
        </w:rPr>
        <w:t>8.3.1 项目实施计划的内容</w:t>
      </w:r>
    </w:p>
    <w:p w14:paraId="343B217E">
      <w:pPr>
        <w:ind w:firstLine="600"/>
        <w:rPr>
          <w:rFonts w:ascii="宋体" w:hAnsi="宋体" w:cs="宋体"/>
          <w:color w:val="auto"/>
          <w:szCs w:val="21"/>
          <w:highlight w:val="none"/>
        </w:rPr>
      </w:pPr>
      <w:r>
        <w:rPr>
          <w:rFonts w:hint="eastAsia" w:ascii="宋体" w:hAnsi="宋体" w:cs="宋体"/>
          <w:color w:val="auto"/>
          <w:szCs w:val="21"/>
          <w:highlight w:val="none"/>
        </w:rPr>
        <w:t>项目实施计划的内容：</w:t>
      </w:r>
      <w:r>
        <w:rPr>
          <w:rFonts w:hint="eastAsia" w:ascii="宋体" w:hAnsi="宋体" w:cs="宋体"/>
          <w:color w:val="auto"/>
          <w:szCs w:val="21"/>
          <w:highlight w:val="none"/>
          <w:u w:val="single"/>
        </w:rPr>
        <w:t>承包人应按发包人要求的内容和期限，编制详细的进度计划（提供相应订货合同、分包合同等），包括设计、承包人文件提交、采购、制造、检验、运达现场、施工、安装、试验的各个阶段的预期时间以及设计和施工组织方案说明等报送工程师。工程师应在收到报送材料7日内批复或提出修改意见。</w:t>
      </w:r>
    </w:p>
    <w:p w14:paraId="30CA1263">
      <w:pPr>
        <w:ind w:firstLine="600"/>
        <w:rPr>
          <w:rFonts w:hint="eastAsia" w:ascii="宋体" w:hAnsi="宋体" w:cs="宋体"/>
          <w:color w:val="auto"/>
          <w:szCs w:val="21"/>
          <w:highlight w:val="none"/>
        </w:rPr>
      </w:pPr>
      <w:r>
        <w:rPr>
          <w:rFonts w:hint="eastAsia" w:ascii="宋体" w:hAnsi="宋体" w:cs="宋体"/>
          <w:color w:val="auto"/>
          <w:szCs w:val="21"/>
          <w:highlight w:val="none"/>
        </w:rPr>
        <w:t>8.3.2 项目实施计划的提交和修改</w:t>
      </w:r>
    </w:p>
    <w:p w14:paraId="069B70EF">
      <w:pPr>
        <w:ind w:firstLine="600"/>
        <w:rPr>
          <w:rFonts w:hint="eastAsia" w:ascii="宋体" w:hAnsi="宋体" w:cs="宋体"/>
          <w:color w:val="auto"/>
          <w:szCs w:val="21"/>
          <w:highlight w:val="none"/>
        </w:rPr>
      </w:pPr>
      <w:r>
        <w:rPr>
          <w:rFonts w:hint="eastAsia" w:ascii="宋体" w:hAnsi="宋体" w:cs="宋体"/>
          <w:color w:val="auto"/>
          <w:szCs w:val="21"/>
          <w:highlight w:val="none"/>
        </w:rPr>
        <w:t>项目实施计划的提交及修改期限：</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315C4A7A">
      <w:pPr>
        <w:ind w:firstLine="600"/>
        <w:rPr>
          <w:rFonts w:hint="eastAsia" w:ascii="宋体" w:hAnsi="宋体" w:cs="宋体"/>
          <w:color w:val="auto"/>
          <w:szCs w:val="21"/>
          <w:highlight w:val="none"/>
        </w:rPr>
      </w:pPr>
      <w:r>
        <w:rPr>
          <w:rFonts w:hint="eastAsia" w:ascii="宋体" w:hAnsi="宋体" w:cs="宋体"/>
          <w:color w:val="auto"/>
          <w:szCs w:val="21"/>
          <w:highlight w:val="none"/>
        </w:rPr>
        <w:t>8.4 项目进度计划</w:t>
      </w:r>
    </w:p>
    <w:p w14:paraId="4075AD9D">
      <w:pPr>
        <w:ind w:firstLine="600"/>
        <w:rPr>
          <w:rFonts w:hint="eastAsia" w:ascii="宋体" w:hAnsi="宋体" w:cs="宋体"/>
          <w:color w:val="auto"/>
          <w:szCs w:val="21"/>
          <w:highlight w:val="none"/>
        </w:rPr>
      </w:pPr>
      <w:r>
        <w:rPr>
          <w:rFonts w:hint="eastAsia" w:ascii="宋体" w:hAnsi="宋体" w:cs="宋体"/>
          <w:color w:val="auto"/>
          <w:szCs w:val="21"/>
          <w:highlight w:val="none"/>
        </w:rPr>
        <w:t>8.4.1 工程师在收到进度计划后确认或提出修改意见的期限：</w:t>
      </w:r>
      <w:r>
        <w:rPr>
          <w:rFonts w:hint="eastAsia" w:ascii="宋体" w:hAnsi="宋体" w:cs="宋体"/>
          <w:color w:val="auto"/>
          <w:szCs w:val="21"/>
          <w:highlight w:val="none"/>
          <w:u w:val="single"/>
        </w:rPr>
        <w:t>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要求</w:t>
      </w:r>
      <w:r>
        <w:rPr>
          <w:rFonts w:hint="eastAsia" w:ascii="宋体" w:hAnsi="宋体" w:cs="宋体"/>
          <w:color w:val="auto"/>
          <w:szCs w:val="21"/>
          <w:highlight w:val="none"/>
        </w:rPr>
        <w:t>。</w:t>
      </w:r>
    </w:p>
    <w:p w14:paraId="2FF5781D">
      <w:pPr>
        <w:ind w:firstLine="600"/>
        <w:rPr>
          <w:rFonts w:hint="eastAsia" w:ascii="宋体" w:hAnsi="宋体" w:cs="宋体"/>
          <w:color w:val="auto"/>
          <w:szCs w:val="21"/>
          <w:highlight w:val="none"/>
        </w:rPr>
      </w:pPr>
      <w:r>
        <w:rPr>
          <w:rFonts w:hint="eastAsia" w:ascii="宋体" w:hAnsi="宋体" w:cs="宋体"/>
          <w:color w:val="auto"/>
          <w:szCs w:val="21"/>
          <w:highlight w:val="none"/>
        </w:rPr>
        <w:t>8.4.2 进度计划的具体要求：</w:t>
      </w:r>
      <w:r>
        <w:rPr>
          <w:rFonts w:hint="eastAsia" w:ascii="宋体" w:hAnsi="宋体" w:cs="宋体"/>
          <w:color w:val="auto"/>
          <w:szCs w:val="21"/>
          <w:highlight w:val="none"/>
          <w:u w:val="single"/>
        </w:rPr>
        <w:t>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要求</w:t>
      </w:r>
      <w:r>
        <w:rPr>
          <w:rFonts w:hint="eastAsia" w:ascii="宋体" w:hAnsi="宋体" w:cs="宋体"/>
          <w:color w:val="auto"/>
          <w:szCs w:val="21"/>
          <w:highlight w:val="none"/>
        </w:rPr>
        <w:t>。</w:t>
      </w:r>
    </w:p>
    <w:p w14:paraId="6F413203">
      <w:pPr>
        <w:ind w:firstLine="600"/>
        <w:rPr>
          <w:rFonts w:hint="eastAsia" w:ascii="宋体" w:hAnsi="宋体" w:cs="宋体"/>
          <w:color w:val="auto"/>
          <w:szCs w:val="21"/>
          <w:highlight w:val="none"/>
        </w:rPr>
      </w:pPr>
      <w:r>
        <w:rPr>
          <w:rFonts w:hint="eastAsia" w:ascii="宋体" w:hAnsi="宋体" w:cs="宋体"/>
          <w:color w:val="auto"/>
          <w:szCs w:val="21"/>
          <w:highlight w:val="none"/>
        </w:rPr>
        <w:t>关键路径及关键路径变化的确定原则：</w:t>
      </w:r>
      <w:r>
        <w:rPr>
          <w:rFonts w:hint="eastAsia" w:ascii="宋体" w:hAnsi="宋体" w:cs="宋体"/>
          <w:color w:val="auto"/>
          <w:szCs w:val="21"/>
          <w:highlight w:val="none"/>
          <w:u w:val="single"/>
        </w:rPr>
        <w:t>征得工程师及发包人同意</w:t>
      </w:r>
      <w:r>
        <w:rPr>
          <w:rFonts w:hint="eastAsia" w:ascii="宋体" w:hAnsi="宋体" w:cs="宋体"/>
          <w:color w:val="auto"/>
          <w:szCs w:val="21"/>
          <w:highlight w:val="none"/>
        </w:rPr>
        <w:t>。承包人提交项目进度计划的份数和时间：</w:t>
      </w:r>
      <w:r>
        <w:rPr>
          <w:rFonts w:hint="eastAsia" w:ascii="宋体" w:hAnsi="宋体" w:cs="宋体"/>
          <w:color w:val="auto"/>
          <w:szCs w:val="21"/>
          <w:highlight w:val="none"/>
          <w:u w:val="single"/>
        </w:rPr>
        <w:t>合同签订后14日内，提交3份</w:t>
      </w:r>
      <w:r>
        <w:rPr>
          <w:rFonts w:hint="eastAsia" w:ascii="宋体" w:hAnsi="宋体" w:cs="宋体"/>
          <w:color w:val="auto"/>
          <w:szCs w:val="21"/>
          <w:highlight w:val="none"/>
        </w:rPr>
        <w:t>。</w:t>
      </w:r>
    </w:p>
    <w:p w14:paraId="4459907B">
      <w:pPr>
        <w:ind w:firstLine="600"/>
        <w:rPr>
          <w:rFonts w:hint="eastAsia" w:ascii="宋体" w:hAnsi="宋体" w:cs="宋体"/>
          <w:color w:val="auto"/>
          <w:szCs w:val="21"/>
          <w:highlight w:val="none"/>
        </w:rPr>
      </w:pPr>
      <w:r>
        <w:rPr>
          <w:rFonts w:hint="eastAsia" w:ascii="宋体" w:hAnsi="宋体" w:cs="宋体"/>
          <w:color w:val="auto"/>
          <w:szCs w:val="21"/>
          <w:highlight w:val="none"/>
        </w:rPr>
        <w:t>8.4.3 进度计划的修订</w:t>
      </w:r>
    </w:p>
    <w:p w14:paraId="77850D53">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承包人提交修订项目进度计划申请报告的期限：</w:t>
      </w:r>
      <w:r>
        <w:rPr>
          <w:rFonts w:hint="eastAsia" w:ascii="宋体" w:hAnsi="宋体" w:cs="宋体"/>
          <w:color w:val="auto"/>
          <w:szCs w:val="21"/>
          <w:highlight w:val="none"/>
          <w:u w:val="single"/>
        </w:rPr>
        <w:t>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  </w:t>
      </w:r>
      <w:r>
        <w:rPr>
          <w:rFonts w:hint="eastAsia" w:ascii="宋体" w:hAnsi="宋体" w:cs="宋体"/>
          <w:color w:val="auto"/>
          <w:szCs w:val="21"/>
          <w:highlight w:val="none"/>
        </w:rPr>
        <w:t>。</w:t>
      </w:r>
    </w:p>
    <w:p w14:paraId="2B268DF5">
      <w:pPr>
        <w:ind w:firstLine="600"/>
        <w:rPr>
          <w:rFonts w:hint="eastAsia" w:ascii="宋体" w:hAnsi="宋体" w:cs="宋体"/>
          <w:color w:val="auto"/>
          <w:szCs w:val="21"/>
          <w:highlight w:val="none"/>
        </w:rPr>
      </w:pPr>
      <w:r>
        <w:rPr>
          <w:rFonts w:hint="eastAsia" w:ascii="宋体" w:hAnsi="宋体" w:cs="宋体"/>
          <w:color w:val="auto"/>
          <w:szCs w:val="21"/>
          <w:highlight w:val="none"/>
        </w:rPr>
        <w:t>发包人批复修订项目进度计划申请报告的期限：</w:t>
      </w:r>
      <w:r>
        <w:rPr>
          <w:rFonts w:hint="eastAsia" w:ascii="宋体" w:hAnsi="宋体" w:cs="宋体"/>
          <w:color w:val="auto"/>
          <w:szCs w:val="21"/>
          <w:highlight w:val="none"/>
          <w:u w:val="single"/>
        </w:rPr>
        <w:t>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  </w:t>
      </w:r>
      <w:r>
        <w:rPr>
          <w:rFonts w:hint="eastAsia" w:ascii="宋体" w:hAnsi="宋体" w:cs="宋体"/>
          <w:color w:val="auto"/>
          <w:szCs w:val="21"/>
          <w:highlight w:val="none"/>
        </w:rPr>
        <w:t>。</w:t>
      </w:r>
    </w:p>
    <w:p w14:paraId="7E76F3C4">
      <w:pPr>
        <w:ind w:firstLine="600"/>
        <w:rPr>
          <w:rFonts w:hint="eastAsia" w:ascii="宋体" w:hAnsi="宋体" w:cs="宋体"/>
          <w:color w:val="auto"/>
          <w:szCs w:val="21"/>
          <w:highlight w:val="none"/>
        </w:rPr>
      </w:pPr>
      <w:r>
        <w:rPr>
          <w:rFonts w:hint="eastAsia" w:ascii="宋体" w:hAnsi="宋体" w:cs="宋体"/>
          <w:color w:val="auto"/>
          <w:szCs w:val="21"/>
          <w:highlight w:val="none"/>
        </w:rPr>
        <w:t>承包人答复发包人提出修订合同计划的期限：</w:t>
      </w:r>
      <w:r>
        <w:rPr>
          <w:rFonts w:hint="eastAsia" w:ascii="宋体" w:hAnsi="宋体" w:cs="宋体"/>
          <w:color w:val="auto"/>
          <w:szCs w:val="21"/>
          <w:highlight w:val="none"/>
          <w:u w:val="single"/>
        </w:rPr>
        <w:t>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    </w:t>
      </w:r>
      <w:r>
        <w:rPr>
          <w:rFonts w:hint="eastAsia" w:ascii="宋体" w:hAnsi="宋体" w:cs="宋体"/>
          <w:color w:val="auto"/>
          <w:szCs w:val="21"/>
          <w:highlight w:val="none"/>
        </w:rPr>
        <w:t>。</w:t>
      </w:r>
    </w:p>
    <w:p w14:paraId="3F3F69BD">
      <w:pPr>
        <w:ind w:firstLine="600"/>
        <w:rPr>
          <w:rFonts w:hint="eastAsia" w:ascii="宋体" w:hAnsi="宋体" w:cs="宋体"/>
          <w:color w:val="auto"/>
          <w:szCs w:val="21"/>
          <w:highlight w:val="none"/>
        </w:rPr>
      </w:pPr>
      <w:r>
        <w:rPr>
          <w:rFonts w:hint="eastAsia" w:ascii="宋体" w:hAnsi="宋体" w:cs="宋体"/>
          <w:color w:val="auto"/>
          <w:szCs w:val="21"/>
          <w:highlight w:val="none"/>
        </w:rPr>
        <w:t>8.5 进度报告</w:t>
      </w:r>
    </w:p>
    <w:p w14:paraId="584D3C2C">
      <w:pPr>
        <w:ind w:firstLine="600"/>
        <w:rPr>
          <w:rFonts w:hint="eastAsia" w:ascii="宋体" w:hAnsi="宋体" w:cs="宋体"/>
          <w:color w:val="auto"/>
          <w:szCs w:val="21"/>
          <w:highlight w:val="none"/>
        </w:rPr>
      </w:pPr>
      <w:r>
        <w:rPr>
          <w:rFonts w:hint="eastAsia" w:ascii="宋体" w:hAnsi="宋体" w:cs="宋体"/>
          <w:color w:val="auto"/>
          <w:szCs w:val="21"/>
          <w:highlight w:val="none"/>
        </w:rPr>
        <w:t>进度报告的具体要求：</w:t>
      </w:r>
      <w:r>
        <w:rPr>
          <w:rFonts w:hint="eastAsia" w:ascii="宋体" w:hAnsi="宋体" w:cs="宋体"/>
          <w:color w:val="auto"/>
          <w:szCs w:val="21"/>
          <w:highlight w:val="none"/>
          <w:u w:val="single"/>
        </w:rPr>
        <w:t>按发包人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要求执行</w:t>
      </w:r>
      <w:r>
        <w:rPr>
          <w:rFonts w:hint="eastAsia" w:ascii="宋体" w:hAnsi="宋体" w:cs="宋体"/>
          <w:color w:val="auto"/>
          <w:szCs w:val="21"/>
          <w:highlight w:val="none"/>
        </w:rPr>
        <w:t>。</w:t>
      </w:r>
    </w:p>
    <w:p w14:paraId="2B853828">
      <w:pPr>
        <w:ind w:firstLine="600"/>
        <w:rPr>
          <w:rFonts w:hint="eastAsia" w:ascii="宋体" w:hAnsi="宋体" w:cs="宋体"/>
          <w:color w:val="auto"/>
          <w:szCs w:val="21"/>
          <w:highlight w:val="none"/>
        </w:rPr>
      </w:pPr>
      <w:r>
        <w:rPr>
          <w:rFonts w:hint="eastAsia" w:ascii="宋体" w:hAnsi="宋体" w:cs="宋体"/>
          <w:color w:val="auto"/>
          <w:szCs w:val="21"/>
          <w:highlight w:val="none"/>
        </w:rPr>
        <w:t>8.7 工期延误</w:t>
      </w:r>
    </w:p>
    <w:p w14:paraId="51FE620B">
      <w:pPr>
        <w:ind w:firstLine="600"/>
        <w:rPr>
          <w:rFonts w:hint="eastAsia" w:ascii="宋体" w:hAnsi="宋体" w:cs="宋体"/>
          <w:color w:val="auto"/>
          <w:szCs w:val="21"/>
          <w:highlight w:val="none"/>
        </w:rPr>
      </w:pPr>
      <w:r>
        <w:rPr>
          <w:rFonts w:hint="eastAsia" w:ascii="宋体" w:hAnsi="宋体" w:cs="宋体"/>
          <w:color w:val="auto"/>
          <w:szCs w:val="21"/>
          <w:highlight w:val="none"/>
        </w:rPr>
        <w:t>8.7.2 因承包人原因导致工期延误：</w:t>
      </w:r>
    </w:p>
    <w:p w14:paraId="03ECD685">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因承包人原因使竣工日期延误，每延误1日的误期赔偿金额为合同协议书的合同价格的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%或人民币金额为：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贰万</w:t>
      </w:r>
      <w:r>
        <w:rPr>
          <w:rFonts w:hint="eastAsia" w:ascii="宋体" w:hAnsi="宋体" w:cs="宋体"/>
          <w:color w:val="auto"/>
          <w:szCs w:val="21"/>
          <w:highlight w:val="none"/>
          <w:u w:val="single"/>
        </w:rPr>
        <w:t>元</w:t>
      </w:r>
      <w:r>
        <w:rPr>
          <w:rFonts w:hint="eastAsia" w:ascii="宋体" w:hAnsi="宋体" w:cs="宋体"/>
          <w:color w:val="auto"/>
          <w:szCs w:val="21"/>
          <w:highlight w:val="none"/>
        </w:rPr>
        <w:t>、累计最高赔偿金额为合同协议书的合同价格的：</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或人民币金额为：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E6F3423">
      <w:pPr>
        <w:ind w:firstLine="600"/>
        <w:rPr>
          <w:rFonts w:hint="eastAsia" w:ascii="宋体" w:hAnsi="宋体" w:cs="宋体"/>
          <w:color w:val="auto"/>
          <w:szCs w:val="21"/>
          <w:highlight w:val="none"/>
        </w:rPr>
      </w:pPr>
      <w:r>
        <w:rPr>
          <w:rFonts w:hint="eastAsia" w:ascii="宋体" w:hAnsi="宋体" w:cs="宋体"/>
          <w:color w:val="auto"/>
          <w:szCs w:val="21"/>
          <w:highlight w:val="none"/>
        </w:rPr>
        <w:t>8.7.3 行政审批迟延</w:t>
      </w:r>
    </w:p>
    <w:p w14:paraId="3835E3BA">
      <w:pPr>
        <w:ind w:firstLine="600"/>
        <w:rPr>
          <w:rFonts w:hint="eastAsia" w:ascii="宋体" w:hAnsi="宋体" w:cs="宋体"/>
          <w:color w:val="auto"/>
          <w:szCs w:val="21"/>
          <w:highlight w:val="none"/>
        </w:rPr>
      </w:pPr>
      <w:r>
        <w:rPr>
          <w:rFonts w:hint="eastAsia" w:ascii="宋体" w:hAnsi="宋体" w:cs="宋体"/>
          <w:color w:val="auto"/>
          <w:szCs w:val="21"/>
          <w:highlight w:val="none"/>
        </w:rPr>
        <w:t>行政审批报送的职责分工：</w:t>
      </w:r>
      <w:r>
        <w:rPr>
          <w:rFonts w:hint="eastAsia" w:ascii="宋体" w:hAnsi="宋体" w:cs="宋体"/>
          <w:color w:val="auto"/>
          <w:szCs w:val="21"/>
          <w:highlight w:val="none"/>
          <w:u w:val="single"/>
        </w:rPr>
        <w:t xml:space="preserve"> 发包人配合承包人报批</w:t>
      </w:r>
      <w:r>
        <w:rPr>
          <w:rFonts w:hint="eastAsia" w:ascii="宋体" w:hAnsi="宋体" w:cs="宋体"/>
          <w:color w:val="auto"/>
          <w:szCs w:val="21"/>
          <w:highlight w:val="none"/>
        </w:rPr>
        <w:t>。</w:t>
      </w:r>
    </w:p>
    <w:p w14:paraId="29C1E749">
      <w:pPr>
        <w:ind w:firstLine="600"/>
        <w:rPr>
          <w:rFonts w:hint="eastAsia" w:ascii="宋体" w:hAnsi="宋体" w:cs="宋体"/>
          <w:color w:val="auto"/>
          <w:szCs w:val="21"/>
          <w:highlight w:val="none"/>
        </w:rPr>
      </w:pPr>
      <w:r>
        <w:rPr>
          <w:rFonts w:hint="eastAsia" w:ascii="宋体" w:hAnsi="宋体" w:cs="宋体"/>
          <w:color w:val="auto"/>
          <w:szCs w:val="21"/>
          <w:highlight w:val="none"/>
        </w:rPr>
        <w:t>8.7.4 异常恶劣的气候条件</w:t>
      </w:r>
    </w:p>
    <w:p w14:paraId="3F0088A3">
      <w:pPr>
        <w:ind w:firstLine="600"/>
        <w:rPr>
          <w:rFonts w:hint="eastAsia" w:ascii="宋体" w:hAnsi="宋体" w:cs="宋体"/>
          <w:color w:val="auto"/>
          <w:szCs w:val="21"/>
          <w:highlight w:val="none"/>
        </w:rPr>
      </w:pPr>
      <w:r>
        <w:rPr>
          <w:rFonts w:hint="eastAsia" w:ascii="宋体" w:hAnsi="宋体" w:cs="宋体"/>
          <w:color w:val="auto"/>
          <w:szCs w:val="21"/>
          <w:highlight w:val="none"/>
        </w:rPr>
        <w:t>双方约定视为异常恶劣的气候条件的情形：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D3DFC44">
      <w:pPr>
        <w:ind w:firstLine="600"/>
        <w:rPr>
          <w:color w:val="auto"/>
          <w:highlight w:val="none"/>
        </w:rPr>
      </w:pPr>
      <w:r>
        <w:rPr>
          <w:rFonts w:hint="eastAsia" w:ascii="宋体" w:hAnsi="宋体" w:cs="宋体"/>
          <w:color w:val="auto"/>
          <w:szCs w:val="21"/>
          <w:highlight w:val="none"/>
        </w:rPr>
        <w:t xml:space="preserve">8.7.5 </w:t>
      </w:r>
      <w:r>
        <w:rPr>
          <w:rFonts w:hint="eastAsia" w:ascii="宋体" w:hAnsi="宋体" w:cs="宋体"/>
          <w:color w:val="auto"/>
          <w:szCs w:val="21"/>
          <w:highlight w:val="none"/>
          <w:u w:val="single"/>
        </w:rPr>
        <w:t>因</w:t>
      </w:r>
      <w:r>
        <w:rPr>
          <w:rFonts w:hint="eastAsia" w:ascii="宋体" w:hAnsi="宋体" w:cs="宋体"/>
          <w:color w:val="auto"/>
          <w:szCs w:val="21"/>
          <w:highlight w:val="none"/>
          <w:u w:val="single"/>
          <w:lang w:eastAsia="zh-CN"/>
        </w:rPr>
        <w:t>环保管控政策</w:t>
      </w:r>
      <w:r>
        <w:rPr>
          <w:rFonts w:hint="eastAsia" w:ascii="宋体" w:hAnsi="宋体" w:cs="宋体"/>
          <w:color w:val="auto"/>
          <w:szCs w:val="21"/>
          <w:highlight w:val="none"/>
          <w:u w:val="single"/>
        </w:rPr>
        <w:t>停工及</w:t>
      </w:r>
      <w:r>
        <w:rPr>
          <w:rFonts w:hint="eastAsia" w:ascii="宋体" w:hAnsi="宋体" w:cs="宋体"/>
          <w:color w:val="auto"/>
          <w:szCs w:val="21"/>
          <w:highlight w:val="none"/>
          <w:u w:val="single"/>
          <w:lang w:eastAsia="zh-CN"/>
        </w:rPr>
        <w:t>不可抗力因素</w:t>
      </w:r>
      <w:r>
        <w:rPr>
          <w:rFonts w:hint="eastAsia" w:ascii="宋体" w:hAnsi="宋体" w:cs="宋体"/>
          <w:color w:val="auto"/>
          <w:szCs w:val="21"/>
          <w:highlight w:val="none"/>
          <w:u w:val="single"/>
        </w:rPr>
        <w:t>停工造成的工期延误顺延工期，其他执行国家及地方政府相关政策文件</w:t>
      </w:r>
      <w:r>
        <w:rPr>
          <w:rFonts w:hint="eastAsia" w:ascii="宋体" w:hAnsi="宋体" w:cs="宋体"/>
          <w:color w:val="auto"/>
          <w:szCs w:val="21"/>
          <w:highlight w:val="none"/>
        </w:rPr>
        <w:t>。</w:t>
      </w:r>
    </w:p>
    <w:p w14:paraId="21AD47C4">
      <w:pPr>
        <w:ind w:firstLine="600"/>
        <w:rPr>
          <w:rFonts w:hint="eastAsia" w:ascii="宋体" w:hAnsi="宋体" w:cs="宋体"/>
          <w:color w:val="auto"/>
          <w:szCs w:val="21"/>
          <w:highlight w:val="none"/>
        </w:rPr>
      </w:pPr>
      <w:r>
        <w:rPr>
          <w:rFonts w:hint="eastAsia" w:ascii="宋体" w:hAnsi="宋体" w:cs="宋体"/>
          <w:color w:val="auto"/>
          <w:szCs w:val="21"/>
          <w:highlight w:val="none"/>
        </w:rPr>
        <w:t>8.8 工期提前</w:t>
      </w:r>
    </w:p>
    <w:p w14:paraId="14AD7B0B">
      <w:pPr>
        <w:ind w:firstLine="600"/>
        <w:rPr>
          <w:rFonts w:hint="eastAsia" w:ascii="宋体" w:hAnsi="宋体" w:cs="宋体"/>
          <w:color w:val="auto"/>
          <w:szCs w:val="21"/>
          <w:highlight w:val="none"/>
        </w:rPr>
      </w:pPr>
      <w:r>
        <w:rPr>
          <w:rFonts w:hint="eastAsia" w:ascii="宋体" w:hAnsi="宋体" w:cs="宋体"/>
          <w:color w:val="auto"/>
          <w:szCs w:val="21"/>
          <w:highlight w:val="none"/>
        </w:rPr>
        <w:t>8.8.2 承包人提前竣工的奖励：</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rPr>
        <w:t>。</w:t>
      </w:r>
    </w:p>
    <w:p w14:paraId="244E0000">
      <w:pPr>
        <w:pStyle w:val="91"/>
        <w:rPr>
          <w:rFonts w:hint="eastAsia" w:cs="宋体"/>
          <w:b w:val="0"/>
          <w:color w:val="auto"/>
          <w:sz w:val="21"/>
          <w:szCs w:val="21"/>
          <w:highlight w:val="none"/>
        </w:rPr>
      </w:pPr>
      <w:bookmarkStart w:id="2851" w:name="_Toc12748"/>
      <w:bookmarkStart w:id="2852" w:name="_Toc11984"/>
      <w:bookmarkStart w:id="2853" w:name="_Toc6437"/>
      <w:bookmarkStart w:id="2854" w:name="_Toc23955"/>
      <w:bookmarkStart w:id="2855" w:name="_Toc30849"/>
      <w:bookmarkStart w:id="2856" w:name="_Toc13069"/>
      <w:bookmarkStart w:id="2857" w:name="_Toc28869"/>
      <w:bookmarkStart w:id="2858" w:name="_Toc103175814"/>
      <w:bookmarkStart w:id="2859" w:name="_Toc17129"/>
      <w:bookmarkStart w:id="2860" w:name="_Toc5151"/>
      <w:bookmarkStart w:id="2861" w:name="_Toc266"/>
      <w:r>
        <w:rPr>
          <w:rFonts w:hint="eastAsia" w:cs="宋体"/>
          <w:b w:val="0"/>
          <w:color w:val="auto"/>
          <w:sz w:val="21"/>
          <w:szCs w:val="21"/>
          <w:highlight w:val="none"/>
        </w:rPr>
        <w:t>第9条 竣工试验</w:t>
      </w:r>
      <w:bookmarkEnd w:id="2851"/>
      <w:bookmarkEnd w:id="2852"/>
      <w:bookmarkEnd w:id="2853"/>
      <w:bookmarkEnd w:id="2854"/>
      <w:bookmarkEnd w:id="2855"/>
      <w:bookmarkEnd w:id="2856"/>
      <w:bookmarkEnd w:id="2857"/>
      <w:bookmarkEnd w:id="2858"/>
      <w:bookmarkEnd w:id="2859"/>
      <w:bookmarkEnd w:id="2860"/>
      <w:bookmarkEnd w:id="2861"/>
    </w:p>
    <w:p w14:paraId="56545120">
      <w:pPr>
        <w:ind w:firstLine="600"/>
        <w:rPr>
          <w:rFonts w:hint="eastAsia" w:ascii="宋体" w:hAnsi="宋体" w:cs="宋体"/>
          <w:color w:val="auto"/>
          <w:szCs w:val="21"/>
          <w:highlight w:val="none"/>
        </w:rPr>
      </w:pPr>
      <w:r>
        <w:rPr>
          <w:rFonts w:hint="eastAsia" w:ascii="宋体" w:hAnsi="宋体" w:cs="宋体"/>
          <w:color w:val="auto"/>
          <w:szCs w:val="21"/>
          <w:highlight w:val="none"/>
        </w:rPr>
        <w:t>9.1 竣工试验的义务</w:t>
      </w:r>
    </w:p>
    <w:p w14:paraId="0A84C9E9">
      <w:pPr>
        <w:ind w:firstLine="600"/>
        <w:rPr>
          <w:rFonts w:hint="eastAsia" w:ascii="宋体" w:hAnsi="宋体" w:cs="宋体"/>
          <w:color w:val="auto"/>
          <w:szCs w:val="21"/>
          <w:highlight w:val="none"/>
        </w:rPr>
      </w:pPr>
      <w:r>
        <w:rPr>
          <w:rFonts w:hint="eastAsia" w:ascii="宋体" w:hAnsi="宋体" w:cs="宋体"/>
          <w:color w:val="auto"/>
          <w:szCs w:val="21"/>
          <w:highlight w:val="none"/>
        </w:rPr>
        <w:t>9.1.3 竣工试验的阶段、内容和顺序：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0C1BE552">
      <w:pPr>
        <w:ind w:firstLine="600"/>
        <w:rPr>
          <w:rFonts w:hint="eastAsia" w:ascii="宋体" w:hAnsi="宋体" w:cs="宋体"/>
          <w:color w:val="auto"/>
          <w:szCs w:val="21"/>
          <w:highlight w:val="none"/>
        </w:rPr>
      </w:pPr>
      <w:r>
        <w:rPr>
          <w:rFonts w:hint="eastAsia" w:ascii="宋体" w:hAnsi="宋体" w:cs="宋体"/>
          <w:color w:val="auto"/>
          <w:szCs w:val="21"/>
          <w:highlight w:val="none"/>
        </w:rPr>
        <w:t>竣工试验的操作要求：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EA18206">
      <w:pPr>
        <w:pStyle w:val="91"/>
        <w:rPr>
          <w:rFonts w:hint="eastAsia" w:cs="宋体"/>
          <w:b w:val="0"/>
          <w:color w:val="auto"/>
          <w:sz w:val="21"/>
          <w:szCs w:val="21"/>
          <w:highlight w:val="none"/>
        </w:rPr>
      </w:pPr>
      <w:bookmarkStart w:id="2862" w:name="_Toc4784273"/>
      <w:bookmarkEnd w:id="2862"/>
      <w:bookmarkStart w:id="2863" w:name="_Toc4784272"/>
      <w:bookmarkEnd w:id="2863"/>
      <w:bookmarkStart w:id="2864" w:name="_Toc28862"/>
      <w:bookmarkStart w:id="2865" w:name="_Toc103175815"/>
      <w:bookmarkStart w:id="2866" w:name="_Toc10105"/>
      <w:bookmarkStart w:id="2867" w:name="_Toc32118"/>
      <w:bookmarkStart w:id="2868" w:name="_Toc19135"/>
      <w:bookmarkStart w:id="2869" w:name="_Toc4721"/>
      <w:bookmarkStart w:id="2870" w:name="_Toc16805"/>
      <w:bookmarkStart w:id="2871" w:name="_Toc453"/>
      <w:bookmarkStart w:id="2872" w:name="_Toc19260"/>
      <w:bookmarkStart w:id="2873" w:name="_Toc810"/>
      <w:r>
        <w:rPr>
          <w:rFonts w:hint="eastAsia" w:cs="宋体"/>
          <w:b w:val="0"/>
          <w:color w:val="auto"/>
          <w:sz w:val="21"/>
          <w:szCs w:val="21"/>
          <w:highlight w:val="none"/>
        </w:rPr>
        <w:t>第10条 验收和工程接收</w:t>
      </w:r>
      <w:bookmarkEnd w:id="2864"/>
      <w:bookmarkEnd w:id="2865"/>
      <w:bookmarkEnd w:id="2866"/>
      <w:bookmarkEnd w:id="2867"/>
      <w:bookmarkEnd w:id="2868"/>
      <w:bookmarkEnd w:id="2869"/>
      <w:bookmarkEnd w:id="2870"/>
      <w:bookmarkEnd w:id="2871"/>
      <w:bookmarkEnd w:id="2872"/>
      <w:bookmarkEnd w:id="2873"/>
    </w:p>
    <w:p w14:paraId="5007184C">
      <w:pPr>
        <w:ind w:firstLine="600"/>
        <w:rPr>
          <w:rFonts w:hint="eastAsia" w:ascii="宋体" w:hAnsi="宋体" w:cs="宋体"/>
          <w:color w:val="auto"/>
          <w:szCs w:val="21"/>
          <w:highlight w:val="none"/>
        </w:rPr>
      </w:pPr>
      <w:r>
        <w:rPr>
          <w:rFonts w:hint="eastAsia" w:ascii="宋体" w:hAnsi="宋体" w:cs="宋体"/>
          <w:color w:val="auto"/>
          <w:szCs w:val="21"/>
          <w:highlight w:val="none"/>
        </w:rPr>
        <w:t>10.1 竣工验收</w:t>
      </w:r>
    </w:p>
    <w:p w14:paraId="41B42C5F">
      <w:pPr>
        <w:ind w:firstLine="600"/>
        <w:rPr>
          <w:rFonts w:hint="eastAsia" w:ascii="宋体" w:hAnsi="宋体" w:cs="宋体"/>
          <w:color w:val="auto"/>
          <w:szCs w:val="21"/>
          <w:highlight w:val="none"/>
        </w:rPr>
      </w:pPr>
      <w:r>
        <w:rPr>
          <w:rFonts w:hint="eastAsia" w:ascii="宋体" w:hAnsi="宋体" w:cs="宋体"/>
          <w:color w:val="auto"/>
          <w:szCs w:val="21"/>
          <w:highlight w:val="none"/>
        </w:rPr>
        <w:t>10.1.2 关于竣工验收程序的约定：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62672671">
      <w:pPr>
        <w:ind w:firstLine="600"/>
        <w:rPr>
          <w:rFonts w:hint="eastAsia" w:ascii="宋体" w:hAnsi="宋体" w:cs="宋体"/>
          <w:color w:val="auto"/>
          <w:szCs w:val="21"/>
          <w:highlight w:val="none"/>
        </w:rPr>
      </w:pPr>
      <w:bookmarkStart w:id="2874" w:name="_Hlk46406260"/>
      <w:r>
        <w:rPr>
          <w:rFonts w:hint="eastAsia" w:ascii="宋体" w:hAnsi="宋体" w:cs="宋体"/>
          <w:color w:val="auto"/>
          <w:szCs w:val="21"/>
          <w:highlight w:val="none"/>
        </w:rPr>
        <w:t>发包人不按照合同约定组织竣工验收、颁发工程接受证书的违约金的计算方式：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2874"/>
    <w:p w14:paraId="7A92BBED">
      <w:pPr>
        <w:ind w:firstLine="600"/>
        <w:rPr>
          <w:rFonts w:hint="eastAsia" w:ascii="宋体" w:hAnsi="宋体" w:cs="宋体"/>
          <w:color w:val="auto"/>
          <w:szCs w:val="21"/>
          <w:highlight w:val="none"/>
        </w:rPr>
      </w:pPr>
      <w:r>
        <w:rPr>
          <w:rFonts w:hint="eastAsia" w:ascii="宋体" w:hAnsi="宋体" w:cs="宋体"/>
          <w:color w:val="auto"/>
          <w:szCs w:val="21"/>
          <w:highlight w:val="none"/>
        </w:rPr>
        <w:t>10.3</w:t>
      </w:r>
      <w:r>
        <w:rPr>
          <w:rFonts w:hint="eastAsia" w:ascii="宋体" w:hAnsi="宋体" w:cs="宋体"/>
          <w:color w:val="auto"/>
          <w:szCs w:val="21"/>
          <w:highlight w:val="none"/>
        </w:rPr>
        <w:tab/>
      </w:r>
      <w:r>
        <w:rPr>
          <w:rFonts w:hint="eastAsia" w:ascii="宋体" w:hAnsi="宋体" w:cs="宋体"/>
          <w:color w:val="auto"/>
          <w:szCs w:val="21"/>
          <w:highlight w:val="none"/>
        </w:rPr>
        <w:t xml:space="preserve"> 工程的接收</w:t>
      </w:r>
    </w:p>
    <w:p w14:paraId="60CBB794">
      <w:pPr>
        <w:ind w:firstLine="600"/>
        <w:rPr>
          <w:rFonts w:hint="eastAsia" w:ascii="宋体" w:hAnsi="宋体" w:cs="宋体"/>
          <w:color w:val="auto"/>
          <w:szCs w:val="21"/>
          <w:highlight w:val="none"/>
        </w:rPr>
      </w:pPr>
      <w:r>
        <w:rPr>
          <w:rFonts w:hint="eastAsia" w:ascii="宋体" w:hAnsi="宋体" w:cs="宋体"/>
          <w:color w:val="auto"/>
          <w:szCs w:val="21"/>
          <w:highlight w:val="none"/>
        </w:rPr>
        <w:t>10.3.1工程接收的先后顺序、时间安排和其他要求：</w:t>
      </w:r>
      <w:r>
        <w:rPr>
          <w:rFonts w:hint="eastAsia" w:ascii="宋体" w:hAnsi="宋体" w:cs="宋体"/>
          <w:color w:val="auto"/>
          <w:szCs w:val="21"/>
          <w:highlight w:val="none"/>
          <w:u w:val="single"/>
        </w:rPr>
        <w:t>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要求</w:t>
      </w:r>
      <w:r>
        <w:rPr>
          <w:rFonts w:hint="eastAsia" w:ascii="宋体" w:hAnsi="宋体" w:cs="宋体"/>
          <w:color w:val="auto"/>
          <w:szCs w:val="21"/>
          <w:highlight w:val="none"/>
        </w:rPr>
        <w:t>。</w:t>
      </w:r>
    </w:p>
    <w:p w14:paraId="2A4F234F">
      <w:pPr>
        <w:ind w:firstLine="600"/>
        <w:rPr>
          <w:rFonts w:hint="eastAsia" w:ascii="宋体" w:hAnsi="宋体" w:cs="宋体"/>
          <w:color w:val="auto"/>
          <w:szCs w:val="21"/>
          <w:highlight w:val="none"/>
        </w:rPr>
      </w:pPr>
      <w:r>
        <w:rPr>
          <w:rFonts w:hint="eastAsia" w:ascii="宋体" w:hAnsi="宋体" w:cs="宋体"/>
          <w:color w:val="auto"/>
          <w:szCs w:val="21"/>
          <w:highlight w:val="none"/>
        </w:rPr>
        <w:t>10.3.2 接受工程时承包人需提交竣工验收资料的类别、内容、份数和提交时间：</w:t>
      </w:r>
      <w:r>
        <w:rPr>
          <w:rFonts w:hint="eastAsia" w:ascii="宋体" w:hAnsi="宋体" w:cs="宋体"/>
          <w:color w:val="auto"/>
          <w:szCs w:val="21"/>
          <w:highlight w:val="none"/>
          <w:u w:val="single"/>
        </w:rPr>
        <w:t xml:space="preserve"> 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 </w:t>
      </w:r>
      <w:r>
        <w:rPr>
          <w:rFonts w:hint="eastAsia" w:ascii="宋体" w:hAnsi="宋体" w:cs="宋体"/>
          <w:color w:val="auto"/>
          <w:szCs w:val="21"/>
          <w:highlight w:val="none"/>
        </w:rPr>
        <w:t>。</w:t>
      </w:r>
    </w:p>
    <w:p w14:paraId="0BC69DDE">
      <w:pPr>
        <w:ind w:firstLine="600"/>
        <w:rPr>
          <w:rFonts w:hint="eastAsia" w:ascii="宋体" w:hAnsi="宋体" w:cs="宋体"/>
          <w:color w:val="auto"/>
          <w:szCs w:val="21"/>
          <w:highlight w:val="none"/>
        </w:rPr>
      </w:pPr>
      <w:r>
        <w:rPr>
          <w:rFonts w:hint="eastAsia" w:ascii="宋体" w:hAnsi="宋体" w:cs="宋体"/>
          <w:color w:val="auto"/>
          <w:szCs w:val="21"/>
          <w:highlight w:val="none"/>
        </w:rPr>
        <w:t>10.3.3 发包人逾期接收工程的违约责任：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rPr>
        <w:t>。</w:t>
      </w:r>
    </w:p>
    <w:p w14:paraId="69054F1D">
      <w:pPr>
        <w:ind w:firstLine="600"/>
        <w:rPr>
          <w:rFonts w:hint="eastAsia" w:ascii="宋体" w:hAnsi="宋体" w:cs="宋体"/>
          <w:color w:val="auto"/>
          <w:szCs w:val="21"/>
          <w:highlight w:val="none"/>
        </w:rPr>
      </w:pPr>
      <w:r>
        <w:rPr>
          <w:rFonts w:hint="eastAsia" w:ascii="宋体" w:hAnsi="宋体" w:cs="宋体"/>
          <w:color w:val="auto"/>
          <w:szCs w:val="21"/>
          <w:highlight w:val="none"/>
        </w:rPr>
        <w:t>10.3.4 承包人无正当理由不移交工程的违约责任：</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承包人无正当理由不移交工程的违约责任：承包人每逾期一日移交工程，承包人应按照合同总价款千分之二的标准向发包人支付违约金，承包人逾期移交工程给发包人造成损失的，承包人应按实际损失进行赔偿。且承包人须承担工程照管、成品保护、保管等与工程有关的各项费用</w:t>
      </w:r>
      <w:r>
        <w:rPr>
          <w:rFonts w:hint="eastAsia" w:ascii="宋体" w:hAnsi="宋体" w:cs="宋体"/>
          <w:color w:val="auto"/>
          <w:szCs w:val="21"/>
          <w:highlight w:val="none"/>
        </w:rPr>
        <w:t>。</w:t>
      </w:r>
    </w:p>
    <w:p w14:paraId="5E495F9B">
      <w:pPr>
        <w:ind w:firstLine="600"/>
        <w:rPr>
          <w:rFonts w:hint="eastAsia" w:ascii="宋体" w:hAnsi="宋体" w:cs="宋体"/>
          <w:color w:val="auto"/>
          <w:szCs w:val="21"/>
          <w:highlight w:val="none"/>
        </w:rPr>
      </w:pPr>
      <w:r>
        <w:rPr>
          <w:rFonts w:hint="eastAsia" w:ascii="宋体" w:hAnsi="宋体" w:cs="宋体"/>
          <w:color w:val="auto"/>
          <w:szCs w:val="21"/>
          <w:highlight w:val="none"/>
        </w:rPr>
        <w:t>10.4 接收证书</w:t>
      </w:r>
    </w:p>
    <w:p w14:paraId="735EEC34">
      <w:pPr>
        <w:ind w:firstLine="600"/>
        <w:rPr>
          <w:rFonts w:hint="eastAsia" w:ascii="宋体" w:hAnsi="宋体" w:cs="宋体"/>
          <w:color w:val="auto"/>
          <w:szCs w:val="21"/>
          <w:highlight w:val="none"/>
        </w:rPr>
      </w:pPr>
      <w:r>
        <w:rPr>
          <w:rFonts w:hint="eastAsia" w:ascii="宋体" w:hAnsi="宋体" w:cs="宋体"/>
          <w:color w:val="auto"/>
          <w:szCs w:val="21"/>
          <w:highlight w:val="none"/>
        </w:rPr>
        <w:t>10.4.1 工程接收证书颁发时间：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B83264">
      <w:pPr>
        <w:ind w:firstLine="600"/>
        <w:rPr>
          <w:rFonts w:hint="eastAsia" w:ascii="宋体" w:hAnsi="宋体" w:cs="宋体"/>
          <w:color w:val="auto"/>
          <w:szCs w:val="21"/>
          <w:highlight w:val="none"/>
        </w:rPr>
      </w:pPr>
      <w:r>
        <w:rPr>
          <w:rFonts w:hint="eastAsia" w:ascii="宋体" w:hAnsi="宋体" w:cs="宋体"/>
          <w:color w:val="auto"/>
          <w:szCs w:val="21"/>
          <w:highlight w:val="none"/>
        </w:rPr>
        <w:t>10.5 竣工退场</w:t>
      </w:r>
    </w:p>
    <w:p w14:paraId="5245CEE2">
      <w:pPr>
        <w:ind w:firstLine="600"/>
        <w:rPr>
          <w:rFonts w:hint="eastAsia" w:ascii="宋体" w:hAnsi="宋体" w:cs="宋体"/>
          <w:color w:val="auto"/>
          <w:szCs w:val="21"/>
          <w:highlight w:val="none"/>
        </w:rPr>
      </w:pPr>
      <w:r>
        <w:rPr>
          <w:rFonts w:hint="eastAsia" w:ascii="宋体" w:hAnsi="宋体" w:cs="宋体"/>
          <w:color w:val="auto"/>
          <w:szCs w:val="21"/>
          <w:highlight w:val="none"/>
        </w:rPr>
        <w:t>10.5.1 竣工退场的相关约定：</w:t>
      </w:r>
      <w:r>
        <w:rPr>
          <w:rFonts w:hint="eastAsia" w:ascii="宋体" w:hAnsi="宋体" w:cs="宋体"/>
          <w:color w:val="auto"/>
          <w:szCs w:val="21"/>
          <w:highlight w:val="none"/>
          <w:u w:val="single"/>
        </w:rPr>
        <w:t xml:space="preserve"> 颁发工程接收证书后7天内竣工退场 </w:t>
      </w:r>
      <w:r>
        <w:rPr>
          <w:rFonts w:hint="eastAsia" w:ascii="宋体" w:hAnsi="宋体" w:cs="宋体"/>
          <w:color w:val="auto"/>
          <w:szCs w:val="21"/>
          <w:highlight w:val="none"/>
        </w:rPr>
        <w:t>。</w:t>
      </w:r>
    </w:p>
    <w:p w14:paraId="1C613ED9">
      <w:pPr>
        <w:ind w:firstLine="600"/>
        <w:rPr>
          <w:rFonts w:hint="eastAsia" w:ascii="宋体" w:hAnsi="宋体" w:cs="宋体"/>
          <w:color w:val="auto"/>
          <w:szCs w:val="21"/>
          <w:highlight w:val="none"/>
        </w:rPr>
      </w:pPr>
      <w:r>
        <w:rPr>
          <w:rFonts w:hint="eastAsia" w:ascii="宋体" w:hAnsi="宋体" w:cs="宋体"/>
          <w:color w:val="auto"/>
          <w:szCs w:val="21"/>
          <w:highlight w:val="none"/>
        </w:rPr>
        <w:t>10.5.3人员撤离</w:t>
      </w:r>
    </w:p>
    <w:p w14:paraId="5FC4667B">
      <w:pPr>
        <w:ind w:firstLine="600"/>
        <w:rPr>
          <w:rFonts w:hint="eastAsia" w:ascii="宋体" w:hAnsi="宋体" w:cs="宋体"/>
          <w:color w:val="auto"/>
          <w:szCs w:val="21"/>
          <w:highlight w:val="none"/>
        </w:rPr>
      </w:pPr>
      <w:r>
        <w:rPr>
          <w:rFonts w:hint="eastAsia" w:ascii="宋体" w:hAnsi="宋体" w:cs="宋体"/>
          <w:color w:val="auto"/>
          <w:szCs w:val="21"/>
          <w:highlight w:val="none"/>
        </w:rPr>
        <w:t>工程师同意需在缺陷责任期内继续工作和使用的人员、施工设备和临时工程的内容：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8F9E4FD">
      <w:pPr>
        <w:pStyle w:val="91"/>
        <w:rPr>
          <w:rFonts w:hint="eastAsia" w:cs="宋体"/>
          <w:b w:val="0"/>
          <w:color w:val="auto"/>
          <w:sz w:val="21"/>
          <w:szCs w:val="21"/>
          <w:highlight w:val="none"/>
        </w:rPr>
      </w:pPr>
      <w:bookmarkStart w:id="2875" w:name="_Toc7239"/>
      <w:bookmarkStart w:id="2876" w:name="_Toc27463"/>
      <w:bookmarkStart w:id="2877" w:name="_Toc103175816"/>
      <w:bookmarkStart w:id="2878" w:name="_Toc4236"/>
      <w:bookmarkStart w:id="2879" w:name="_Toc18188"/>
      <w:bookmarkStart w:id="2880" w:name="_Toc4569"/>
      <w:bookmarkStart w:id="2881" w:name="_Toc30580"/>
      <w:bookmarkStart w:id="2882" w:name="_Toc21598"/>
      <w:bookmarkStart w:id="2883" w:name="_Toc26179"/>
      <w:bookmarkStart w:id="2884" w:name="_Toc11706"/>
      <w:bookmarkStart w:id="2885" w:name="_Toc9461"/>
      <w:r>
        <w:rPr>
          <w:rFonts w:hint="eastAsia" w:cs="宋体"/>
          <w:b w:val="0"/>
          <w:color w:val="auto"/>
          <w:sz w:val="21"/>
          <w:szCs w:val="21"/>
          <w:highlight w:val="none"/>
        </w:rPr>
        <w:t>第11条 缺陷责任与保修</w:t>
      </w:r>
      <w:bookmarkEnd w:id="2875"/>
      <w:bookmarkEnd w:id="2876"/>
      <w:bookmarkEnd w:id="2877"/>
      <w:bookmarkEnd w:id="2878"/>
      <w:bookmarkEnd w:id="2879"/>
      <w:bookmarkEnd w:id="2880"/>
      <w:bookmarkEnd w:id="2881"/>
      <w:bookmarkEnd w:id="2882"/>
      <w:bookmarkEnd w:id="2883"/>
      <w:bookmarkEnd w:id="2884"/>
      <w:bookmarkEnd w:id="2885"/>
    </w:p>
    <w:p w14:paraId="28CD50D1">
      <w:pPr>
        <w:ind w:firstLine="600"/>
        <w:rPr>
          <w:rFonts w:hint="eastAsia" w:ascii="宋体" w:hAnsi="宋体" w:cs="宋体"/>
          <w:color w:val="auto"/>
          <w:szCs w:val="21"/>
          <w:highlight w:val="none"/>
        </w:rPr>
      </w:pPr>
      <w:r>
        <w:rPr>
          <w:rFonts w:hint="eastAsia" w:ascii="宋体" w:hAnsi="宋体" w:cs="宋体"/>
          <w:color w:val="auto"/>
          <w:szCs w:val="21"/>
          <w:highlight w:val="none"/>
        </w:rPr>
        <w:t>11.2 缺陷责任期</w:t>
      </w:r>
    </w:p>
    <w:p w14:paraId="1ABB81E8">
      <w:pPr>
        <w:ind w:firstLine="600"/>
        <w:rPr>
          <w:rFonts w:hint="eastAsia" w:ascii="宋体" w:hAnsi="宋体" w:cs="宋体"/>
          <w:color w:val="auto"/>
          <w:szCs w:val="21"/>
          <w:highlight w:val="none"/>
        </w:rPr>
      </w:pPr>
      <w:r>
        <w:rPr>
          <w:rFonts w:hint="eastAsia" w:ascii="宋体" w:hAnsi="宋体" w:cs="宋体"/>
          <w:color w:val="auto"/>
          <w:szCs w:val="21"/>
          <w:highlight w:val="none"/>
        </w:rPr>
        <w:t>缺陷责任期的期限：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 xml:space="preserve">个月 </w:t>
      </w:r>
      <w:r>
        <w:rPr>
          <w:rFonts w:hint="eastAsia" w:ascii="宋体" w:hAnsi="宋体" w:cs="宋体"/>
          <w:color w:val="auto"/>
          <w:szCs w:val="21"/>
          <w:highlight w:val="none"/>
        </w:rPr>
        <w:t>。</w:t>
      </w:r>
    </w:p>
    <w:p w14:paraId="545E4462">
      <w:pPr>
        <w:ind w:firstLine="600"/>
        <w:rPr>
          <w:rFonts w:hint="eastAsia" w:ascii="宋体" w:hAnsi="宋体" w:cs="宋体"/>
          <w:color w:val="auto"/>
          <w:szCs w:val="21"/>
          <w:highlight w:val="none"/>
        </w:rPr>
      </w:pPr>
      <w:r>
        <w:rPr>
          <w:rFonts w:hint="eastAsia" w:ascii="宋体" w:hAnsi="宋体" w:cs="宋体"/>
          <w:color w:val="auto"/>
          <w:szCs w:val="21"/>
          <w:highlight w:val="none"/>
        </w:rPr>
        <w:t>11.3 缺陷调查</w:t>
      </w:r>
    </w:p>
    <w:p w14:paraId="08137F4A">
      <w:pPr>
        <w:ind w:firstLine="600"/>
        <w:rPr>
          <w:rFonts w:hint="eastAsia" w:ascii="宋体" w:hAnsi="宋体" w:cs="宋体"/>
          <w:color w:val="auto"/>
          <w:szCs w:val="21"/>
          <w:highlight w:val="none"/>
        </w:rPr>
      </w:pPr>
      <w:r>
        <w:rPr>
          <w:rFonts w:hint="eastAsia" w:ascii="宋体" w:hAnsi="宋体" w:cs="宋体"/>
          <w:color w:val="auto"/>
          <w:szCs w:val="21"/>
          <w:highlight w:val="none"/>
        </w:rPr>
        <w:t>11.3.4 修复通知</w:t>
      </w:r>
    </w:p>
    <w:p w14:paraId="74A319DF">
      <w:pPr>
        <w:ind w:firstLine="600"/>
        <w:rPr>
          <w:rFonts w:hint="eastAsia" w:ascii="宋体" w:hAnsi="宋体" w:cs="宋体"/>
          <w:color w:val="auto"/>
          <w:szCs w:val="21"/>
          <w:highlight w:val="none"/>
        </w:rPr>
      </w:pPr>
      <w:r>
        <w:rPr>
          <w:rFonts w:hint="eastAsia" w:ascii="宋体" w:hAnsi="宋体" w:cs="宋体"/>
          <w:color w:val="auto"/>
          <w:szCs w:val="21"/>
          <w:highlight w:val="none"/>
        </w:rPr>
        <w:t>承包人收到保修通知并到达工程现场的合理时间：</w:t>
      </w:r>
      <w:r>
        <w:rPr>
          <w:rFonts w:hint="eastAsia" w:ascii="宋体" w:hAnsi="宋体" w:cs="宋体"/>
          <w:color w:val="auto"/>
          <w:szCs w:val="21"/>
          <w:highlight w:val="none"/>
          <w:u w:val="single"/>
        </w:rPr>
        <w:t xml:space="preserve"> 见《工程质量保修书》 </w:t>
      </w:r>
      <w:r>
        <w:rPr>
          <w:rFonts w:hint="eastAsia" w:ascii="宋体" w:hAnsi="宋体" w:cs="宋体"/>
          <w:color w:val="auto"/>
          <w:szCs w:val="21"/>
          <w:highlight w:val="none"/>
        </w:rPr>
        <w:t>。</w:t>
      </w:r>
    </w:p>
    <w:p w14:paraId="2F5AFE18">
      <w:pPr>
        <w:ind w:firstLine="600"/>
        <w:rPr>
          <w:rFonts w:hint="eastAsia" w:ascii="宋体" w:hAnsi="宋体" w:cs="宋体"/>
          <w:color w:val="auto"/>
          <w:szCs w:val="21"/>
          <w:highlight w:val="none"/>
        </w:rPr>
      </w:pPr>
      <w:r>
        <w:rPr>
          <w:rFonts w:hint="eastAsia" w:ascii="宋体" w:hAnsi="宋体" w:cs="宋体"/>
          <w:color w:val="auto"/>
          <w:szCs w:val="21"/>
          <w:highlight w:val="none"/>
        </w:rPr>
        <w:t>11.6 缺陷责任期终止证书</w:t>
      </w:r>
    </w:p>
    <w:p w14:paraId="3C49E3D8">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承包人应于缺陷责任期届满后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天内向发包人发出缺陷责任期届满通知，发包人应在收到缺陷责任期满通知后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天内核实承包人是否履行缺陷修复义务，承包人未能履行缺陷修复义务的，发包人有权扣除相应金额的维修费用。发包人应在收到缺陷责任期届满通知后</w:t>
      </w:r>
      <w:r>
        <w:rPr>
          <w:rFonts w:hint="eastAsia" w:ascii="宋体" w:hAnsi="宋体" w:cs="宋体"/>
          <w:color w:val="auto"/>
          <w:szCs w:val="21"/>
          <w:highlight w:val="none"/>
          <w:u w:val="single"/>
          <w:lang w:eastAsia="zh-CN"/>
        </w:rPr>
        <w:t>执行通用条件</w:t>
      </w:r>
      <w:r>
        <w:rPr>
          <w:rFonts w:hint="eastAsia" w:ascii="宋体" w:hAnsi="宋体" w:cs="宋体"/>
          <w:color w:val="auto"/>
          <w:szCs w:val="21"/>
          <w:highlight w:val="none"/>
        </w:rPr>
        <w:t>天内，向承包人颁发缺陷责任期终止证书。</w:t>
      </w:r>
    </w:p>
    <w:p w14:paraId="7B7D6190">
      <w:pPr>
        <w:ind w:firstLine="600"/>
        <w:rPr>
          <w:rFonts w:hint="eastAsia" w:ascii="宋体" w:hAnsi="宋体" w:cs="宋体"/>
          <w:color w:val="auto"/>
          <w:szCs w:val="21"/>
          <w:highlight w:val="none"/>
        </w:rPr>
      </w:pPr>
      <w:r>
        <w:rPr>
          <w:rFonts w:hint="eastAsia" w:ascii="宋体" w:hAnsi="宋体" w:cs="宋体"/>
          <w:color w:val="auto"/>
          <w:szCs w:val="21"/>
          <w:highlight w:val="none"/>
        </w:rPr>
        <w:t>11.7 保修责任</w:t>
      </w:r>
    </w:p>
    <w:p w14:paraId="46306883">
      <w:pPr>
        <w:ind w:firstLine="600"/>
        <w:rPr>
          <w:rFonts w:hint="eastAsia" w:ascii="宋体" w:hAnsi="宋体" w:cs="宋体"/>
          <w:color w:val="auto"/>
          <w:szCs w:val="21"/>
          <w:highlight w:val="none"/>
        </w:rPr>
      </w:pPr>
      <w:r>
        <w:rPr>
          <w:rFonts w:hint="eastAsia" w:ascii="宋体" w:hAnsi="宋体" w:cs="宋体"/>
          <w:color w:val="auto"/>
          <w:szCs w:val="21"/>
          <w:highlight w:val="none"/>
        </w:rPr>
        <w:t>工程质量保修范围、期限和责任为：</w:t>
      </w:r>
      <w:r>
        <w:rPr>
          <w:rFonts w:hint="eastAsia" w:ascii="宋体" w:hAnsi="宋体" w:cs="宋体"/>
          <w:color w:val="auto"/>
          <w:szCs w:val="21"/>
          <w:highlight w:val="none"/>
          <w:u w:val="single"/>
          <w:lang w:eastAsia="zh-CN"/>
        </w:rPr>
        <w:t>按</w:t>
      </w:r>
      <w:r>
        <w:rPr>
          <w:rFonts w:hint="eastAsia" w:ascii="宋体" w:hAnsi="宋体" w:cs="宋体"/>
          <w:color w:val="auto"/>
          <w:szCs w:val="21"/>
          <w:highlight w:val="none"/>
          <w:u w:val="single"/>
        </w:rPr>
        <w:t>《工程质量保修书》</w:t>
      </w:r>
      <w:r>
        <w:rPr>
          <w:rFonts w:hint="eastAsia" w:ascii="宋体" w:hAnsi="宋体" w:cs="宋体"/>
          <w:color w:val="auto"/>
          <w:szCs w:val="21"/>
          <w:highlight w:val="none"/>
          <w:u w:val="single"/>
          <w:lang w:eastAsia="zh-CN"/>
        </w:rPr>
        <w:t>约定执行</w:t>
      </w:r>
      <w:r>
        <w:rPr>
          <w:rFonts w:hint="eastAsia" w:ascii="宋体" w:hAnsi="宋体" w:cs="宋体"/>
          <w:color w:val="auto"/>
          <w:szCs w:val="21"/>
          <w:highlight w:val="none"/>
        </w:rPr>
        <w:t>。</w:t>
      </w:r>
    </w:p>
    <w:p w14:paraId="2D4373B6">
      <w:pPr>
        <w:pStyle w:val="91"/>
        <w:rPr>
          <w:rFonts w:hint="eastAsia" w:cs="宋体"/>
          <w:b w:val="0"/>
          <w:color w:val="auto"/>
          <w:sz w:val="21"/>
          <w:szCs w:val="21"/>
          <w:highlight w:val="none"/>
        </w:rPr>
      </w:pPr>
      <w:bookmarkStart w:id="2886" w:name="_Toc27577"/>
      <w:bookmarkStart w:id="2887" w:name="_Toc103175817"/>
      <w:bookmarkStart w:id="2888" w:name="_Toc16658"/>
      <w:bookmarkStart w:id="2889" w:name="_Toc8360"/>
      <w:bookmarkStart w:id="2890" w:name="_Toc571"/>
      <w:bookmarkStart w:id="2891" w:name="_Toc22046"/>
      <w:bookmarkStart w:id="2892" w:name="_Toc9707"/>
      <w:bookmarkStart w:id="2893" w:name="_Toc7723"/>
      <w:bookmarkStart w:id="2894" w:name="_Toc24240"/>
      <w:r>
        <w:rPr>
          <w:rFonts w:hint="eastAsia" w:cs="宋体"/>
          <w:b w:val="0"/>
          <w:color w:val="auto"/>
          <w:sz w:val="21"/>
          <w:szCs w:val="21"/>
          <w:highlight w:val="none"/>
        </w:rPr>
        <w:t>第12条 竣工后试验</w:t>
      </w:r>
      <w:bookmarkEnd w:id="2886"/>
      <w:bookmarkEnd w:id="2887"/>
      <w:bookmarkEnd w:id="2888"/>
      <w:bookmarkEnd w:id="2889"/>
      <w:bookmarkEnd w:id="2890"/>
      <w:bookmarkEnd w:id="2891"/>
      <w:bookmarkEnd w:id="2892"/>
      <w:bookmarkEnd w:id="2893"/>
      <w:bookmarkEnd w:id="2894"/>
    </w:p>
    <w:p w14:paraId="623D4C27">
      <w:pPr>
        <w:ind w:firstLine="600"/>
        <w:rPr>
          <w:rFonts w:hint="eastAsia" w:ascii="宋体" w:hAnsi="宋体" w:cs="宋体"/>
          <w:color w:val="auto"/>
          <w:szCs w:val="21"/>
          <w:highlight w:val="none"/>
        </w:rPr>
      </w:pPr>
      <w:r>
        <w:rPr>
          <w:rFonts w:hint="eastAsia" w:ascii="宋体" w:hAnsi="宋体" w:cs="宋体"/>
          <w:color w:val="auto"/>
          <w:szCs w:val="21"/>
          <w:highlight w:val="none"/>
        </w:rPr>
        <w:t>本合同工程是否包含竣工后试验：</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w:t>
      </w:r>
    </w:p>
    <w:p w14:paraId="1A81E426">
      <w:pPr>
        <w:ind w:firstLine="600"/>
        <w:rPr>
          <w:rFonts w:hint="eastAsia" w:ascii="宋体" w:hAnsi="宋体" w:cs="宋体"/>
          <w:color w:val="auto"/>
          <w:szCs w:val="21"/>
          <w:highlight w:val="none"/>
        </w:rPr>
      </w:pPr>
      <w:r>
        <w:rPr>
          <w:rFonts w:hint="eastAsia" w:ascii="宋体" w:hAnsi="宋体" w:cs="宋体"/>
          <w:color w:val="auto"/>
          <w:szCs w:val="21"/>
          <w:highlight w:val="none"/>
        </w:rPr>
        <w:t>12.1 竣工后试验的程序</w:t>
      </w:r>
    </w:p>
    <w:p w14:paraId="3AF308F2">
      <w:pPr>
        <w:ind w:firstLine="600"/>
        <w:rPr>
          <w:rFonts w:hint="eastAsia" w:ascii="宋体" w:hAnsi="宋体" w:cs="宋体"/>
          <w:color w:val="auto"/>
          <w:szCs w:val="21"/>
          <w:highlight w:val="none"/>
        </w:rPr>
      </w:pPr>
      <w:r>
        <w:rPr>
          <w:rFonts w:hint="eastAsia" w:ascii="宋体" w:hAnsi="宋体" w:cs="宋体"/>
          <w:color w:val="auto"/>
          <w:szCs w:val="21"/>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75A6A707">
      <w:pPr>
        <w:pStyle w:val="91"/>
        <w:rPr>
          <w:rFonts w:hint="eastAsia" w:cs="宋体"/>
          <w:b w:val="0"/>
          <w:color w:val="auto"/>
          <w:sz w:val="21"/>
          <w:szCs w:val="21"/>
          <w:highlight w:val="none"/>
        </w:rPr>
      </w:pPr>
      <w:bookmarkStart w:id="2895" w:name="_Toc8063"/>
      <w:bookmarkStart w:id="2896" w:name="_Toc4836"/>
      <w:bookmarkStart w:id="2897" w:name="_Toc17799"/>
      <w:bookmarkStart w:id="2898" w:name="_Toc7768"/>
      <w:bookmarkStart w:id="2899" w:name="_Toc16587"/>
      <w:bookmarkStart w:id="2900" w:name="_Toc4908"/>
      <w:bookmarkStart w:id="2901" w:name="_Toc9402"/>
      <w:bookmarkStart w:id="2902" w:name="_Toc17155"/>
      <w:bookmarkStart w:id="2903" w:name="_Toc103175818"/>
      <w:bookmarkStart w:id="2904" w:name="_Toc10776"/>
      <w:bookmarkStart w:id="2905" w:name="_Toc7278"/>
      <w:r>
        <w:rPr>
          <w:rFonts w:hint="eastAsia" w:cs="宋体"/>
          <w:b w:val="0"/>
          <w:color w:val="auto"/>
          <w:sz w:val="21"/>
          <w:szCs w:val="21"/>
          <w:highlight w:val="none"/>
        </w:rPr>
        <w:t>第13条 变更与调整</w:t>
      </w:r>
      <w:bookmarkEnd w:id="2895"/>
      <w:bookmarkEnd w:id="2896"/>
      <w:bookmarkEnd w:id="2897"/>
      <w:bookmarkEnd w:id="2898"/>
      <w:bookmarkEnd w:id="2899"/>
      <w:bookmarkEnd w:id="2900"/>
      <w:bookmarkEnd w:id="2901"/>
      <w:bookmarkEnd w:id="2902"/>
      <w:bookmarkEnd w:id="2903"/>
      <w:bookmarkEnd w:id="2904"/>
      <w:bookmarkEnd w:id="2905"/>
    </w:p>
    <w:p w14:paraId="074D9652">
      <w:pPr>
        <w:ind w:firstLine="600"/>
        <w:rPr>
          <w:rFonts w:hint="eastAsia" w:ascii="宋体" w:hAnsi="宋体" w:cs="宋体"/>
          <w:color w:val="auto"/>
          <w:szCs w:val="21"/>
          <w:highlight w:val="none"/>
        </w:rPr>
      </w:pPr>
      <w:r>
        <w:rPr>
          <w:rFonts w:hint="eastAsia" w:ascii="宋体" w:hAnsi="宋体" w:cs="宋体"/>
          <w:color w:val="auto"/>
          <w:szCs w:val="21"/>
          <w:highlight w:val="none"/>
        </w:rPr>
        <w:t>13.2 承包人的合理化建议</w:t>
      </w:r>
    </w:p>
    <w:p w14:paraId="43E80633">
      <w:pPr>
        <w:ind w:firstLine="600"/>
        <w:rPr>
          <w:rFonts w:hint="eastAsia" w:ascii="宋体" w:hAnsi="宋体" w:cs="宋体"/>
          <w:color w:val="auto"/>
          <w:szCs w:val="21"/>
          <w:highlight w:val="none"/>
        </w:rPr>
      </w:pPr>
      <w:r>
        <w:rPr>
          <w:rFonts w:hint="eastAsia" w:ascii="宋体" w:hAnsi="宋体" w:cs="宋体"/>
          <w:color w:val="auto"/>
          <w:szCs w:val="21"/>
          <w:highlight w:val="none"/>
        </w:rPr>
        <w:t>13.2.2 工程师应在收到承包人提交的合理化建议后</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日内审查完毕并报送发包人，发现其中存在技术上的缺陷，应通知承包人修改。发包人应在收到工程师报送的合理化建议后</w:t>
      </w:r>
      <w:r>
        <w:rPr>
          <w:rFonts w:hint="eastAsia" w:ascii="宋体" w:hAnsi="宋体" w:cs="宋体"/>
          <w:color w:val="auto"/>
          <w:szCs w:val="21"/>
          <w:highlight w:val="none"/>
          <w:u w:val="single"/>
        </w:rPr>
        <w:t xml:space="preserve">  14  </w:t>
      </w:r>
      <w:r>
        <w:rPr>
          <w:rFonts w:hint="eastAsia" w:ascii="宋体" w:hAnsi="宋体" w:cs="宋体"/>
          <w:color w:val="auto"/>
          <w:szCs w:val="21"/>
          <w:highlight w:val="none"/>
        </w:rPr>
        <w:t>日内审批完毕。合理化建议经发包人批准的，工程师应及时发出变更指示，由此引起的合同价格调整按照</w:t>
      </w:r>
      <w:r>
        <w:rPr>
          <w:rFonts w:hint="eastAsia" w:ascii="宋体" w:hAnsi="宋体" w:cs="宋体"/>
          <w:color w:val="auto"/>
          <w:szCs w:val="21"/>
          <w:highlight w:val="none"/>
          <w:u w:val="single"/>
        </w:rPr>
        <w:t xml:space="preserve"> 第13.3.3变更估价约定 </w:t>
      </w:r>
      <w:r>
        <w:rPr>
          <w:rFonts w:hint="eastAsia" w:ascii="宋体" w:hAnsi="宋体" w:cs="宋体"/>
          <w:color w:val="auto"/>
          <w:szCs w:val="21"/>
          <w:highlight w:val="none"/>
        </w:rPr>
        <w:t>执行。发包人不同意变更的，工程师应书面通知承包人。</w:t>
      </w:r>
    </w:p>
    <w:p w14:paraId="5E0DE27B">
      <w:pPr>
        <w:ind w:firstLine="600"/>
        <w:rPr>
          <w:rFonts w:hint="eastAsia" w:ascii="宋体" w:hAnsi="宋体" w:cs="宋体"/>
          <w:color w:val="auto"/>
          <w:szCs w:val="21"/>
          <w:highlight w:val="none"/>
        </w:rPr>
      </w:pPr>
      <w:r>
        <w:rPr>
          <w:rFonts w:hint="eastAsia" w:ascii="宋体" w:hAnsi="宋体" w:cs="宋体"/>
          <w:color w:val="auto"/>
          <w:szCs w:val="21"/>
          <w:highlight w:val="none"/>
        </w:rPr>
        <w:t>13.2.3 承包人提出的合理化变更建议的利益分享约定：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6D4D7FA">
      <w:pPr>
        <w:ind w:firstLine="600"/>
        <w:rPr>
          <w:rFonts w:hint="eastAsia" w:ascii="宋体" w:hAnsi="宋体" w:cs="宋体"/>
          <w:color w:val="auto"/>
          <w:szCs w:val="21"/>
          <w:highlight w:val="none"/>
        </w:rPr>
      </w:pPr>
      <w:r>
        <w:rPr>
          <w:rFonts w:hint="eastAsia" w:ascii="宋体" w:hAnsi="宋体" w:cs="宋体"/>
          <w:color w:val="auto"/>
          <w:szCs w:val="21"/>
          <w:highlight w:val="none"/>
        </w:rPr>
        <w:t>13.3 变更程序</w:t>
      </w:r>
    </w:p>
    <w:p w14:paraId="13F7B8A9">
      <w:pPr>
        <w:ind w:firstLine="600"/>
        <w:rPr>
          <w:rFonts w:hint="eastAsia" w:ascii="宋体" w:hAnsi="宋体" w:cs="宋体"/>
          <w:color w:val="auto"/>
          <w:szCs w:val="21"/>
          <w:highlight w:val="none"/>
        </w:rPr>
      </w:pPr>
      <w:r>
        <w:rPr>
          <w:rFonts w:hint="eastAsia" w:ascii="宋体" w:hAnsi="宋体" w:cs="宋体"/>
          <w:color w:val="auto"/>
          <w:szCs w:val="21"/>
          <w:highlight w:val="none"/>
        </w:rPr>
        <w:t>13.3.3 变更估价</w:t>
      </w:r>
    </w:p>
    <w:p w14:paraId="0FBE4C44">
      <w:pPr>
        <w:ind w:firstLine="600"/>
        <w:rPr>
          <w:rFonts w:hint="eastAsia" w:ascii="宋体" w:hAnsi="宋体" w:cs="宋体"/>
          <w:color w:val="auto"/>
          <w:szCs w:val="21"/>
          <w:highlight w:val="none"/>
        </w:rPr>
      </w:pPr>
      <w:r>
        <w:rPr>
          <w:rFonts w:hint="eastAsia" w:ascii="宋体" w:hAnsi="宋体" w:cs="宋体"/>
          <w:color w:val="auto"/>
          <w:szCs w:val="21"/>
          <w:highlight w:val="none"/>
        </w:rPr>
        <w:t>13.3.3.1 变更估价原则</w:t>
      </w:r>
    </w:p>
    <w:p w14:paraId="685C32E9">
      <w:pPr>
        <w:ind w:firstLine="600"/>
        <w:rPr>
          <w:rFonts w:hint="eastAsia" w:ascii="宋体" w:hAnsi="宋体" w:eastAsia="宋体" w:cs="宋体"/>
          <w:color w:val="auto"/>
          <w:szCs w:val="21"/>
          <w:highlight w:val="yellow"/>
          <w:lang w:eastAsia="zh-CN"/>
        </w:rPr>
      </w:pPr>
      <w:r>
        <w:rPr>
          <w:rFonts w:hint="eastAsia" w:ascii="宋体" w:hAnsi="宋体" w:cs="宋体"/>
          <w:color w:val="auto"/>
          <w:szCs w:val="21"/>
          <w:highlight w:val="none"/>
        </w:rPr>
        <w:t>关于变更估价原则的约定：</w:t>
      </w:r>
      <w:r>
        <w:rPr>
          <w:rFonts w:hint="eastAsia" w:ascii="宋体" w:hAnsi="宋体" w:cs="宋体"/>
          <w:color w:val="auto"/>
          <w:szCs w:val="21"/>
          <w:highlight w:val="none"/>
          <w:u w:val="single"/>
        </w:rPr>
        <w:t>只有由于建设单位原因造成费用变化，以设计变更、现场签证、工程洽商的形式确认，由施工单位提出，跟踪审计单位审定，并经发包人同意后列入工程结算。设计变更、现场签证、工程洽商</w:t>
      </w:r>
      <w:r>
        <w:rPr>
          <w:rFonts w:hint="eastAsia" w:ascii="宋体" w:hAnsi="宋体" w:cs="宋体"/>
          <w:color w:val="auto"/>
          <w:szCs w:val="21"/>
          <w:highlight w:val="none"/>
          <w:u w:val="single"/>
          <w:lang w:val="en-US" w:eastAsia="zh-CN"/>
        </w:rPr>
        <w:t>发生的变更</w:t>
      </w:r>
      <w:r>
        <w:rPr>
          <w:rFonts w:hint="eastAsia" w:ascii="宋体" w:hAnsi="宋体" w:cs="宋体"/>
          <w:color w:val="auto"/>
          <w:szCs w:val="21"/>
          <w:highlight w:val="none"/>
          <w:u w:val="single"/>
        </w:rPr>
        <w:t>费用：依据招标时河北省清单计价规程</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参照河北省现行消耗量定额，人工价格、材料价格、机械价格按当期当地工程造价管理机构发布的信息价格确定。工程总承包原因</w:t>
      </w:r>
      <w:r>
        <w:rPr>
          <w:rFonts w:hint="eastAsia" w:ascii="宋体" w:hAnsi="宋体" w:cs="宋体"/>
          <w:color w:val="auto"/>
          <w:szCs w:val="21"/>
          <w:highlight w:val="none"/>
          <w:u w:val="single"/>
          <w:lang w:val="en-US" w:eastAsia="zh-CN"/>
        </w:rPr>
        <w:t>或</w:t>
      </w:r>
      <w:r>
        <w:rPr>
          <w:rFonts w:hint="eastAsia" w:ascii="宋体" w:hAnsi="宋体" w:cs="宋体"/>
          <w:color w:val="auto"/>
          <w:szCs w:val="21"/>
          <w:highlight w:val="none"/>
          <w:u w:val="single"/>
        </w:rPr>
        <w:t>政策原因产生的设计变更、施工技术以及组织管理变化导致的风险由工程总承包单位承担，结算时不调整。</w:t>
      </w:r>
    </w:p>
    <w:p w14:paraId="2F649660">
      <w:pPr>
        <w:ind w:firstLine="600"/>
        <w:rPr>
          <w:rFonts w:hint="eastAsia" w:ascii="宋体" w:hAnsi="宋体" w:eastAsia="宋体" w:cs="宋体"/>
          <w:color w:val="auto"/>
          <w:szCs w:val="21"/>
          <w:highlight w:val="none"/>
          <w:u w:val="single"/>
        </w:rPr>
      </w:pPr>
    </w:p>
    <w:p w14:paraId="0DBC5CA1">
      <w:pPr>
        <w:ind w:firstLine="600"/>
        <w:rPr>
          <w:rFonts w:hint="eastAsia" w:ascii="宋体" w:hAnsi="宋体" w:eastAsia="宋体" w:cs="宋体"/>
          <w:color w:val="auto"/>
          <w:szCs w:val="21"/>
          <w:highlight w:val="none"/>
          <w:u w:val="single"/>
        </w:rPr>
      </w:pPr>
    </w:p>
    <w:p w14:paraId="6E871474">
      <w:pPr>
        <w:ind w:firstLine="600"/>
        <w:rPr>
          <w:rFonts w:hint="eastAsia" w:ascii="宋体" w:hAnsi="宋体" w:eastAsia="宋体" w:cs="宋体"/>
          <w:color w:val="auto"/>
          <w:szCs w:val="21"/>
          <w:highlight w:val="none"/>
          <w:u w:val="single"/>
        </w:rPr>
      </w:pPr>
    </w:p>
    <w:p w14:paraId="1B97ABC2">
      <w:pPr>
        <w:spacing w:line="360" w:lineRule="auto"/>
        <w:jc w:val="left"/>
        <w:rPr>
          <w:rFonts w:hint="eastAsia"/>
          <w:snapToGrid w:val="0"/>
          <w:color w:val="auto"/>
          <w:szCs w:val="21"/>
          <w:highlight w:val="none"/>
        </w:rPr>
      </w:pPr>
      <w:r>
        <w:rPr>
          <w:rFonts w:hint="eastAsia"/>
          <w:snapToGrid w:val="0"/>
          <w:color w:val="auto"/>
          <w:szCs w:val="21"/>
          <w:highlight w:val="none"/>
        </w:rPr>
        <w:t>13.4 暂估价</w:t>
      </w:r>
    </w:p>
    <w:p w14:paraId="75022CF5">
      <w:pPr>
        <w:spacing w:line="360" w:lineRule="auto"/>
        <w:jc w:val="left"/>
        <w:rPr>
          <w:rFonts w:hint="eastAsia"/>
          <w:snapToGrid w:val="0"/>
          <w:color w:val="auto"/>
          <w:szCs w:val="21"/>
          <w:highlight w:val="none"/>
        </w:rPr>
      </w:pPr>
      <w:r>
        <w:rPr>
          <w:rFonts w:hint="eastAsia"/>
          <w:snapToGrid w:val="0"/>
          <w:color w:val="auto"/>
          <w:szCs w:val="21"/>
          <w:highlight w:val="none"/>
        </w:rPr>
        <w:t>13.4.1 依法必须招标的暂估价项目</w:t>
      </w:r>
    </w:p>
    <w:p w14:paraId="6333F56D">
      <w:pPr>
        <w:spacing w:line="360" w:lineRule="auto"/>
        <w:jc w:val="left"/>
        <w:rPr>
          <w:rFonts w:hint="eastAsia"/>
          <w:snapToGrid w:val="0"/>
          <w:color w:val="auto"/>
          <w:szCs w:val="21"/>
          <w:highlight w:val="none"/>
        </w:rPr>
      </w:pPr>
      <w:r>
        <w:rPr>
          <w:rFonts w:hint="eastAsia"/>
          <w:snapToGrid w:val="0"/>
          <w:color w:val="auto"/>
          <w:szCs w:val="21"/>
          <w:highlight w:val="none"/>
        </w:rPr>
        <w:t>承包人可以参与投标的暂估价项目范围：</w:t>
      </w:r>
      <w:r>
        <w:rPr>
          <w:rFonts w:hint="eastAsia"/>
          <w:snapToGrid w:val="0"/>
          <w:color w:val="auto"/>
          <w:szCs w:val="21"/>
          <w:highlight w:val="none"/>
          <w:u w:val="single"/>
        </w:rPr>
        <w:t xml:space="preserve"> / </w:t>
      </w:r>
      <w:r>
        <w:rPr>
          <w:rFonts w:hint="eastAsia"/>
          <w:snapToGrid w:val="0"/>
          <w:color w:val="auto"/>
          <w:szCs w:val="21"/>
          <w:highlight w:val="none"/>
        </w:rPr>
        <w:t>。</w:t>
      </w:r>
    </w:p>
    <w:p w14:paraId="61EE06B4">
      <w:pPr>
        <w:spacing w:line="360" w:lineRule="auto"/>
        <w:jc w:val="left"/>
        <w:rPr>
          <w:rFonts w:hint="eastAsia"/>
          <w:snapToGrid w:val="0"/>
          <w:color w:val="auto"/>
          <w:szCs w:val="21"/>
          <w:highlight w:val="none"/>
        </w:rPr>
      </w:pPr>
      <w:r>
        <w:rPr>
          <w:rFonts w:hint="eastAsia"/>
          <w:snapToGrid w:val="0"/>
          <w:color w:val="auto"/>
          <w:szCs w:val="21"/>
          <w:highlight w:val="none"/>
        </w:rPr>
        <w:t>承包人不得参与投标的暂估价项目范围：</w:t>
      </w:r>
      <w:r>
        <w:rPr>
          <w:rFonts w:hint="eastAsia"/>
          <w:snapToGrid w:val="0"/>
          <w:color w:val="auto"/>
          <w:szCs w:val="21"/>
          <w:highlight w:val="none"/>
          <w:u w:val="single"/>
        </w:rPr>
        <w:t xml:space="preserve"> / </w:t>
      </w:r>
      <w:r>
        <w:rPr>
          <w:rFonts w:hint="eastAsia"/>
          <w:snapToGrid w:val="0"/>
          <w:color w:val="auto"/>
          <w:szCs w:val="21"/>
          <w:highlight w:val="none"/>
        </w:rPr>
        <w:t>。</w:t>
      </w:r>
    </w:p>
    <w:p w14:paraId="0A269BF8">
      <w:pPr>
        <w:spacing w:line="360" w:lineRule="auto"/>
        <w:jc w:val="left"/>
        <w:rPr>
          <w:rFonts w:hint="eastAsia"/>
          <w:snapToGrid w:val="0"/>
          <w:color w:val="auto"/>
          <w:szCs w:val="21"/>
          <w:highlight w:val="none"/>
        </w:rPr>
      </w:pPr>
      <w:r>
        <w:rPr>
          <w:rFonts w:hint="eastAsia"/>
          <w:snapToGrid w:val="0"/>
          <w:color w:val="auto"/>
          <w:szCs w:val="21"/>
          <w:highlight w:val="none"/>
        </w:rPr>
        <w:t>招投标程序及其他约定：</w:t>
      </w:r>
      <w:r>
        <w:rPr>
          <w:rFonts w:hint="eastAsia"/>
          <w:snapToGrid w:val="0"/>
          <w:color w:val="auto"/>
          <w:szCs w:val="21"/>
          <w:highlight w:val="none"/>
          <w:u w:val="single"/>
        </w:rPr>
        <w:t xml:space="preserve"> / </w:t>
      </w:r>
      <w:r>
        <w:rPr>
          <w:rFonts w:hint="eastAsia"/>
          <w:snapToGrid w:val="0"/>
          <w:color w:val="auto"/>
          <w:szCs w:val="21"/>
          <w:highlight w:val="none"/>
        </w:rPr>
        <w:t>。</w:t>
      </w:r>
    </w:p>
    <w:p w14:paraId="70367238">
      <w:pPr>
        <w:spacing w:line="360" w:lineRule="auto"/>
        <w:jc w:val="left"/>
        <w:rPr>
          <w:rFonts w:hint="eastAsia"/>
          <w:snapToGrid w:val="0"/>
          <w:color w:val="auto"/>
          <w:szCs w:val="21"/>
          <w:highlight w:val="none"/>
        </w:rPr>
      </w:pPr>
      <w:r>
        <w:rPr>
          <w:rFonts w:hint="eastAsia"/>
          <w:snapToGrid w:val="0"/>
          <w:color w:val="auto"/>
          <w:szCs w:val="21"/>
          <w:highlight w:val="none"/>
        </w:rPr>
        <w:t>13.4.2 不属于依法必须招标的暂估价项目</w:t>
      </w:r>
    </w:p>
    <w:p w14:paraId="64F8AAC7">
      <w:pPr>
        <w:spacing w:line="360" w:lineRule="auto"/>
        <w:jc w:val="left"/>
        <w:rPr>
          <w:rFonts w:hint="eastAsia"/>
          <w:snapToGrid w:val="0"/>
          <w:color w:val="auto"/>
          <w:szCs w:val="21"/>
          <w:highlight w:val="none"/>
        </w:rPr>
      </w:pPr>
      <w:r>
        <w:rPr>
          <w:rFonts w:hint="eastAsia"/>
          <w:snapToGrid w:val="0"/>
          <w:color w:val="auto"/>
          <w:szCs w:val="21"/>
          <w:highlight w:val="none"/>
        </w:rPr>
        <w:t>不属于依法必须招标的暂估价项目的协商及估价的约定：</w:t>
      </w:r>
      <w:r>
        <w:rPr>
          <w:rFonts w:hint="eastAsia"/>
          <w:snapToGrid w:val="0"/>
          <w:color w:val="auto"/>
          <w:szCs w:val="21"/>
          <w:highlight w:val="none"/>
          <w:u w:val="single"/>
        </w:rPr>
        <w:t xml:space="preserve"> / </w:t>
      </w:r>
      <w:r>
        <w:rPr>
          <w:rFonts w:hint="eastAsia"/>
          <w:snapToGrid w:val="0"/>
          <w:color w:val="auto"/>
          <w:szCs w:val="21"/>
          <w:highlight w:val="none"/>
        </w:rPr>
        <w:t>。</w:t>
      </w:r>
    </w:p>
    <w:p w14:paraId="52B2B219">
      <w:pPr>
        <w:spacing w:line="360" w:lineRule="auto"/>
        <w:jc w:val="left"/>
        <w:rPr>
          <w:rFonts w:hint="eastAsia"/>
          <w:snapToGrid w:val="0"/>
          <w:color w:val="auto"/>
          <w:szCs w:val="21"/>
          <w:highlight w:val="none"/>
        </w:rPr>
      </w:pPr>
      <w:r>
        <w:rPr>
          <w:rFonts w:hint="eastAsia"/>
          <w:snapToGrid w:val="0"/>
          <w:color w:val="auto"/>
          <w:szCs w:val="21"/>
          <w:highlight w:val="none"/>
        </w:rPr>
        <w:t>13.5 暂列金额</w:t>
      </w:r>
    </w:p>
    <w:p w14:paraId="072E2F25">
      <w:pPr>
        <w:spacing w:line="360" w:lineRule="auto"/>
        <w:jc w:val="left"/>
        <w:rPr>
          <w:rFonts w:hint="eastAsia"/>
          <w:snapToGrid w:val="0"/>
          <w:color w:val="auto"/>
          <w:szCs w:val="21"/>
          <w:highlight w:val="none"/>
        </w:rPr>
      </w:pPr>
      <w:r>
        <w:rPr>
          <w:rFonts w:hint="eastAsia"/>
          <w:snapToGrid w:val="0"/>
          <w:color w:val="auto"/>
          <w:szCs w:val="21"/>
          <w:highlight w:val="none"/>
        </w:rPr>
        <w:t>其他关于暂列金额使用的约定：</w:t>
      </w:r>
      <w:r>
        <w:rPr>
          <w:rFonts w:hint="eastAsia"/>
          <w:snapToGrid w:val="0"/>
          <w:color w:val="auto"/>
          <w:szCs w:val="21"/>
          <w:highlight w:val="none"/>
          <w:u w:val="single"/>
        </w:rPr>
        <w:t xml:space="preserve"> / </w:t>
      </w:r>
      <w:r>
        <w:rPr>
          <w:rFonts w:hint="eastAsia"/>
          <w:snapToGrid w:val="0"/>
          <w:color w:val="auto"/>
          <w:szCs w:val="21"/>
          <w:highlight w:val="none"/>
        </w:rPr>
        <w:t>。</w:t>
      </w:r>
    </w:p>
    <w:p w14:paraId="72312E03">
      <w:pPr>
        <w:spacing w:line="360" w:lineRule="auto"/>
        <w:jc w:val="left"/>
        <w:rPr>
          <w:rFonts w:hint="eastAsia"/>
          <w:snapToGrid w:val="0"/>
          <w:color w:val="auto"/>
          <w:szCs w:val="21"/>
          <w:highlight w:val="none"/>
        </w:rPr>
      </w:pPr>
      <w:r>
        <w:rPr>
          <w:rFonts w:hint="eastAsia"/>
          <w:snapToGrid w:val="0"/>
          <w:color w:val="auto"/>
          <w:szCs w:val="21"/>
          <w:highlight w:val="none"/>
        </w:rPr>
        <w:t>13.8 市场价格波动引起的调整：不调整，发包人书面同意的情形除外.</w:t>
      </w:r>
    </w:p>
    <w:p w14:paraId="0894C148">
      <w:pPr>
        <w:spacing w:line="360" w:lineRule="auto"/>
        <w:jc w:val="left"/>
        <w:rPr>
          <w:rFonts w:hint="eastAsia"/>
          <w:snapToGrid w:val="0"/>
          <w:color w:val="auto"/>
          <w:szCs w:val="21"/>
          <w:highlight w:val="none"/>
        </w:rPr>
      </w:pPr>
      <w:r>
        <w:rPr>
          <w:rFonts w:hint="eastAsia"/>
          <w:snapToGrid w:val="0"/>
          <w:color w:val="auto"/>
          <w:szCs w:val="21"/>
          <w:highlight w:val="none"/>
        </w:rPr>
        <w:t>13.8.2 关于是否采用《价格指数权重表》的约定：</w:t>
      </w:r>
      <w:r>
        <w:rPr>
          <w:rFonts w:hint="eastAsia"/>
          <w:snapToGrid w:val="0"/>
          <w:color w:val="auto"/>
          <w:szCs w:val="21"/>
          <w:highlight w:val="none"/>
          <w:u w:val="single"/>
        </w:rPr>
        <w:t xml:space="preserve">  否 </w:t>
      </w:r>
      <w:r>
        <w:rPr>
          <w:rFonts w:hint="eastAsia"/>
          <w:snapToGrid w:val="0"/>
          <w:color w:val="auto"/>
          <w:szCs w:val="21"/>
          <w:highlight w:val="none"/>
        </w:rPr>
        <w:t>。</w:t>
      </w:r>
    </w:p>
    <w:p w14:paraId="34FE1156">
      <w:pPr>
        <w:spacing w:line="360" w:lineRule="auto"/>
        <w:jc w:val="left"/>
        <w:rPr>
          <w:snapToGrid w:val="0"/>
          <w:color w:val="auto"/>
          <w:szCs w:val="21"/>
          <w:highlight w:val="none"/>
        </w:rPr>
      </w:pPr>
      <w:r>
        <w:rPr>
          <w:rFonts w:hint="eastAsia"/>
          <w:snapToGrid w:val="0"/>
          <w:color w:val="auto"/>
          <w:szCs w:val="21"/>
          <w:highlight w:val="none"/>
        </w:rPr>
        <w:t>13.8.3 关于采用其他方式调整合同价款的约定：</w:t>
      </w:r>
      <w:r>
        <w:rPr>
          <w:rFonts w:hint="eastAsia"/>
          <w:snapToGrid w:val="0"/>
          <w:color w:val="auto"/>
          <w:szCs w:val="21"/>
          <w:highlight w:val="none"/>
          <w:u w:val="single"/>
        </w:rPr>
        <w:t xml:space="preserve">  无 </w:t>
      </w:r>
      <w:r>
        <w:rPr>
          <w:rFonts w:hint="eastAsia"/>
          <w:snapToGrid w:val="0"/>
          <w:color w:val="auto"/>
          <w:szCs w:val="21"/>
          <w:highlight w:val="none"/>
        </w:rPr>
        <w:t>。</w:t>
      </w:r>
    </w:p>
    <w:p w14:paraId="5CB01F30">
      <w:pPr>
        <w:pStyle w:val="91"/>
        <w:rPr>
          <w:rFonts w:hint="eastAsia" w:cs="宋体"/>
          <w:b w:val="0"/>
          <w:color w:val="auto"/>
          <w:sz w:val="21"/>
          <w:szCs w:val="21"/>
          <w:highlight w:val="none"/>
        </w:rPr>
      </w:pPr>
      <w:bookmarkStart w:id="2906" w:name="_Toc12177"/>
      <w:bookmarkStart w:id="2907" w:name="_Toc28821"/>
      <w:bookmarkStart w:id="2908" w:name="_Toc103175819"/>
      <w:bookmarkStart w:id="2909" w:name="_Toc21181"/>
      <w:bookmarkStart w:id="2910" w:name="_Toc31200"/>
      <w:bookmarkStart w:id="2911" w:name="_Toc23141"/>
      <w:bookmarkStart w:id="2912" w:name="_Toc18468"/>
      <w:bookmarkStart w:id="2913" w:name="_Toc246"/>
      <w:bookmarkStart w:id="2914" w:name="_Toc31428"/>
      <w:bookmarkStart w:id="2915" w:name="_Toc27371"/>
      <w:bookmarkStart w:id="2916" w:name="_Toc16445"/>
      <w:r>
        <w:rPr>
          <w:rFonts w:hint="eastAsia" w:cs="宋体"/>
          <w:b w:val="0"/>
          <w:color w:val="auto"/>
          <w:sz w:val="21"/>
          <w:szCs w:val="21"/>
          <w:highlight w:val="none"/>
        </w:rPr>
        <w:t>第14条 合同价格与支付</w:t>
      </w:r>
      <w:bookmarkEnd w:id="2906"/>
      <w:bookmarkEnd w:id="2907"/>
      <w:bookmarkEnd w:id="2908"/>
      <w:bookmarkEnd w:id="2909"/>
      <w:bookmarkEnd w:id="2910"/>
      <w:bookmarkEnd w:id="2911"/>
      <w:bookmarkEnd w:id="2912"/>
      <w:bookmarkEnd w:id="2913"/>
      <w:bookmarkEnd w:id="2914"/>
      <w:bookmarkEnd w:id="2915"/>
      <w:bookmarkEnd w:id="2916"/>
    </w:p>
    <w:p w14:paraId="23FF2839">
      <w:pPr>
        <w:ind w:firstLine="600"/>
        <w:rPr>
          <w:rFonts w:hint="eastAsia" w:ascii="宋体" w:hAnsi="宋体" w:cs="宋体"/>
          <w:color w:val="auto"/>
          <w:szCs w:val="21"/>
          <w:highlight w:val="none"/>
        </w:rPr>
      </w:pPr>
      <w:r>
        <w:rPr>
          <w:rFonts w:hint="eastAsia" w:ascii="宋体" w:hAnsi="宋体" w:cs="宋体"/>
          <w:color w:val="auto"/>
          <w:szCs w:val="21"/>
          <w:highlight w:val="none"/>
        </w:rPr>
        <w:t>14.1 合同价格形式</w:t>
      </w:r>
    </w:p>
    <w:p w14:paraId="7790BD0B">
      <w:pPr>
        <w:ind w:firstLine="600"/>
        <w:rPr>
          <w:rFonts w:hint="eastAsia" w:ascii="宋体" w:hAnsi="宋体" w:cs="宋体"/>
          <w:color w:val="auto"/>
          <w:szCs w:val="21"/>
          <w:highlight w:val="none"/>
        </w:rPr>
      </w:pPr>
      <w:r>
        <w:rPr>
          <w:rFonts w:hint="eastAsia" w:ascii="宋体" w:hAnsi="宋体" w:cs="宋体"/>
          <w:color w:val="auto"/>
          <w:szCs w:val="21"/>
          <w:highlight w:val="none"/>
        </w:rPr>
        <w:t>14.1.1 关于合同价格形式的约定：</w:t>
      </w:r>
      <w:r>
        <w:rPr>
          <w:rFonts w:hint="eastAsia" w:ascii="宋体" w:hAnsi="宋体" w:cs="宋体"/>
          <w:color w:val="auto"/>
          <w:szCs w:val="21"/>
          <w:highlight w:val="none"/>
          <w:u w:val="single"/>
        </w:rPr>
        <w:t xml:space="preserve"> 总价合同 </w:t>
      </w:r>
      <w:r>
        <w:rPr>
          <w:rFonts w:hint="eastAsia" w:ascii="宋体" w:hAnsi="宋体" w:cs="宋体"/>
          <w:color w:val="auto"/>
          <w:szCs w:val="21"/>
          <w:highlight w:val="none"/>
        </w:rPr>
        <w:t>。</w:t>
      </w:r>
    </w:p>
    <w:p w14:paraId="37E66D14">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 xml:space="preserve">14.1.2 关于合同价格调整的约定： </w:t>
      </w:r>
      <w:r>
        <w:rPr>
          <w:rFonts w:hint="eastAsia"/>
          <w:color w:val="auto"/>
          <w:sz w:val="21"/>
          <w:szCs w:val="21"/>
          <w:highlight w:val="none"/>
          <w:u w:val="single"/>
          <w:lang w:val="en-US" w:eastAsia="zh-CN"/>
        </w:rPr>
        <w:t>由于建设单位原因造成费用增加，以设计变更、现场签证、工程洽商的形式确认</w:t>
      </w:r>
      <w:r>
        <w:rPr>
          <w:rFonts w:hint="eastAsia" w:ascii="宋体" w:hAnsi="宋体" w:cs="宋体"/>
          <w:color w:val="auto"/>
          <w:szCs w:val="21"/>
          <w:highlight w:val="none"/>
          <w:u w:val="single"/>
        </w:rPr>
        <w:t>。</w:t>
      </w:r>
    </w:p>
    <w:p w14:paraId="63629A15">
      <w:pPr>
        <w:ind w:firstLine="600"/>
        <w:rPr>
          <w:rFonts w:ascii="宋体" w:hAnsi="宋体" w:cs="宋体"/>
          <w:color w:val="auto"/>
          <w:szCs w:val="21"/>
          <w:highlight w:val="none"/>
        </w:rPr>
      </w:pPr>
      <w:r>
        <w:rPr>
          <w:rFonts w:hint="eastAsia" w:ascii="宋体" w:hAnsi="宋体" w:cs="宋体"/>
          <w:color w:val="auto"/>
          <w:szCs w:val="21"/>
          <w:highlight w:val="none"/>
        </w:rPr>
        <w:t>14.1.3 按实际完成的工程量支付工程价款的计量方法、估价方法：</w:t>
      </w:r>
      <w:r>
        <w:rPr>
          <w:rFonts w:hint="eastAsia" w:ascii="宋体" w:hAnsi="宋体" w:cs="宋体"/>
          <w:color w:val="auto"/>
          <w:szCs w:val="21"/>
          <w:highlight w:val="none"/>
          <w:u w:val="single"/>
        </w:rPr>
        <w:t xml:space="preserve"> 无 。</w:t>
      </w:r>
    </w:p>
    <w:p w14:paraId="292576C4">
      <w:pPr>
        <w:ind w:firstLine="600"/>
        <w:rPr>
          <w:rFonts w:hint="eastAsia" w:ascii="宋体" w:hAnsi="宋体" w:cs="宋体"/>
          <w:color w:val="auto"/>
          <w:szCs w:val="21"/>
          <w:highlight w:val="none"/>
        </w:rPr>
      </w:pPr>
      <w:r>
        <w:rPr>
          <w:rFonts w:hint="eastAsia" w:ascii="宋体" w:hAnsi="宋体" w:cs="宋体"/>
          <w:color w:val="auto"/>
          <w:szCs w:val="21"/>
          <w:highlight w:val="none"/>
        </w:rPr>
        <w:t>14.2 预付款</w:t>
      </w:r>
    </w:p>
    <w:p w14:paraId="587A9BB1">
      <w:pPr>
        <w:ind w:firstLine="600"/>
        <w:rPr>
          <w:rFonts w:hint="eastAsia" w:ascii="宋体" w:hAnsi="宋体" w:cs="宋体"/>
          <w:color w:val="auto"/>
          <w:szCs w:val="21"/>
          <w:highlight w:val="none"/>
        </w:rPr>
      </w:pPr>
      <w:r>
        <w:rPr>
          <w:rFonts w:hint="eastAsia" w:ascii="宋体" w:hAnsi="宋体" w:cs="宋体"/>
          <w:color w:val="auto"/>
          <w:szCs w:val="21"/>
          <w:highlight w:val="none"/>
        </w:rPr>
        <w:t>14.2.1 预付款支付</w:t>
      </w:r>
    </w:p>
    <w:p w14:paraId="1D146753">
      <w:pPr>
        <w:ind w:firstLine="600"/>
        <w:rPr>
          <w:rFonts w:hint="eastAsia" w:ascii="宋体" w:hAnsi="宋体" w:cs="宋体"/>
          <w:color w:val="auto"/>
          <w:szCs w:val="21"/>
          <w:highlight w:val="none"/>
        </w:rPr>
      </w:pPr>
      <w:r>
        <w:rPr>
          <w:rFonts w:hint="eastAsia" w:ascii="宋体" w:hAnsi="宋体" w:cs="宋体"/>
          <w:color w:val="auto"/>
          <w:szCs w:val="21"/>
          <w:highlight w:val="none"/>
        </w:rPr>
        <w:t>预付款的金额或比例为</w:t>
      </w:r>
      <w:r>
        <w:rPr>
          <w:rFonts w:hint="eastAsia" w:ascii="宋体" w:hAnsi="宋体" w:cs="宋体"/>
          <w:color w:val="auto"/>
          <w:szCs w:val="21"/>
          <w:highlight w:val="none"/>
          <w:u w:val="single"/>
        </w:rPr>
        <w:t>：设计费预付10%；建安工程费预付25%(含农民工工资保证金和农民工工资预储金</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50%的安全文明施工费</w:t>
      </w:r>
      <w:r>
        <w:rPr>
          <w:rFonts w:hint="eastAsia" w:ascii="宋体" w:hAnsi="宋体" w:cs="宋体"/>
          <w:color w:val="auto"/>
          <w:szCs w:val="21"/>
          <w:highlight w:val="none"/>
          <w:u w:val="single"/>
        </w:rPr>
        <w:t>)。</w:t>
      </w:r>
    </w:p>
    <w:p w14:paraId="21F53A2B">
      <w:pPr>
        <w:ind w:firstLine="600"/>
        <w:rPr>
          <w:rFonts w:hint="eastAsia" w:ascii="宋体" w:hAnsi="宋体" w:cs="宋体"/>
          <w:color w:val="auto"/>
          <w:szCs w:val="21"/>
          <w:highlight w:val="none"/>
        </w:rPr>
      </w:pPr>
      <w:r>
        <w:rPr>
          <w:rFonts w:hint="eastAsia" w:ascii="宋体" w:hAnsi="宋体" w:cs="宋体"/>
          <w:color w:val="auto"/>
          <w:szCs w:val="21"/>
          <w:highlight w:val="none"/>
        </w:rPr>
        <w:t>预付款支付期限：</w:t>
      </w:r>
      <w:r>
        <w:rPr>
          <w:color w:val="auto"/>
          <w:spacing w:val="-2"/>
          <w:sz w:val="21"/>
          <w:szCs w:val="21"/>
          <w:highlight w:val="none"/>
          <w:u w:val="single"/>
          <w:lang w:eastAsia="zh-CN"/>
        </w:rPr>
        <w:t>合同签订后</w:t>
      </w:r>
      <w:r>
        <w:rPr>
          <w:rFonts w:hint="eastAsia" w:ascii="宋体" w:hAnsi="宋体" w:cs="宋体"/>
          <w:color w:val="auto"/>
          <w:szCs w:val="21"/>
          <w:highlight w:val="none"/>
        </w:rPr>
        <w:t>。</w:t>
      </w:r>
    </w:p>
    <w:p w14:paraId="37D692CD">
      <w:pPr>
        <w:ind w:firstLine="600"/>
        <w:rPr>
          <w:rFonts w:hint="eastAsia" w:ascii="宋体" w:hAnsi="宋体" w:cs="宋体"/>
          <w:color w:val="auto"/>
          <w:szCs w:val="21"/>
          <w:highlight w:val="none"/>
        </w:rPr>
      </w:pPr>
      <w:r>
        <w:rPr>
          <w:rFonts w:hint="eastAsia" w:ascii="宋体" w:hAnsi="宋体" w:cs="宋体"/>
          <w:color w:val="auto"/>
          <w:szCs w:val="21"/>
          <w:highlight w:val="none"/>
        </w:rPr>
        <w:t>预付款扣回的方式：</w:t>
      </w:r>
      <w:r>
        <w:rPr>
          <w:snapToGrid w:val="0"/>
          <w:color w:val="auto"/>
          <w:szCs w:val="21"/>
          <w:highlight w:val="none"/>
          <w:u w:val="single"/>
        </w:rPr>
        <w:t>预付款视情况扣回</w:t>
      </w:r>
      <w:r>
        <w:rPr>
          <w:rFonts w:hint="eastAsia" w:ascii="宋体" w:hAnsi="宋体" w:cs="宋体"/>
          <w:color w:val="auto"/>
          <w:szCs w:val="21"/>
          <w:highlight w:val="none"/>
        </w:rPr>
        <w:t>。</w:t>
      </w:r>
    </w:p>
    <w:p w14:paraId="7817BD9D">
      <w:pPr>
        <w:ind w:firstLine="600"/>
        <w:rPr>
          <w:rFonts w:hint="eastAsia" w:ascii="宋体" w:hAnsi="宋体" w:cs="宋体"/>
          <w:color w:val="auto"/>
          <w:szCs w:val="21"/>
          <w:highlight w:val="none"/>
        </w:rPr>
      </w:pPr>
      <w:r>
        <w:rPr>
          <w:rFonts w:hint="eastAsia" w:ascii="宋体" w:hAnsi="宋体" w:cs="宋体"/>
          <w:color w:val="auto"/>
          <w:szCs w:val="21"/>
          <w:highlight w:val="none"/>
        </w:rPr>
        <w:t>14.2.2预付款担保</w:t>
      </w:r>
    </w:p>
    <w:p w14:paraId="032467AE">
      <w:pPr>
        <w:ind w:firstLine="600"/>
        <w:rPr>
          <w:rFonts w:hint="eastAsia" w:ascii="宋体" w:hAnsi="宋体" w:cs="宋体"/>
          <w:color w:val="auto"/>
          <w:szCs w:val="21"/>
          <w:highlight w:val="none"/>
        </w:rPr>
      </w:pPr>
      <w:r>
        <w:rPr>
          <w:rFonts w:hint="eastAsia" w:ascii="宋体" w:hAnsi="宋体" w:cs="宋体"/>
          <w:color w:val="auto"/>
          <w:szCs w:val="21"/>
          <w:highlight w:val="none"/>
        </w:rPr>
        <w:t>提供预付款担保期限：</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DF76417">
      <w:pPr>
        <w:ind w:firstLine="600"/>
        <w:rPr>
          <w:rFonts w:hint="eastAsia" w:ascii="宋体" w:hAnsi="宋体" w:cs="宋体"/>
          <w:color w:val="auto"/>
          <w:szCs w:val="21"/>
          <w:highlight w:val="none"/>
        </w:rPr>
      </w:pPr>
      <w:r>
        <w:rPr>
          <w:rFonts w:hint="eastAsia" w:ascii="宋体" w:hAnsi="宋体" w:cs="宋体"/>
          <w:color w:val="auto"/>
          <w:szCs w:val="21"/>
          <w:highlight w:val="none"/>
        </w:rPr>
        <w:t>预付款担保形式：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3AA2FEC">
      <w:pPr>
        <w:ind w:firstLine="600"/>
        <w:rPr>
          <w:rFonts w:hint="eastAsia" w:ascii="宋体" w:hAnsi="宋体" w:cs="宋体"/>
          <w:color w:val="auto"/>
          <w:szCs w:val="21"/>
          <w:highlight w:val="none"/>
        </w:rPr>
      </w:pPr>
      <w:r>
        <w:rPr>
          <w:rFonts w:hint="eastAsia" w:ascii="宋体" w:hAnsi="宋体" w:cs="宋体"/>
          <w:color w:val="auto"/>
          <w:szCs w:val="21"/>
          <w:highlight w:val="none"/>
        </w:rPr>
        <w:t>14.3 工程进度款</w:t>
      </w:r>
    </w:p>
    <w:p w14:paraId="2143AF0B">
      <w:pPr>
        <w:ind w:firstLine="600"/>
        <w:rPr>
          <w:rFonts w:hint="eastAsia" w:ascii="宋体" w:hAnsi="宋体" w:cs="宋体"/>
          <w:color w:val="auto"/>
          <w:szCs w:val="21"/>
          <w:highlight w:val="none"/>
        </w:rPr>
      </w:pPr>
      <w:r>
        <w:rPr>
          <w:rFonts w:hint="eastAsia" w:ascii="宋体" w:hAnsi="宋体" w:cs="宋体"/>
          <w:color w:val="auto"/>
          <w:szCs w:val="21"/>
          <w:highlight w:val="none"/>
        </w:rPr>
        <w:t>14.3.1 工程进度付款申请</w:t>
      </w:r>
    </w:p>
    <w:p w14:paraId="413A7B19">
      <w:pPr>
        <w:ind w:firstLine="600"/>
        <w:rPr>
          <w:rFonts w:hint="eastAsia" w:ascii="宋体" w:hAnsi="宋体" w:cs="宋体"/>
          <w:color w:val="auto"/>
          <w:szCs w:val="21"/>
          <w:highlight w:val="none"/>
        </w:rPr>
      </w:pPr>
      <w:r>
        <w:rPr>
          <w:rFonts w:hint="eastAsia" w:ascii="宋体" w:hAnsi="宋体" w:cs="宋体"/>
          <w:color w:val="auto"/>
          <w:szCs w:val="21"/>
          <w:highlight w:val="none"/>
        </w:rPr>
        <w:t>工程进度付款申请方式：</w:t>
      </w:r>
      <w:r>
        <w:rPr>
          <w:rFonts w:hint="eastAsia" w:ascii="宋体" w:hAnsi="宋体" w:cs="宋体"/>
          <w:color w:val="auto"/>
          <w:szCs w:val="21"/>
          <w:highlight w:val="none"/>
          <w:u w:val="single"/>
        </w:rPr>
        <w:t>由承包人在每月20日前书面提出申请，按照相关程序办理</w:t>
      </w:r>
      <w:r>
        <w:rPr>
          <w:rFonts w:hint="eastAsia" w:ascii="宋体" w:hAnsi="宋体" w:cs="宋体"/>
          <w:color w:val="auto"/>
          <w:szCs w:val="21"/>
          <w:highlight w:val="none"/>
        </w:rPr>
        <w:t>。</w:t>
      </w:r>
    </w:p>
    <w:p w14:paraId="20B9693E">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承包人提交进度付款申请单的格式、内容、份数和时间：</w:t>
      </w:r>
      <w:r>
        <w:rPr>
          <w:rFonts w:hint="eastAsia" w:ascii="宋体" w:hAnsi="宋体" w:cs="宋体"/>
          <w:color w:val="auto"/>
          <w:szCs w:val="21"/>
          <w:highlight w:val="none"/>
          <w:u w:val="single"/>
        </w:rPr>
        <w:t xml:space="preserve">  按发包人现场管理和工程师要求  </w:t>
      </w:r>
      <w:r>
        <w:rPr>
          <w:rFonts w:hint="eastAsia" w:ascii="宋体" w:hAnsi="宋体" w:cs="宋体"/>
          <w:color w:val="auto"/>
          <w:szCs w:val="21"/>
          <w:highlight w:val="none"/>
        </w:rPr>
        <w:t>。</w:t>
      </w:r>
    </w:p>
    <w:p w14:paraId="12A782A6">
      <w:pPr>
        <w:ind w:firstLine="600"/>
        <w:rPr>
          <w:rFonts w:hint="eastAsia" w:ascii="宋体" w:hAnsi="宋体" w:cs="宋体"/>
          <w:color w:val="auto"/>
          <w:szCs w:val="21"/>
          <w:highlight w:val="none"/>
        </w:rPr>
      </w:pPr>
      <w:r>
        <w:rPr>
          <w:rFonts w:hint="eastAsia" w:ascii="宋体" w:hAnsi="宋体" w:cs="宋体"/>
          <w:color w:val="auto"/>
          <w:szCs w:val="21"/>
          <w:highlight w:val="none"/>
        </w:rPr>
        <w:t>进度付款申请单应包括的内容：</w:t>
      </w:r>
      <w:r>
        <w:rPr>
          <w:rFonts w:hint="eastAsia" w:ascii="宋体" w:hAnsi="宋体" w:cs="宋体"/>
          <w:color w:val="auto"/>
          <w:szCs w:val="21"/>
          <w:highlight w:val="none"/>
          <w:u w:val="single"/>
        </w:rPr>
        <w:t xml:space="preserve">按照项目月实施工程进度的具体工作内容 </w:t>
      </w:r>
      <w:r>
        <w:rPr>
          <w:rFonts w:hint="eastAsia" w:ascii="宋体" w:hAnsi="宋体" w:cs="宋体"/>
          <w:color w:val="auto"/>
          <w:szCs w:val="21"/>
          <w:highlight w:val="none"/>
        </w:rPr>
        <w:t>。</w:t>
      </w:r>
    </w:p>
    <w:p w14:paraId="37443840">
      <w:pPr>
        <w:ind w:firstLine="600"/>
        <w:rPr>
          <w:rFonts w:hint="eastAsia" w:ascii="宋体" w:hAnsi="宋体" w:cs="宋体"/>
          <w:color w:val="auto"/>
          <w:szCs w:val="21"/>
          <w:highlight w:val="none"/>
        </w:rPr>
      </w:pPr>
      <w:r>
        <w:rPr>
          <w:rFonts w:hint="eastAsia" w:ascii="宋体" w:hAnsi="宋体" w:cs="宋体"/>
          <w:color w:val="auto"/>
          <w:szCs w:val="21"/>
          <w:highlight w:val="none"/>
        </w:rPr>
        <w:t>14.3.2 进度付款审核和支付</w:t>
      </w:r>
    </w:p>
    <w:p w14:paraId="35B2AA72">
      <w:pPr>
        <w:pStyle w:val="77"/>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default"/>
          <w:snapToGrid w:val="0"/>
          <w:color w:val="auto"/>
          <w:sz w:val="21"/>
          <w:szCs w:val="21"/>
          <w:highlight w:val="none"/>
          <w:u w:val="single"/>
          <w:lang w:val="en-US"/>
        </w:rPr>
      </w:pPr>
      <w:r>
        <w:rPr>
          <w:rFonts w:hint="eastAsia" w:ascii="宋体" w:hAnsi="宋体" w:cs="宋体"/>
          <w:color w:val="auto"/>
          <w:sz w:val="21"/>
          <w:szCs w:val="21"/>
          <w:highlight w:val="none"/>
        </w:rPr>
        <w:t>进度付款的审核方式和支付的约定：</w:t>
      </w:r>
    </w:p>
    <w:p w14:paraId="585F163F">
      <w:pPr>
        <w:pStyle w:val="77"/>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snapToGrid w:val="0"/>
          <w:color w:val="auto"/>
          <w:sz w:val="21"/>
          <w:szCs w:val="21"/>
          <w:highlight w:val="none"/>
          <w:u w:val="single"/>
        </w:rPr>
      </w:pPr>
      <w:r>
        <w:rPr>
          <w:snapToGrid w:val="0"/>
          <w:color w:val="auto"/>
          <w:sz w:val="21"/>
          <w:szCs w:val="21"/>
          <w:highlight w:val="none"/>
          <w:u w:val="single"/>
        </w:rPr>
        <w:t>设计费：</w:t>
      </w:r>
      <w:r>
        <w:rPr>
          <w:rFonts w:hint="eastAsia"/>
          <w:snapToGrid w:val="0"/>
          <w:color w:val="auto"/>
          <w:sz w:val="21"/>
          <w:szCs w:val="21"/>
          <w:highlight w:val="none"/>
          <w:u w:val="single"/>
        </w:rPr>
        <w:t>设计施工图完成后，拨付至设计费的60%，主体工程验收后付至设计费的80%，竣工验收合格后付至设计费的90%，结算审计完成后支付至设计费的95%，竣工决算完成后付清余款。</w:t>
      </w:r>
    </w:p>
    <w:p w14:paraId="7D632390">
      <w:pPr>
        <w:pStyle w:val="77"/>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snapToGrid w:val="0"/>
          <w:color w:val="auto"/>
          <w:sz w:val="21"/>
          <w:szCs w:val="21"/>
          <w:highlight w:val="yellow"/>
          <w:u w:val="single"/>
        </w:rPr>
      </w:pPr>
      <w:r>
        <w:rPr>
          <w:snapToGrid w:val="0"/>
          <w:color w:val="auto"/>
          <w:sz w:val="21"/>
          <w:szCs w:val="21"/>
          <w:highlight w:val="none"/>
          <w:u w:val="single"/>
        </w:rPr>
        <w:t>工程费：</w:t>
      </w:r>
      <w:r>
        <w:rPr>
          <w:rFonts w:hint="eastAsia"/>
          <w:snapToGrid w:val="0"/>
          <w:color w:val="auto"/>
          <w:sz w:val="21"/>
          <w:szCs w:val="21"/>
          <w:highlight w:val="none"/>
          <w:u w:val="single"/>
        </w:rPr>
        <w:t>按月度实际完成工程量80%支付进度款；验收合格后支付至合同工程费的85%；结算审计完成后支付至结算工程费的90%，财务竣工决算完成后付至100%，同时提供结算工程费3%的质保金，质保金的形式为银行保函，期限应覆盖缺陷责任期。每月拨付的工程款包括农民工工资，承包人须按当地住建部门相关文件要求支付农民工工资，保证不拖欠农民工工资，因承包方原因致使拖欠农民工工资情况的，由承包方承担责任，与建设方无关。工资总额以每月跟踪审计单位审定的农民工工资合计数额为准。</w:t>
      </w:r>
    </w:p>
    <w:p w14:paraId="689B494C">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发包人应在进度款支付证书或临时进度款支付证书签发后的</w:t>
      </w:r>
      <w:r>
        <w:rPr>
          <w:rFonts w:hint="eastAsia" w:ascii="宋体" w:hAnsi="宋体" w:cs="宋体"/>
          <w:color w:val="auto"/>
          <w:szCs w:val="21"/>
          <w:highlight w:val="none"/>
          <w:u w:val="single"/>
        </w:rPr>
        <w:t xml:space="preserve">  14   </w:t>
      </w:r>
      <w:r>
        <w:rPr>
          <w:rFonts w:hint="eastAsia" w:ascii="宋体" w:hAnsi="宋体" w:cs="宋体"/>
          <w:color w:val="auto"/>
          <w:szCs w:val="21"/>
          <w:highlight w:val="none"/>
        </w:rPr>
        <w:t>天内完成支付，发包人逾期支付进度款的，应按照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支付违约金。</w:t>
      </w:r>
    </w:p>
    <w:p w14:paraId="42FD7167">
      <w:pPr>
        <w:ind w:firstLine="600"/>
        <w:rPr>
          <w:rFonts w:hint="eastAsia" w:ascii="宋体" w:hAnsi="宋体" w:cs="宋体"/>
          <w:color w:val="auto"/>
          <w:szCs w:val="21"/>
          <w:highlight w:val="none"/>
        </w:rPr>
      </w:pPr>
      <w:r>
        <w:rPr>
          <w:rFonts w:hint="eastAsia" w:ascii="宋体" w:hAnsi="宋体" w:cs="宋体"/>
          <w:color w:val="auto"/>
          <w:szCs w:val="21"/>
          <w:highlight w:val="none"/>
        </w:rPr>
        <w:t>14.4 付款计划表</w:t>
      </w:r>
    </w:p>
    <w:p w14:paraId="743605E5">
      <w:pPr>
        <w:ind w:firstLine="600"/>
        <w:rPr>
          <w:rFonts w:hint="eastAsia" w:ascii="宋体" w:hAnsi="宋体" w:cs="宋体"/>
          <w:color w:val="auto"/>
          <w:szCs w:val="21"/>
          <w:highlight w:val="none"/>
        </w:rPr>
      </w:pPr>
      <w:r>
        <w:rPr>
          <w:rFonts w:hint="eastAsia" w:ascii="宋体" w:hAnsi="宋体" w:cs="宋体"/>
          <w:color w:val="auto"/>
          <w:szCs w:val="21"/>
          <w:highlight w:val="none"/>
        </w:rPr>
        <w:t>14.4.1 付款计划表的编制要求：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AAB2E5">
      <w:pPr>
        <w:ind w:firstLine="600"/>
        <w:rPr>
          <w:rFonts w:hint="eastAsia" w:ascii="宋体" w:hAnsi="宋体" w:cs="宋体"/>
          <w:color w:val="auto"/>
          <w:szCs w:val="21"/>
          <w:highlight w:val="none"/>
        </w:rPr>
      </w:pPr>
      <w:r>
        <w:rPr>
          <w:rFonts w:hint="eastAsia" w:ascii="宋体" w:hAnsi="宋体" w:cs="宋体"/>
          <w:color w:val="auto"/>
          <w:szCs w:val="21"/>
          <w:highlight w:val="none"/>
        </w:rPr>
        <w:t>14.4.2 付款计划表的编制与审批</w:t>
      </w:r>
    </w:p>
    <w:p w14:paraId="21CCF566">
      <w:pPr>
        <w:ind w:firstLine="600"/>
        <w:rPr>
          <w:rFonts w:hint="eastAsia" w:ascii="宋体" w:hAnsi="宋体" w:cs="宋体"/>
          <w:color w:val="auto"/>
          <w:szCs w:val="21"/>
          <w:highlight w:val="none"/>
        </w:rPr>
      </w:pPr>
      <w:r>
        <w:rPr>
          <w:rFonts w:hint="eastAsia" w:ascii="宋体" w:hAnsi="宋体" w:cs="宋体"/>
          <w:color w:val="auto"/>
          <w:szCs w:val="21"/>
          <w:highlight w:val="none"/>
        </w:rPr>
        <w:t>付款计划表的编制：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1731283">
      <w:pPr>
        <w:ind w:firstLine="600"/>
        <w:rPr>
          <w:rFonts w:hint="eastAsia" w:ascii="宋体" w:hAnsi="宋体" w:cs="宋体"/>
          <w:color w:val="auto"/>
          <w:szCs w:val="21"/>
          <w:highlight w:val="none"/>
        </w:rPr>
      </w:pPr>
      <w:r>
        <w:rPr>
          <w:rFonts w:hint="eastAsia" w:ascii="宋体" w:hAnsi="宋体" w:cs="宋体"/>
          <w:color w:val="auto"/>
          <w:szCs w:val="21"/>
          <w:highlight w:val="none"/>
        </w:rPr>
        <w:t>14.5 竣工结算</w:t>
      </w:r>
    </w:p>
    <w:p w14:paraId="7B69C837">
      <w:pPr>
        <w:ind w:firstLine="600"/>
        <w:rPr>
          <w:rFonts w:hint="eastAsia" w:ascii="宋体" w:hAnsi="宋体" w:cs="宋体"/>
          <w:color w:val="auto"/>
          <w:szCs w:val="21"/>
          <w:highlight w:val="none"/>
        </w:rPr>
      </w:pPr>
      <w:r>
        <w:rPr>
          <w:rFonts w:hint="eastAsia" w:ascii="宋体" w:hAnsi="宋体" w:cs="宋体"/>
          <w:color w:val="auto"/>
          <w:szCs w:val="21"/>
          <w:highlight w:val="none"/>
        </w:rPr>
        <w:t>14.5.1 竣工结算申请</w:t>
      </w:r>
    </w:p>
    <w:p w14:paraId="50E49DE9">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承包人提交竣工结算申请的时间：</w:t>
      </w:r>
      <w:r>
        <w:rPr>
          <w:rFonts w:hint="eastAsia" w:ascii="宋体" w:hAnsi="宋体" w:cs="宋体"/>
          <w:color w:val="auto"/>
          <w:szCs w:val="21"/>
          <w:highlight w:val="none"/>
          <w:u w:val="single"/>
        </w:rPr>
        <w:t xml:space="preserve"> </w:t>
      </w:r>
      <w:r>
        <w:rPr>
          <w:snapToGrid w:val="0"/>
          <w:color w:val="auto"/>
          <w:szCs w:val="21"/>
          <w:highlight w:val="none"/>
          <w:u w:val="single" w:color="000000"/>
        </w:rPr>
        <w:t>竣工后</w:t>
      </w:r>
      <w:r>
        <w:rPr>
          <w:rFonts w:hint="eastAsia"/>
          <w:snapToGrid w:val="0"/>
          <w:color w:val="auto"/>
          <w:szCs w:val="21"/>
          <w:highlight w:val="none"/>
          <w:u w:val="single" w:color="000000"/>
          <w:lang w:val="en-US" w:eastAsia="zh-CN"/>
        </w:rPr>
        <w:t>90</w:t>
      </w:r>
      <w:r>
        <w:rPr>
          <w:snapToGrid w:val="0"/>
          <w:color w:val="auto"/>
          <w:szCs w:val="21"/>
          <w:highlight w:val="none"/>
          <w:u w:val="single"/>
        </w:rPr>
        <w:t>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F969F4">
      <w:pPr>
        <w:ind w:firstLine="600"/>
        <w:rPr>
          <w:rFonts w:hint="eastAsia" w:ascii="宋体" w:hAnsi="宋体" w:cs="宋体"/>
          <w:color w:val="auto"/>
          <w:szCs w:val="21"/>
          <w:highlight w:val="none"/>
        </w:rPr>
      </w:pPr>
      <w:r>
        <w:rPr>
          <w:rFonts w:hint="eastAsia" w:ascii="宋体" w:hAnsi="宋体" w:cs="宋体"/>
          <w:color w:val="auto"/>
          <w:szCs w:val="21"/>
          <w:highlight w:val="none"/>
        </w:rPr>
        <w:t>竣工结算申请的资料清单和份数：</w:t>
      </w:r>
      <w:r>
        <w:rPr>
          <w:rFonts w:hint="eastAsia" w:ascii="宋体" w:hAnsi="宋体" w:cs="宋体"/>
          <w:color w:val="auto"/>
          <w:szCs w:val="21"/>
          <w:highlight w:val="none"/>
          <w:u w:val="single"/>
        </w:rPr>
        <w:t>竣工验收后，提供竣工文件纸质版四套，电子版一份</w:t>
      </w:r>
      <w:r>
        <w:rPr>
          <w:rFonts w:hint="eastAsia" w:ascii="宋体" w:hAnsi="宋体" w:cs="宋体"/>
          <w:color w:val="auto"/>
          <w:szCs w:val="21"/>
          <w:highlight w:val="none"/>
        </w:rPr>
        <w:t>。</w:t>
      </w:r>
    </w:p>
    <w:p w14:paraId="61C8FF63">
      <w:pPr>
        <w:ind w:firstLine="600"/>
        <w:rPr>
          <w:rFonts w:hint="eastAsia" w:ascii="宋体" w:hAnsi="宋体" w:cs="宋体"/>
          <w:color w:val="auto"/>
          <w:szCs w:val="21"/>
          <w:highlight w:val="none"/>
        </w:rPr>
      </w:pPr>
      <w:r>
        <w:rPr>
          <w:rFonts w:hint="eastAsia" w:ascii="宋体" w:hAnsi="宋体" w:cs="宋体"/>
          <w:color w:val="auto"/>
          <w:szCs w:val="21"/>
          <w:highlight w:val="none"/>
        </w:rPr>
        <w:t>竣工结算申请单的内容应包括：</w:t>
      </w:r>
      <w:r>
        <w:rPr>
          <w:rFonts w:hint="eastAsia" w:ascii="宋体" w:hAnsi="宋体" w:cs="宋体"/>
          <w:color w:val="auto"/>
          <w:szCs w:val="21"/>
          <w:highlight w:val="none"/>
          <w:u w:val="single"/>
        </w:rPr>
        <w:t xml:space="preserve"> 按发包人现场管理和工程师要求执行 </w:t>
      </w:r>
      <w:r>
        <w:rPr>
          <w:rFonts w:hint="eastAsia" w:ascii="宋体" w:hAnsi="宋体" w:cs="宋体"/>
          <w:color w:val="auto"/>
          <w:szCs w:val="21"/>
          <w:highlight w:val="none"/>
        </w:rPr>
        <w:t>。</w:t>
      </w:r>
    </w:p>
    <w:p w14:paraId="5D200853">
      <w:pPr>
        <w:ind w:firstLine="600"/>
        <w:rPr>
          <w:rFonts w:hint="eastAsia" w:ascii="宋体" w:hAnsi="宋体" w:cs="宋体"/>
          <w:color w:val="auto"/>
          <w:szCs w:val="21"/>
          <w:highlight w:val="none"/>
        </w:rPr>
      </w:pPr>
      <w:r>
        <w:rPr>
          <w:rFonts w:hint="eastAsia" w:ascii="宋体" w:hAnsi="宋体" w:cs="宋体"/>
          <w:color w:val="auto"/>
          <w:szCs w:val="21"/>
          <w:highlight w:val="none"/>
        </w:rPr>
        <w:t>14.5.2 竣工结算审核</w:t>
      </w:r>
    </w:p>
    <w:p w14:paraId="4CB954C3">
      <w:pPr>
        <w:ind w:firstLine="600"/>
        <w:rPr>
          <w:rFonts w:hint="eastAsia" w:ascii="宋体" w:hAnsi="宋体" w:cs="宋体"/>
          <w:color w:val="auto"/>
          <w:szCs w:val="21"/>
          <w:highlight w:val="none"/>
        </w:rPr>
      </w:pPr>
      <w:r>
        <w:rPr>
          <w:rFonts w:hint="eastAsia" w:ascii="宋体" w:hAnsi="宋体" w:cs="宋体"/>
          <w:color w:val="auto"/>
          <w:szCs w:val="21"/>
          <w:highlight w:val="none"/>
        </w:rPr>
        <w:t>发包人审批竣工付款申请单的期限：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A74BA6A">
      <w:pPr>
        <w:ind w:firstLine="600"/>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A77677B">
      <w:pPr>
        <w:ind w:firstLine="600"/>
        <w:rPr>
          <w:rFonts w:hint="eastAsia" w:ascii="宋体" w:hAnsi="宋体" w:cs="宋体"/>
          <w:color w:val="auto"/>
          <w:szCs w:val="21"/>
          <w:highlight w:val="non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C7C5A3E">
      <w:pPr>
        <w:ind w:firstLine="600"/>
        <w:rPr>
          <w:rFonts w:hint="eastAsia" w:ascii="宋体" w:hAnsi="宋体" w:cs="宋体"/>
          <w:color w:val="auto"/>
          <w:szCs w:val="21"/>
          <w:highlight w:val="none"/>
        </w:rPr>
      </w:pPr>
      <w:r>
        <w:rPr>
          <w:rFonts w:hint="eastAsia" w:ascii="宋体" w:hAnsi="宋体" w:cs="宋体"/>
          <w:color w:val="auto"/>
          <w:szCs w:val="21"/>
          <w:highlight w:val="none"/>
        </w:rPr>
        <w:t>14.6 质量保证金</w:t>
      </w:r>
    </w:p>
    <w:p w14:paraId="6A8F5891">
      <w:pPr>
        <w:ind w:firstLine="600"/>
        <w:rPr>
          <w:rFonts w:hint="eastAsia" w:ascii="宋体" w:hAnsi="宋体" w:cs="宋体"/>
          <w:color w:val="auto"/>
          <w:szCs w:val="21"/>
          <w:highlight w:val="none"/>
        </w:rPr>
      </w:pPr>
      <w:r>
        <w:rPr>
          <w:rFonts w:hint="eastAsia" w:ascii="宋体" w:hAnsi="宋体" w:cs="宋体"/>
          <w:color w:val="auto"/>
          <w:szCs w:val="21"/>
          <w:highlight w:val="none"/>
        </w:rPr>
        <w:t>14.6.1 承包人提供质量保证金的方式</w:t>
      </w:r>
    </w:p>
    <w:p w14:paraId="373E7C8A">
      <w:pPr>
        <w:ind w:firstLine="600"/>
        <w:rPr>
          <w:rFonts w:hint="eastAsia"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种方式：</w:t>
      </w:r>
    </w:p>
    <w:p w14:paraId="51D209D9">
      <w:pPr>
        <w:ind w:firstLine="600"/>
        <w:rPr>
          <w:rFonts w:hint="eastAsia" w:ascii="宋体" w:hAnsi="宋体" w:cs="宋体"/>
          <w:color w:val="auto"/>
          <w:szCs w:val="21"/>
          <w:highlight w:val="none"/>
        </w:rPr>
      </w:pPr>
      <w:r>
        <w:rPr>
          <w:rFonts w:hint="eastAsia" w:ascii="宋体" w:hAnsi="宋体" w:cs="宋体"/>
          <w:color w:val="auto"/>
          <w:szCs w:val="21"/>
          <w:highlight w:val="none"/>
        </w:rPr>
        <w:t>(1) 工程质量保证担保，保证金额为：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A147D58">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%的工程款；</w:t>
      </w:r>
    </w:p>
    <w:p w14:paraId="29EAE155">
      <w:pPr>
        <w:ind w:firstLine="600"/>
        <w:rPr>
          <w:rFonts w:hint="eastAsia" w:ascii="宋体" w:hAnsi="宋体" w:cs="宋体"/>
          <w:color w:val="auto"/>
          <w:szCs w:val="21"/>
          <w:highlight w:val="none"/>
        </w:rPr>
      </w:pPr>
      <w:r>
        <w:rPr>
          <w:rFonts w:hint="eastAsia" w:ascii="宋体" w:hAnsi="宋体" w:cs="宋体"/>
          <w:color w:val="auto"/>
          <w:szCs w:val="21"/>
          <w:highlight w:val="none"/>
        </w:rPr>
        <w:t>(3) 其他方式：</w:t>
      </w:r>
      <w:r>
        <w:rPr>
          <w:rFonts w:hint="eastAsia" w:ascii="宋体" w:hAnsi="宋体" w:cs="宋体"/>
          <w:color w:val="auto"/>
          <w:szCs w:val="21"/>
          <w:highlight w:val="none"/>
          <w:u w:val="single"/>
        </w:rPr>
        <w:t>工程结算价3%的质保金，质保金的形式为银行保函，期限应覆盖缺陷责任期</w:t>
      </w:r>
      <w:r>
        <w:rPr>
          <w:rFonts w:hint="eastAsia" w:ascii="宋体" w:hAnsi="宋体" w:cs="宋体"/>
          <w:color w:val="auto"/>
          <w:szCs w:val="21"/>
          <w:highlight w:val="none"/>
        </w:rPr>
        <w:t>。</w:t>
      </w:r>
    </w:p>
    <w:p w14:paraId="151E8459">
      <w:pPr>
        <w:ind w:firstLine="600"/>
        <w:rPr>
          <w:rFonts w:hint="eastAsia" w:ascii="宋体" w:hAnsi="宋体" w:cs="宋体"/>
          <w:color w:val="auto"/>
          <w:szCs w:val="21"/>
          <w:highlight w:val="none"/>
        </w:rPr>
      </w:pPr>
      <w:r>
        <w:rPr>
          <w:rFonts w:hint="eastAsia" w:ascii="宋体" w:hAnsi="宋体" w:cs="宋体"/>
          <w:color w:val="auto"/>
          <w:szCs w:val="21"/>
          <w:highlight w:val="none"/>
        </w:rPr>
        <w:t>14.6.2 质量保证金的预留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14:paraId="4F6BE7B5">
      <w:pPr>
        <w:ind w:firstLine="600"/>
        <w:rPr>
          <w:rFonts w:hint="eastAsia" w:ascii="宋体" w:hAnsi="宋体" w:cs="宋体"/>
          <w:color w:val="auto"/>
          <w:szCs w:val="21"/>
          <w:highlight w:val="none"/>
        </w:rPr>
      </w:pPr>
      <w:r>
        <w:rPr>
          <w:rFonts w:hint="eastAsia" w:ascii="宋体" w:hAnsi="宋体" w:cs="宋体"/>
          <w:color w:val="auto"/>
          <w:szCs w:val="21"/>
          <w:highlight w:val="none"/>
        </w:rPr>
        <w:t>(1) 在支付工程进度款时逐次预留的质量保证金的比例：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，在此情形下，质量保证金的计算基数不包括预付款的支付、扣回以及价格调整的金额；</w:t>
      </w:r>
    </w:p>
    <w:p w14:paraId="5ACB584B">
      <w:pPr>
        <w:ind w:firstLine="600"/>
        <w:rPr>
          <w:rFonts w:hint="eastAsia" w:ascii="宋体" w:hAnsi="宋体" w:cs="宋体"/>
          <w:color w:val="auto"/>
          <w:szCs w:val="21"/>
          <w:highlight w:val="none"/>
        </w:rPr>
      </w:pPr>
      <w:r>
        <w:rPr>
          <w:rFonts w:hint="eastAsia" w:ascii="宋体" w:hAnsi="宋体" w:cs="宋体"/>
          <w:color w:val="auto"/>
          <w:szCs w:val="21"/>
          <w:highlight w:val="none"/>
        </w:rPr>
        <w:t>(2) 工程竣工结算时一次性预留专用合同条件第14.6.1项第(2)目约定的工程款预留比例的质量保证金；</w:t>
      </w:r>
    </w:p>
    <w:p w14:paraId="01EEAD92">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(3) 其他预留方式: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3A1AB3F">
      <w:pPr>
        <w:ind w:firstLine="600"/>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w:t>
      </w:r>
      <w:r>
        <w:rPr>
          <w:color w:val="auto"/>
          <w:spacing w:val="-1"/>
          <w:sz w:val="21"/>
          <w:szCs w:val="21"/>
          <w:highlight w:val="none"/>
          <w:u w:val="single"/>
          <w:lang w:eastAsia="zh-CN"/>
        </w:rPr>
        <w:t>工程结算价</w:t>
      </w:r>
      <w:r>
        <w:rPr>
          <w:color w:val="auto"/>
          <w:spacing w:val="-33"/>
          <w:sz w:val="21"/>
          <w:szCs w:val="21"/>
          <w:highlight w:val="none"/>
          <w:u w:val="single"/>
          <w:lang w:eastAsia="zh-CN"/>
        </w:rPr>
        <w:t xml:space="preserve"> </w:t>
      </w:r>
      <w:r>
        <w:rPr>
          <w:rFonts w:ascii="Times New Roman" w:hAnsi="Times New Roman" w:eastAsia="Times New Roman" w:cs="Times New Roman"/>
          <w:color w:val="auto"/>
          <w:spacing w:val="-1"/>
          <w:sz w:val="21"/>
          <w:szCs w:val="21"/>
          <w:highlight w:val="none"/>
          <w:u w:val="single"/>
          <w:lang w:eastAsia="zh-CN"/>
        </w:rPr>
        <w:t>3%</w:t>
      </w:r>
      <w:r>
        <w:rPr>
          <w:color w:val="auto"/>
          <w:spacing w:val="-1"/>
          <w:sz w:val="21"/>
          <w:szCs w:val="21"/>
          <w:highlight w:val="none"/>
          <w:u w:val="single"/>
          <w:lang w:eastAsia="zh-CN"/>
        </w:rPr>
        <w:t>的质保金，质保金的形式为银行保函</w:t>
      </w:r>
      <w:r>
        <w:rPr>
          <w:rFonts w:hint="eastAsia"/>
          <w:snapToGrid w:val="0"/>
          <w:color w:val="auto"/>
          <w:szCs w:val="21"/>
          <w:highlight w:val="none"/>
          <w:u w:val="single"/>
        </w:rPr>
        <w:t>。</w:t>
      </w:r>
    </w:p>
    <w:p w14:paraId="35C5D873">
      <w:pPr>
        <w:ind w:firstLine="600"/>
        <w:rPr>
          <w:rFonts w:hint="eastAsia" w:ascii="宋体" w:hAnsi="宋体" w:cs="宋体"/>
          <w:color w:val="auto"/>
          <w:szCs w:val="21"/>
          <w:highlight w:val="none"/>
        </w:rPr>
      </w:pPr>
      <w:r>
        <w:rPr>
          <w:rFonts w:hint="eastAsia" w:ascii="宋体" w:hAnsi="宋体" w:cs="宋体"/>
          <w:color w:val="auto"/>
          <w:szCs w:val="21"/>
          <w:highlight w:val="none"/>
        </w:rPr>
        <w:t>14.7 最终结清</w:t>
      </w:r>
    </w:p>
    <w:p w14:paraId="0FE89D2C">
      <w:pPr>
        <w:ind w:firstLine="600"/>
        <w:rPr>
          <w:rFonts w:hint="eastAsia" w:ascii="宋体" w:hAnsi="宋体" w:cs="宋体"/>
          <w:color w:val="auto"/>
          <w:szCs w:val="21"/>
          <w:highlight w:val="none"/>
        </w:rPr>
      </w:pPr>
      <w:r>
        <w:rPr>
          <w:rFonts w:hint="eastAsia" w:ascii="宋体" w:hAnsi="宋体" w:cs="宋体"/>
          <w:color w:val="auto"/>
          <w:szCs w:val="21"/>
          <w:highlight w:val="none"/>
        </w:rPr>
        <w:t>14.7.1 最终结清申请单</w:t>
      </w:r>
    </w:p>
    <w:p w14:paraId="77DE8942">
      <w:pPr>
        <w:ind w:firstLine="600"/>
        <w:rPr>
          <w:rFonts w:hint="eastAsia" w:ascii="宋体" w:hAnsi="宋体" w:cs="宋体"/>
          <w:color w:val="auto"/>
          <w:szCs w:val="21"/>
          <w:highlight w:val="none"/>
        </w:rPr>
      </w:pPr>
      <w:r>
        <w:rPr>
          <w:rFonts w:hint="eastAsia" w:ascii="宋体" w:hAnsi="宋体" w:cs="宋体"/>
          <w:color w:val="auto"/>
          <w:szCs w:val="21"/>
          <w:highlight w:val="none"/>
        </w:rPr>
        <w:t>当事人双方关于最终结清申请的其他约定：</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86D05C">
      <w:pPr>
        <w:ind w:firstLine="600"/>
        <w:rPr>
          <w:rFonts w:hint="eastAsia" w:ascii="宋体" w:hAnsi="宋体" w:cs="宋体"/>
          <w:color w:val="auto"/>
          <w:szCs w:val="21"/>
          <w:highlight w:val="none"/>
        </w:rPr>
      </w:pPr>
      <w:r>
        <w:rPr>
          <w:rFonts w:hint="eastAsia" w:ascii="宋体" w:hAnsi="宋体" w:cs="宋体"/>
          <w:color w:val="auto"/>
          <w:szCs w:val="21"/>
          <w:highlight w:val="none"/>
        </w:rPr>
        <w:t>14.7.2 最终结清证书和支付</w:t>
      </w:r>
    </w:p>
    <w:p w14:paraId="26AC1381">
      <w:pPr>
        <w:ind w:firstLine="600"/>
        <w:rPr>
          <w:rFonts w:hint="eastAsia" w:ascii="宋体" w:hAnsi="宋体" w:cs="宋体"/>
          <w:color w:val="auto"/>
          <w:szCs w:val="21"/>
          <w:highlight w:val="none"/>
        </w:rPr>
      </w:pPr>
      <w:r>
        <w:rPr>
          <w:rFonts w:hint="eastAsia" w:ascii="宋体" w:hAnsi="宋体" w:cs="宋体"/>
          <w:color w:val="auto"/>
          <w:szCs w:val="21"/>
          <w:highlight w:val="none"/>
        </w:rPr>
        <w:t>当事人双方关于最终结清支付的其他约定：</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E9A504">
      <w:pPr>
        <w:pStyle w:val="91"/>
        <w:rPr>
          <w:rFonts w:hint="eastAsia" w:cs="宋体"/>
          <w:b w:val="0"/>
          <w:color w:val="auto"/>
          <w:sz w:val="21"/>
          <w:szCs w:val="21"/>
          <w:highlight w:val="none"/>
        </w:rPr>
      </w:pPr>
      <w:bookmarkStart w:id="2917" w:name="_Toc1819"/>
      <w:bookmarkStart w:id="2918" w:name="_Toc22625"/>
      <w:bookmarkStart w:id="2919" w:name="_Toc103175820"/>
      <w:bookmarkStart w:id="2920" w:name="_Toc5526"/>
      <w:bookmarkStart w:id="2921" w:name="_Toc29453"/>
      <w:bookmarkStart w:id="2922" w:name="_Toc738"/>
      <w:bookmarkStart w:id="2923" w:name="_Toc24541"/>
      <w:bookmarkStart w:id="2924" w:name="_Toc9346"/>
      <w:bookmarkStart w:id="2925" w:name="_Toc29859"/>
      <w:bookmarkStart w:id="2926" w:name="_Toc25129"/>
      <w:bookmarkStart w:id="2927" w:name="_Toc17394"/>
      <w:r>
        <w:rPr>
          <w:rFonts w:hint="eastAsia" w:cs="宋体"/>
          <w:b w:val="0"/>
          <w:color w:val="auto"/>
          <w:sz w:val="21"/>
          <w:szCs w:val="21"/>
          <w:highlight w:val="none"/>
        </w:rPr>
        <w:t>第15条 违约</w:t>
      </w:r>
      <w:bookmarkEnd w:id="2917"/>
      <w:bookmarkEnd w:id="2918"/>
      <w:bookmarkEnd w:id="2919"/>
      <w:bookmarkEnd w:id="2920"/>
      <w:bookmarkEnd w:id="2921"/>
      <w:bookmarkEnd w:id="2922"/>
      <w:bookmarkEnd w:id="2923"/>
      <w:bookmarkEnd w:id="2924"/>
      <w:bookmarkEnd w:id="2925"/>
      <w:bookmarkEnd w:id="2926"/>
      <w:bookmarkEnd w:id="2927"/>
    </w:p>
    <w:p w14:paraId="5AB42303">
      <w:pPr>
        <w:ind w:firstLine="600"/>
        <w:rPr>
          <w:rFonts w:hint="eastAsia" w:ascii="宋体" w:hAnsi="宋体" w:cs="宋体"/>
          <w:color w:val="auto"/>
          <w:szCs w:val="21"/>
          <w:highlight w:val="none"/>
        </w:rPr>
      </w:pPr>
      <w:r>
        <w:rPr>
          <w:rFonts w:hint="eastAsia" w:ascii="宋体" w:hAnsi="宋体" w:cs="宋体"/>
          <w:color w:val="auto"/>
          <w:szCs w:val="21"/>
          <w:highlight w:val="none"/>
        </w:rPr>
        <w:t>15.1 发包人违约</w:t>
      </w:r>
    </w:p>
    <w:p w14:paraId="65EDB3E9">
      <w:pPr>
        <w:ind w:firstLine="600"/>
        <w:rPr>
          <w:rFonts w:hint="eastAsia" w:ascii="宋体" w:hAnsi="宋体" w:cs="宋体"/>
          <w:color w:val="auto"/>
          <w:szCs w:val="21"/>
          <w:highlight w:val="none"/>
        </w:rPr>
      </w:pPr>
      <w:r>
        <w:rPr>
          <w:rFonts w:hint="eastAsia" w:ascii="宋体" w:hAnsi="宋体" w:cs="宋体"/>
          <w:color w:val="auto"/>
          <w:szCs w:val="21"/>
          <w:highlight w:val="none"/>
        </w:rPr>
        <w:t>15.1.1 发包人违约的情形</w:t>
      </w:r>
    </w:p>
    <w:p w14:paraId="0233A644">
      <w:pPr>
        <w:ind w:firstLine="600"/>
        <w:rPr>
          <w:rFonts w:hint="eastAsia" w:ascii="宋体" w:hAnsi="宋体" w:cs="宋体"/>
          <w:color w:val="auto"/>
          <w:szCs w:val="21"/>
          <w:highlight w:val="none"/>
        </w:rPr>
      </w:pPr>
      <w:r>
        <w:rPr>
          <w:rFonts w:hint="eastAsia" w:ascii="宋体" w:hAnsi="宋体" w:cs="宋体"/>
          <w:color w:val="auto"/>
          <w:szCs w:val="21"/>
          <w:highlight w:val="none"/>
        </w:rPr>
        <w:t>发包人违约的其他情形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268294F">
      <w:pPr>
        <w:ind w:firstLine="600"/>
        <w:rPr>
          <w:rFonts w:hint="eastAsia" w:ascii="宋体" w:hAnsi="宋体" w:cs="宋体"/>
          <w:color w:val="auto"/>
          <w:szCs w:val="21"/>
          <w:highlight w:val="none"/>
        </w:rPr>
      </w:pPr>
      <w:r>
        <w:rPr>
          <w:rFonts w:hint="eastAsia" w:ascii="宋体" w:hAnsi="宋体" w:cs="宋体"/>
          <w:color w:val="auto"/>
          <w:szCs w:val="21"/>
          <w:highlight w:val="none"/>
        </w:rPr>
        <w:t>15.1.3 发包人违约的责任</w:t>
      </w:r>
    </w:p>
    <w:p w14:paraId="6E75C3F9">
      <w:pPr>
        <w:ind w:firstLine="600"/>
        <w:rPr>
          <w:rFonts w:hint="eastAsia" w:ascii="宋体" w:hAnsi="宋体" w:cs="宋体"/>
          <w:color w:val="auto"/>
          <w:szCs w:val="21"/>
          <w:highlight w:val="none"/>
        </w:rPr>
      </w:pPr>
      <w:r>
        <w:rPr>
          <w:rFonts w:hint="eastAsia" w:ascii="宋体" w:hAnsi="宋体" w:cs="宋体"/>
          <w:color w:val="auto"/>
          <w:szCs w:val="21"/>
          <w:highlight w:val="none"/>
        </w:rPr>
        <w:t>发包人违约责任的承担方式和计算方法：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453F7A4">
      <w:pPr>
        <w:ind w:firstLine="600"/>
        <w:rPr>
          <w:rFonts w:hint="eastAsia" w:ascii="宋体" w:hAnsi="宋体" w:cs="宋体"/>
          <w:color w:val="auto"/>
          <w:szCs w:val="21"/>
          <w:highlight w:val="none"/>
        </w:rPr>
      </w:pPr>
      <w:r>
        <w:rPr>
          <w:rFonts w:hint="eastAsia" w:ascii="宋体" w:hAnsi="宋体" w:cs="宋体"/>
          <w:color w:val="auto"/>
          <w:szCs w:val="21"/>
          <w:highlight w:val="none"/>
        </w:rPr>
        <w:t>15.2 承包人违约</w:t>
      </w:r>
    </w:p>
    <w:p w14:paraId="2B591C52">
      <w:pPr>
        <w:ind w:firstLine="600"/>
        <w:rPr>
          <w:rFonts w:hint="eastAsia" w:ascii="宋体" w:hAnsi="宋体" w:cs="宋体"/>
          <w:color w:val="auto"/>
          <w:szCs w:val="21"/>
          <w:highlight w:val="none"/>
        </w:rPr>
      </w:pPr>
      <w:r>
        <w:rPr>
          <w:rFonts w:hint="eastAsia" w:ascii="宋体" w:hAnsi="宋体" w:cs="宋体"/>
          <w:color w:val="auto"/>
          <w:szCs w:val="21"/>
          <w:highlight w:val="none"/>
        </w:rPr>
        <w:t>15.2.1 承包人违约的情形</w:t>
      </w:r>
    </w:p>
    <w:p w14:paraId="0BBCA332">
      <w:pPr>
        <w:ind w:firstLine="600"/>
        <w:rPr>
          <w:rFonts w:hint="eastAsia" w:ascii="宋体" w:hAnsi="宋体" w:cs="宋体"/>
          <w:color w:val="auto"/>
          <w:szCs w:val="21"/>
          <w:highlight w:val="none"/>
        </w:rPr>
      </w:pPr>
      <w:r>
        <w:rPr>
          <w:rFonts w:hint="eastAsia" w:ascii="宋体" w:hAnsi="宋体" w:cs="宋体"/>
          <w:color w:val="auto"/>
          <w:szCs w:val="21"/>
          <w:highlight w:val="none"/>
        </w:rPr>
        <w:t>承包人违约的其他情形：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690147A2">
      <w:pPr>
        <w:ind w:firstLine="600"/>
        <w:rPr>
          <w:rFonts w:hint="eastAsia" w:ascii="宋体" w:hAnsi="宋体" w:cs="宋体"/>
          <w:color w:val="auto"/>
          <w:szCs w:val="21"/>
          <w:highlight w:val="none"/>
        </w:rPr>
      </w:pPr>
      <w:r>
        <w:rPr>
          <w:rFonts w:hint="eastAsia" w:ascii="宋体" w:hAnsi="宋体" w:cs="宋体"/>
          <w:color w:val="auto"/>
          <w:szCs w:val="21"/>
          <w:highlight w:val="none"/>
        </w:rPr>
        <w:t>15.2.2 通知改正</w:t>
      </w:r>
    </w:p>
    <w:p w14:paraId="63114454">
      <w:pPr>
        <w:ind w:firstLine="600"/>
        <w:rPr>
          <w:rFonts w:hint="eastAsia" w:ascii="宋体" w:hAnsi="宋体" w:cs="宋体"/>
          <w:color w:val="auto"/>
          <w:szCs w:val="21"/>
          <w:highlight w:val="none"/>
        </w:rPr>
      </w:pPr>
      <w:r>
        <w:rPr>
          <w:rFonts w:hint="eastAsia" w:ascii="宋体" w:hAnsi="宋体" w:cs="宋体"/>
          <w:color w:val="auto"/>
          <w:szCs w:val="21"/>
          <w:highlight w:val="none"/>
        </w:rPr>
        <w:t>工程师通知承包人改正的合理期限是：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A188840">
      <w:pPr>
        <w:ind w:firstLine="600"/>
        <w:rPr>
          <w:rFonts w:hint="eastAsia" w:ascii="宋体" w:hAnsi="宋体" w:cs="宋体"/>
          <w:color w:val="auto"/>
          <w:szCs w:val="21"/>
          <w:highlight w:val="none"/>
        </w:rPr>
      </w:pPr>
      <w:r>
        <w:rPr>
          <w:rFonts w:hint="eastAsia" w:ascii="宋体" w:hAnsi="宋体" w:cs="宋体"/>
          <w:color w:val="auto"/>
          <w:szCs w:val="21"/>
          <w:highlight w:val="none"/>
        </w:rPr>
        <w:t>15.2.3 承包人违约的责任</w:t>
      </w:r>
    </w:p>
    <w:p w14:paraId="51CF136D">
      <w:pPr>
        <w:ind w:firstLine="600"/>
        <w:rPr>
          <w:rFonts w:hint="eastAsia" w:ascii="宋体" w:hAnsi="宋体" w:cs="宋体"/>
          <w:color w:val="auto"/>
          <w:szCs w:val="21"/>
          <w:highlight w:val="none"/>
        </w:rPr>
      </w:pPr>
      <w:r>
        <w:rPr>
          <w:rFonts w:hint="eastAsia" w:ascii="宋体" w:hAnsi="宋体" w:cs="宋体"/>
          <w:color w:val="auto"/>
          <w:szCs w:val="21"/>
          <w:highlight w:val="none"/>
        </w:rPr>
        <w:t>承包人违约责任的承担方式和计算方法：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AF58D76">
      <w:pPr>
        <w:pStyle w:val="91"/>
        <w:rPr>
          <w:rFonts w:hint="eastAsia" w:cs="宋体"/>
          <w:b w:val="0"/>
          <w:color w:val="auto"/>
          <w:sz w:val="21"/>
          <w:szCs w:val="21"/>
          <w:highlight w:val="none"/>
        </w:rPr>
      </w:pPr>
      <w:bookmarkStart w:id="2928" w:name="_Toc14265"/>
      <w:bookmarkStart w:id="2929" w:name="_Toc103175821"/>
      <w:bookmarkStart w:id="2930" w:name="_Toc12679"/>
      <w:bookmarkStart w:id="2931" w:name="_Toc11986"/>
      <w:bookmarkStart w:id="2932" w:name="_Toc12940"/>
      <w:bookmarkStart w:id="2933" w:name="_Toc8205"/>
      <w:bookmarkStart w:id="2934" w:name="_Toc29610"/>
      <w:bookmarkStart w:id="2935" w:name="_Toc11123"/>
      <w:bookmarkStart w:id="2936" w:name="_Toc26222"/>
      <w:bookmarkStart w:id="2937" w:name="_Toc27151"/>
      <w:r>
        <w:rPr>
          <w:rFonts w:hint="eastAsia" w:cs="宋体"/>
          <w:b w:val="0"/>
          <w:color w:val="auto"/>
          <w:sz w:val="21"/>
          <w:szCs w:val="21"/>
          <w:highlight w:val="none"/>
        </w:rPr>
        <w:t>第16条 合同解除</w:t>
      </w:r>
      <w:bookmarkEnd w:id="2928"/>
      <w:bookmarkEnd w:id="2929"/>
      <w:bookmarkEnd w:id="2930"/>
      <w:bookmarkEnd w:id="2931"/>
      <w:bookmarkEnd w:id="2932"/>
      <w:bookmarkEnd w:id="2933"/>
      <w:bookmarkEnd w:id="2934"/>
      <w:bookmarkEnd w:id="2935"/>
      <w:bookmarkEnd w:id="2936"/>
      <w:bookmarkEnd w:id="2937"/>
    </w:p>
    <w:p w14:paraId="2B959DD3">
      <w:pPr>
        <w:ind w:firstLine="600"/>
        <w:rPr>
          <w:rFonts w:hint="eastAsia" w:ascii="宋体" w:hAnsi="宋体" w:cs="宋体"/>
          <w:color w:val="auto"/>
          <w:szCs w:val="21"/>
          <w:highlight w:val="none"/>
        </w:rPr>
      </w:pPr>
      <w:r>
        <w:rPr>
          <w:rFonts w:hint="eastAsia" w:ascii="宋体" w:hAnsi="宋体" w:cs="宋体"/>
          <w:color w:val="auto"/>
          <w:szCs w:val="21"/>
          <w:highlight w:val="none"/>
        </w:rPr>
        <w:t>16.1 由发包人解除合同</w:t>
      </w:r>
    </w:p>
    <w:p w14:paraId="7EF2620E">
      <w:pPr>
        <w:ind w:firstLine="600"/>
        <w:rPr>
          <w:rFonts w:hint="eastAsia" w:ascii="宋体" w:hAnsi="宋体" w:cs="宋体"/>
          <w:color w:val="auto"/>
          <w:szCs w:val="21"/>
          <w:highlight w:val="none"/>
        </w:rPr>
      </w:pPr>
      <w:r>
        <w:rPr>
          <w:rFonts w:hint="eastAsia" w:ascii="宋体" w:hAnsi="宋体" w:cs="宋体"/>
          <w:color w:val="auto"/>
          <w:szCs w:val="21"/>
          <w:highlight w:val="none"/>
        </w:rPr>
        <w:t>16.1.1 因承包人违约解除合同</w:t>
      </w:r>
    </w:p>
    <w:p w14:paraId="634012D7">
      <w:pPr>
        <w:ind w:firstLine="600"/>
        <w:rPr>
          <w:rFonts w:hint="eastAsia" w:ascii="宋体" w:hAnsi="宋体" w:cs="宋体"/>
          <w:color w:val="auto"/>
          <w:szCs w:val="21"/>
          <w:highlight w:val="none"/>
        </w:rPr>
      </w:pPr>
      <w:r>
        <w:rPr>
          <w:rFonts w:hint="eastAsia" w:ascii="宋体" w:hAnsi="宋体" w:cs="宋体"/>
          <w:color w:val="auto"/>
          <w:szCs w:val="21"/>
          <w:highlight w:val="none"/>
        </w:rPr>
        <w:t>双方约定可由发包人解除合同的其他事由：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223CC7">
      <w:pPr>
        <w:ind w:firstLine="600"/>
        <w:rPr>
          <w:rFonts w:hint="eastAsia" w:ascii="宋体" w:hAnsi="宋体" w:cs="宋体"/>
          <w:color w:val="auto"/>
          <w:szCs w:val="21"/>
          <w:highlight w:val="none"/>
        </w:rPr>
      </w:pPr>
      <w:r>
        <w:rPr>
          <w:rFonts w:hint="eastAsia" w:ascii="宋体" w:hAnsi="宋体" w:cs="宋体"/>
          <w:color w:val="auto"/>
          <w:szCs w:val="21"/>
          <w:highlight w:val="none"/>
        </w:rPr>
        <w:t>16.2 由承包人解除合同</w:t>
      </w:r>
    </w:p>
    <w:p w14:paraId="7D12D67B">
      <w:pPr>
        <w:ind w:firstLine="600"/>
        <w:rPr>
          <w:rFonts w:hint="eastAsia" w:ascii="宋体" w:hAnsi="宋体" w:cs="宋体"/>
          <w:color w:val="auto"/>
          <w:szCs w:val="21"/>
          <w:highlight w:val="none"/>
        </w:rPr>
      </w:pPr>
      <w:r>
        <w:rPr>
          <w:rFonts w:hint="eastAsia" w:ascii="宋体" w:hAnsi="宋体" w:cs="宋体"/>
          <w:color w:val="auto"/>
          <w:szCs w:val="21"/>
          <w:highlight w:val="none"/>
        </w:rPr>
        <w:t>16.2.1 因发包人违约解除合同</w:t>
      </w:r>
    </w:p>
    <w:p w14:paraId="79C7BC57">
      <w:pPr>
        <w:ind w:firstLine="600"/>
        <w:rPr>
          <w:rFonts w:hint="eastAsia" w:ascii="宋体" w:hAnsi="宋体" w:cs="宋体"/>
          <w:color w:val="auto"/>
          <w:szCs w:val="21"/>
          <w:highlight w:val="none"/>
        </w:rPr>
      </w:pPr>
      <w:r>
        <w:rPr>
          <w:rFonts w:hint="eastAsia" w:ascii="宋体" w:hAnsi="宋体" w:cs="宋体"/>
          <w:color w:val="auto"/>
          <w:szCs w:val="21"/>
          <w:highlight w:val="none"/>
        </w:rPr>
        <w:t>双方约定可由承包人解除合同的其他事由：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C3B7C09">
      <w:pPr>
        <w:pStyle w:val="91"/>
        <w:rPr>
          <w:rFonts w:hint="eastAsia" w:cs="宋体"/>
          <w:b w:val="0"/>
          <w:color w:val="auto"/>
          <w:sz w:val="21"/>
          <w:szCs w:val="21"/>
          <w:highlight w:val="none"/>
        </w:rPr>
      </w:pPr>
      <w:bookmarkStart w:id="2938" w:name="_Toc19538"/>
      <w:bookmarkStart w:id="2939" w:name="_Toc8942"/>
      <w:bookmarkStart w:id="2940" w:name="_Toc21791"/>
      <w:bookmarkStart w:id="2941" w:name="_Toc31960"/>
      <w:bookmarkStart w:id="2942" w:name="_Toc21169"/>
      <w:bookmarkStart w:id="2943" w:name="_Toc11086"/>
      <w:bookmarkStart w:id="2944" w:name="_Toc27861"/>
      <w:bookmarkStart w:id="2945" w:name="_Toc103175822"/>
      <w:bookmarkStart w:id="2946" w:name="_Toc5242"/>
      <w:bookmarkStart w:id="2947" w:name="_Toc32203"/>
      <w:bookmarkStart w:id="2948" w:name="_Toc20660"/>
      <w:r>
        <w:rPr>
          <w:rFonts w:hint="eastAsia" w:cs="宋体"/>
          <w:b w:val="0"/>
          <w:color w:val="auto"/>
          <w:sz w:val="21"/>
          <w:szCs w:val="21"/>
          <w:highlight w:val="none"/>
        </w:rPr>
        <w:t>第17条 不可抗力</w:t>
      </w:r>
      <w:bookmarkEnd w:id="2938"/>
      <w:bookmarkEnd w:id="2939"/>
      <w:bookmarkEnd w:id="2940"/>
      <w:bookmarkEnd w:id="2941"/>
      <w:bookmarkEnd w:id="2942"/>
      <w:bookmarkEnd w:id="2943"/>
      <w:bookmarkEnd w:id="2944"/>
      <w:bookmarkEnd w:id="2945"/>
      <w:bookmarkEnd w:id="2946"/>
      <w:bookmarkEnd w:id="2947"/>
      <w:bookmarkEnd w:id="2948"/>
    </w:p>
    <w:p w14:paraId="048CB211">
      <w:pPr>
        <w:ind w:firstLine="600"/>
        <w:rPr>
          <w:rFonts w:hint="eastAsia" w:ascii="宋体" w:hAnsi="宋体" w:cs="宋体"/>
          <w:color w:val="auto"/>
          <w:szCs w:val="21"/>
          <w:highlight w:val="none"/>
        </w:rPr>
      </w:pPr>
      <w:r>
        <w:rPr>
          <w:rFonts w:hint="eastAsia" w:ascii="宋体" w:hAnsi="宋体" w:cs="宋体"/>
          <w:color w:val="auto"/>
          <w:szCs w:val="21"/>
          <w:highlight w:val="none"/>
        </w:rPr>
        <w:t>17.1 不可抗力的定义</w:t>
      </w:r>
    </w:p>
    <w:p w14:paraId="4D9079AD">
      <w:pPr>
        <w:ind w:firstLine="600"/>
        <w:rPr>
          <w:rFonts w:hint="eastAsia" w:ascii="宋体" w:hAnsi="宋体" w:cs="宋体"/>
          <w:color w:val="auto"/>
          <w:szCs w:val="21"/>
          <w:highlight w:val="none"/>
        </w:rPr>
      </w:pPr>
      <w:r>
        <w:rPr>
          <w:rFonts w:hint="eastAsia" w:ascii="宋体" w:hAnsi="宋体" w:cs="宋体"/>
          <w:color w:val="auto"/>
          <w:szCs w:val="21"/>
          <w:highlight w:val="none"/>
        </w:rPr>
        <w:t>除通用合同条件约定的不可抗力事件之外，视为不可抗力的其他情形：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448F902B">
      <w:pPr>
        <w:ind w:firstLine="600"/>
        <w:rPr>
          <w:rFonts w:hint="eastAsia" w:ascii="宋体" w:hAnsi="宋体" w:cs="宋体"/>
          <w:color w:val="auto"/>
          <w:szCs w:val="21"/>
          <w:highlight w:val="none"/>
        </w:rPr>
      </w:pPr>
      <w:r>
        <w:rPr>
          <w:rFonts w:hint="eastAsia" w:ascii="宋体" w:hAnsi="宋体" w:cs="宋体"/>
          <w:color w:val="auto"/>
          <w:szCs w:val="21"/>
          <w:highlight w:val="none"/>
        </w:rPr>
        <w:t>17.6 因不可抗力解除合同</w:t>
      </w:r>
    </w:p>
    <w:p w14:paraId="5A6B31C8">
      <w:pPr>
        <w:ind w:firstLine="600"/>
        <w:rPr>
          <w:rFonts w:hint="eastAsia" w:ascii="宋体" w:hAnsi="宋体" w:cs="宋体"/>
          <w:color w:val="auto"/>
          <w:szCs w:val="21"/>
          <w:highlight w:val="none"/>
        </w:rPr>
      </w:pPr>
      <w:r>
        <w:rPr>
          <w:rFonts w:hint="eastAsia" w:ascii="宋体" w:hAnsi="宋体" w:cs="宋体"/>
          <w:color w:val="auto"/>
          <w:szCs w:val="21"/>
          <w:highlight w:val="none"/>
        </w:rPr>
        <w:t>合同解除后，发包人应当在商定或确定发包人应支付款项后的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天内完成款项的支付。</w:t>
      </w:r>
    </w:p>
    <w:p w14:paraId="40AA7F01">
      <w:pPr>
        <w:pStyle w:val="91"/>
        <w:rPr>
          <w:rFonts w:hint="eastAsia" w:cs="宋体"/>
          <w:b w:val="0"/>
          <w:color w:val="auto"/>
          <w:sz w:val="21"/>
          <w:szCs w:val="21"/>
          <w:highlight w:val="none"/>
        </w:rPr>
      </w:pPr>
      <w:bookmarkStart w:id="2949" w:name="_Toc4784277"/>
      <w:bookmarkEnd w:id="2949"/>
      <w:bookmarkStart w:id="2950" w:name="_Toc4784276"/>
      <w:bookmarkEnd w:id="2950"/>
      <w:bookmarkStart w:id="2951" w:name="_Toc3890"/>
      <w:bookmarkStart w:id="2952" w:name="_Toc4603"/>
      <w:bookmarkStart w:id="2953" w:name="_Toc4784"/>
      <w:bookmarkStart w:id="2954" w:name="_Toc24286"/>
      <w:bookmarkStart w:id="2955" w:name="_Toc30835"/>
      <w:bookmarkStart w:id="2956" w:name="_Toc26865"/>
      <w:bookmarkStart w:id="2957" w:name="_Toc30865"/>
      <w:bookmarkStart w:id="2958" w:name="_Toc5583"/>
      <w:bookmarkStart w:id="2959" w:name="_Toc14248"/>
      <w:bookmarkStart w:id="2960" w:name="_Toc19066"/>
      <w:bookmarkStart w:id="2961" w:name="_Toc103175823"/>
      <w:r>
        <w:rPr>
          <w:rFonts w:hint="eastAsia" w:cs="宋体"/>
          <w:b w:val="0"/>
          <w:color w:val="auto"/>
          <w:sz w:val="21"/>
          <w:szCs w:val="21"/>
          <w:highlight w:val="none"/>
        </w:rPr>
        <w:t>第18条 保险</w:t>
      </w:r>
      <w:bookmarkEnd w:id="2951"/>
      <w:bookmarkEnd w:id="2952"/>
      <w:bookmarkEnd w:id="2953"/>
      <w:bookmarkEnd w:id="2954"/>
      <w:bookmarkEnd w:id="2955"/>
      <w:bookmarkEnd w:id="2956"/>
      <w:bookmarkEnd w:id="2957"/>
      <w:bookmarkEnd w:id="2958"/>
      <w:bookmarkEnd w:id="2959"/>
      <w:bookmarkEnd w:id="2960"/>
      <w:bookmarkEnd w:id="2961"/>
    </w:p>
    <w:p w14:paraId="6C8FFC27">
      <w:pPr>
        <w:ind w:firstLine="600"/>
        <w:rPr>
          <w:rFonts w:hint="eastAsia" w:ascii="宋体" w:hAnsi="宋体" w:cs="宋体"/>
          <w:color w:val="auto"/>
          <w:szCs w:val="21"/>
          <w:highlight w:val="none"/>
        </w:rPr>
      </w:pPr>
      <w:r>
        <w:rPr>
          <w:rFonts w:hint="eastAsia" w:ascii="宋体" w:hAnsi="宋体" w:cs="宋体"/>
          <w:color w:val="auto"/>
          <w:szCs w:val="21"/>
          <w:highlight w:val="none"/>
        </w:rPr>
        <w:t>18.1 设计和工程保险</w:t>
      </w:r>
    </w:p>
    <w:p w14:paraId="1645D861">
      <w:pPr>
        <w:ind w:firstLine="600"/>
        <w:rPr>
          <w:rFonts w:hint="eastAsia" w:ascii="宋体" w:hAnsi="宋体" w:cs="宋体"/>
          <w:color w:val="auto"/>
          <w:szCs w:val="21"/>
          <w:highlight w:val="none"/>
        </w:rPr>
      </w:pPr>
      <w:r>
        <w:rPr>
          <w:rFonts w:hint="eastAsia" w:ascii="宋体" w:hAnsi="宋体" w:cs="宋体"/>
          <w:color w:val="auto"/>
          <w:szCs w:val="21"/>
          <w:highlight w:val="none"/>
        </w:rPr>
        <w:t>18.1.1 双方当事人关于设计和工程保险的特别约定：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A868A0B">
      <w:pPr>
        <w:ind w:firstLine="600"/>
        <w:rPr>
          <w:rFonts w:hint="eastAsia" w:ascii="宋体" w:hAnsi="宋体" w:cs="宋体"/>
          <w:color w:val="auto"/>
          <w:szCs w:val="21"/>
          <w:highlight w:val="none"/>
        </w:rPr>
      </w:pPr>
      <w:r>
        <w:rPr>
          <w:rFonts w:hint="eastAsia" w:ascii="宋体" w:hAnsi="宋体" w:cs="宋体"/>
          <w:color w:val="auto"/>
          <w:szCs w:val="21"/>
          <w:highlight w:val="none"/>
        </w:rPr>
        <w:t>18.1.2 双方当事人关于第三方责任险的特别约定：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43BDCE">
      <w:pPr>
        <w:ind w:firstLine="600"/>
        <w:rPr>
          <w:rFonts w:hint="eastAsia" w:ascii="宋体" w:hAnsi="宋体" w:cs="宋体"/>
          <w:color w:val="auto"/>
          <w:szCs w:val="21"/>
          <w:highlight w:val="none"/>
        </w:rPr>
      </w:pPr>
      <w:r>
        <w:rPr>
          <w:rFonts w:hint="eastAsia" w:ascii="宋体" w:hAnsi="宋体" w:cs="宋体"/>
          <w:color w:val="auto"/>
          <w:szCs w:val="21"/>
          <w:highlight w:val="none"/>
        </w:rPr>
        <w:t>18.2 工伤和意外伤害保险</w:t>
      </w:r>
    </w:p>
    <w:p w14:paraId="6DB32612">
      <w:pPr>
        <w:ind w:firstLine="600"/>
        <w:rPr>
          <w:rFonts w:hint="eastAsia" w:ascii="宋体" w:hAnsi="宋体" w:cs="宋体"/>
          <w:color w:val="auto"/>
          <w:szCs w:val="21"/>
          <w:highlight w:val="none"/>
        </w:rPr>
      </w:pPr>
      <w:r>
        <w:rPr>
          <w:rFonts w:hint="eastAsia" w:ascii="宋体" w:hAnsi="宋体" w:cs="宋体"/>
          <w:color w:val="auto"/>
          <w:szCs w:val="21"/>
          <w:highlight w:val="none"/>
        </w:rPr>
        <w:t>18.2.3 关于工伤保险和意外伤害保险的特别约定：</w:t>
      </w:r>
      <w:r>
        <w:rPr>
          <w:rFonts w:hint="eastAsia" w:ascii="宋体" w:hAnsi="宋体" w:cs="宋体"/>
          <w:color w:val="auto"/>
          <w:szCs w:val="21"/>
          <w:highlight w:val="none"/>
          <w:u w:val="single"/>
        </w:rPr>
        <w:t>由承包人自行办理并承担相关费用</w:t>
      </w:r>
      <w:r>
        <w:rPr>
          <w:rFonts w:hint="eastAsia" w:ascii="宋体" w:hAnsi="宋体" w:cs="宋体"/>
          <w:color w:val="auto"/>
          <w:szCs w:val="21"/>
          <w:highlight w:val="none"/>
        </w:rPr>
        <w:t>。</w:t>
      </w:r>
    </w:p>
    <w:p w14:paraId="15FF2E33">
      <w:pPr>
        <w:ind w:firstLine="600"/>
        <w:rPr>
          <w:rFonts w:hint="eastAsia" w:ascii="宋体" w:hAnsi="宋体" w:cs="宋体"/>
          <w:color w:val="auto"/>
          <w:szCs w:val="21"/>
          <w:highlight w:val="none"/>
        </w:rPr>
      </w:pPr>
      <w:r>
        <w:rPr>
          <w:rFonts w:hint="eastAsia" w:ascii="宋体" w:hAnsi="宋体" w:cs="宋体"/>
          <w:color w:val="auto"/>
          <w:szCs w:val="21"/>
          <w:highlight w:val="none"/>
        </w:rPr>
        <w:t>18.3 货物保险</w:t>
      </w:r>
    </w:p>
    <w:p w14:paraId="0008F15F">
      <w:pPr>
        <w:ind w:firstLine="600"/>
        <w:rPr>
          <w:rFonts w:hint="eastAsia" w:ascii="宋体" w:hAnsi="宋体" w:cs="宋体"/>
          <w:color w:val="auto"/>
          <w:szCs w:val="21"/>
          <w:highlight w:val="none"/>
        </w:rPr>
      </w:pPr>
      <w:r>
        <w:rPr>
          <w:rFonts w:hint="eastAsia" w:ascii="宋体" w:hAnsi="宋体" w:cs="宋体"/>
          <w:color w:val="auto"/>
          <w:szCs w:val="21"/>
          <w:highlight w:val="none"/>
        </w:rPr>
        <w:t>关于承包人应为其施工设备、材料、工程设备和临时工程等办理财产保险的特别约定：</w:t>
      </w:r>
      <w:r>
        <w:rPr>
          <w:rFonts w:hint="eastAsia" w:ascii="宋体" w:hAnsi="宋体" w:cs="宋体"/>
          <w:color w:val="auto"/>
          <w:szCs w:val="21"/>
          <w:highlight w:val="none"/>
          <w:u w:val="single"/>
          <w:lang w:eastAsia="zh-CN"/>
        </w:rPr>
        <w:t>执行通用条件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DD78937">
      <w:pPr>
        <w:ind w:firstLine="600"/>
        <w:rPr>
          <w:rFonts w:hint="eastAsia" w:ascii="宋体" w:hAnsi="宋体" w:cs="宋体"/>
          <w:color w:val="auto"/>
          <w:szCs w:val="21"/>
          <w:highlight w:val="none"/>
        </w:rPr>
      </w:pPr>
      <w:r>
        <w:rPr>
          <w:rFonts w:hint="eastAsia" w:ascii="宋体" w:hAnsi="宋体" w:cs="宋体"/>
          <w:color w:val="auto"/>
          <w:szCs w:val="21"/>
          <w:highlight w:val="none"/>
        </w:rPr>
        <w:t>18.4 其他保险</w:t>
      </w:r>
    </w:p>
    <w:p w14:paraId="15C5E4D6">
      <w:pPr>
        <w:ind w:firstLine="600"/>
        <w:rPr>
          <w:rFonts w:hint="eastAsia" w:ascii="宋体" w:hAnsi="宋体" w:cs="宋体"/>
          <w:color w:val="auto"/>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B34F62">
      <w:pPr>
        <w:ind w:firstLine="600"/>
        <w:rPr>
          <w:rFonts w:hint="eastAsia" w:ascii="宋体" w:hAnsi="宋体" w:cs="宋体"/>
          <w:color w:val="auto"/>
          <w:szCs w:val="21"/>
          <w:highlight w:val="none"/>
        </w:rPr>
      </w:pPr>
      <w:r>
        <w:rPr>
          <w:rFonts w:hint="eastAsia" w:ascii="宋体" w:hAnsi="宋体" w:cs="宋体"/>
          <w:color w:val="auto"/>
          <w:szCs w:val="21"/>
          <w:highlight w:val="none"/>
        </w:rPr>
        <w:t>18.5 对各项保险的一般要求</w:t>
      </w:r>
    </w:p>
    <w:p w14:paraId="7D7145F3">
      <w:pPr>
        <w:ind w:firstLine="600"/>
        <w:rPr>
          <w:rFonts w:hint="eastAsia" w:ascii="宋体" w:hAnsi="宋体" w:cs="宋体"/>
          <w:color w:val="auto"/>
          <w:szCs w:val="21"/>
          <w:highlight w:val="none"/>
        </w:rPr>
      </w:pPr>
      <w:r>
        <w:rPr>
          <w:rFonts w:hint="eastAsia" w:ascii="宋体" w:hAnsi="宋体" w:cs="宋体"/>
          <w:color w:val="auto"/>
          <w:szCs w:val="21"/>
          <w:highlight w:val="none"/>
        </w:rPr>
        <w:t>18.5.2 保险凭证</w:t>
      </w:r>
    </w:p>
    <w:p w14:paraId="2658862F">
      <w:pPr>
        <w:ind w:firstLine="600"/>
        <w:rPr>
          <w:rFonts w:hint="eastAsia" w:ascii="宋体" w:hAnsi="宋体" w:cs="宋体"/>
          <w:color w:val="auto"/>
          <w:szCs w:val="21"/>
          <w:highlight w:val="none"/>
        </w:rPr>
      </w:pPr>
      <w:r>
        <w:rPr>
          <w:rFonts w:hint="eastAsia" w:ascii="宋体" w:hAnsi="宋体" w:cs="宋体"/>
          <w:color w:val="auto"/>
          <w:szCs w:val="21"/>
          <w:highlight w:val="none"/>
        </w:rPr>
        <w:t>保险单的条件：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192DF8D">
      <w:pPr>
        <w:ind w:firstLine="600"/>
        <w:rPr>
          <w:rFonts w:hint="eastAsia" w:ascii="宋体" w:hAnsi="宋体" w:cs="宋体"/>
          <w:color w:val="auto"/>
          <w:szCs w:val="21"/>
          <w:highlight w:val="none"/>
        </w:rPr>
      </w:pPr>
      <w:r>
        <w:rPr>
          <w:rFonts w:hint="eastAsia" w:ascii="宋体" w:hAnsi="宋体" w:cs="宋体"/>
          <w:color w:val="auto"/>
          <w:szCs w:val="21"/>
          <w:highlight w:val="none"/>
        </w:rPr>
        <w:t>18.5.4 通知义务</w:t>
      </w:r>
    </w:p>
    <w:p w14:paraId="7712CCCD">
      <w:pPr>
        <w:ind w:firstLine="600"/>
        <w:rPr>
          <w:rFonts w:hint="eastAsia" w:ascii="宋体" w:hAnsi="宋体" w:cs="宋体"/>
          <w:color w:val="auto"/>
          <w:szCs w:val="21"/>
          <w:highlight w:val="none"/>
        </w:rPr>
      </w:pPr>
      <w:r>
        <w:rPr>
          <w:rFonts w:hint="eastAsia" w:ascii="宋体" w:hAnsi="宋体" w:cs="宋体"/>
          <w:color w:val="auto"/>
          <w:szCs w:val="21"/>
          <w:highlight w:val="none"/>
        </w:rPr>
        <w:t>关于变更保险合同时的通知义务的约定：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D821DD7">
      <w:pPr>
        <w:pStyle w:val="91"/>
        <w:rPr>
          <w:rFonts w:hint="eastAsia" w:cs="宋体"/>
          <w:b w:val="0"/>
          <w:color w:val="auto"/>
          <w:sz w:val="21"/>
          <w:szCs w:val="21"/>
          <w:highlight w:val="none"/>
        </w:rPr>
      </w:pPr>
      <w:bookmarkStart w:id="2962" w:name="_Toc9129"/>
      <w:bookmarkStart w:id="2963" w:name="_Toc12150"/>
      <w:bookmarkStart w:id="2964" w:name="_Toc19028"/>
      <w:bookmarkStart w:id="2965" w:name="_Toc22276"/>
      <w:bookmarkStart w:id="2966" w:name="_Toc32654"/>
      <w:bookmarkStart w:id="2967" w:name="_Toc8991"/>
      <w:bookmarkStart w:id="2968" w:name="_Toc9931"/>
      <w:bookmarkStart w:id="2969" w:name="_Toc103175824"/>
      <w:bookmarkStart w:id="2970" w:name="_Toc29892"/>
      <w:bookmarkStart w:id="2971" w:name="_Toc21050"/>
      <w:bookmarkStart w:id="2972" w:name="_Toc30291"/>
      <w:r>
        <w:rPr>
          <w:rFonts w:hint="eastAsia" w:cs="宋体"/>
          <w:b w:val="0"/>
          <w:color w:val="auto"/>
          <w:sz w:val="21"/>
          <w:szCs w:val="21"/>
          <w:highlight w:val="none"/>
        </w:rPr>
        <w:t>第20条 争议解决</w:t>
      </w:r>
      <w:bookmarkEnd w:id="2962"/>
      <w:bookmarkEnd w:id="2963"/>
      <w:bookmarkEnd w:id="2964"/>
      <w:bookmarkEnd w:id="2965"/>
      <w:bookmarkEnd w:id="2966"/>
      <w:bookmarkEnd w:id="2967"/>
      <w:bookmarkEnd w:id="2968"/>
      <w:bookmarkEnd w:id="2969"/>
      <w:bookmarkEnd w:id="2970"/>
      <w:bookmarkEnd w:id="2971"/>
      <w:bookmarkEnd w:id="2972"/>
    </w:p>
    <w:p w14:paraId="03E979D8">
      <w:pPr>
        <w:ind w:firstLine="600"/>
        <w:rPr>
          <w:rFonts w:hint="eastAsia" w:ascii="宋体" w:hAnsi="宋体" w:cs="宋体"/>
          <w:color w:val="auto"/>
          <w:szCs w:val="21"/>
          <w:highlight w:val="none"/>
        </w:rPr>
      </w:pPr>
      <w:r>
        <w:rPr>
          <w:rFonts w:hint="eastAsia" w:ascii="宋体" w:hAnsi="宋体" w:cs="宋体"/>
          <w:color w:val="auto"/>
          <w:szCs w:val="21"/>
          <w:highlight w:val="none"/>
        </w:rPr>
        <w:t>20.3 争议评审  不采用</w:t>
      </w:r>
    </w:p>
    <w:p w14:paraId="0125B7A7">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合同当事人是否同意将工程争议提交争议评审小组决定：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A1A8BCB">
      <w:pPr>
        <w:ind w:firstLine="600"/>
        <w:rPr>
          <w:rFonts w:hint="eastAsia" w:ascii="宋体" w:hAnsi="宋体" w:cs="宋体"/>
          <w:color w:val="auto"/>
          <w:szCs w:val="21"/>
          <w:highlight w:val="none"/>
        </w:rPr>
      </w:pPr>
      <w:r>
        <w:rPr>
          <w:rFonts w:hint="eastAsia" w:ascii="宋体" w:hAnsi="宋体" w:cs="宋体"/>
          <w:color w:val="auto"/>
          <w:szCs w:val="21"/>
          <w:highlight w:val="none"/>
        </w:rPr>
        <w:t>20.3.1 争议评审小组的确定</w:t>
      </w:r>
    </w:p>
    <w:p w14:paraId="343CCBEF">
      <w:pPr>
        <w:ind w:firstLine="600"/>
        <w:rPr>
          <w:rFonts w:hint="eastAsia" w:ascii="宋体" w:hAnsi="宋体" w:cs="宋体"/>
          <w:color w:val="auto"/>
          <w:szCs w:val="21"/>
          <w:highlight w:val="none"/>
        </w:rPr>
      </w:pPr>
      <w:r>
        <w:rPr>
          <w:rFonts w:hint="eastAsia" w:ascii="宋体" w:hAnsi="宋体" w:cs="宋体"/>
          <w:color w:val="auto"/>
          <w:szCs w:val="21"/>
          <w:highlight w:val="none"/>
        </w:rPr>
        <w:t>争议评审小组成员的人数：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F95F8D0">
      <w:pPr>
        <w:ind w:firstLine="600"/>
        <w:rPr>
          <w:rFonts w:hint="eastAsia" w:ascii="宋体" w:hAnsi="宋体" w:cs="宋体"/>
          <w:color w:val="auto"/>
          <w:szCs w:val="21"/>
          <w:highlight w:val="non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2419176">
      <w:pPr>
        <w:ind w:firstLine="600"/>
        <w:rPr>
          <w:rFonts w:hint="eastAsia" w:ascii="宋体" w:hAnsi="宋体" w:cs="宋体"/>
          <w:color w:val="auto"/>
          <w:szCs w:val="21"/>
          <w:highlight w:val="none"/>
        </w:rPr>
      </w:pPr>
      <w:r>
        <w:rPr>
          <w:rFonts w:hint="eastAsia" w:ascii="宋体" w:hAnsi="宋体" w:cs="宋体"/>
          <w:color w:val="auto"/>
          <w:szCs w:val="21"/>
          <w:highlight w:val="none"/>
        </w:rPr>
        <w:t>选定争议避免/评审组的期限：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04259D">
      <w:pPr>
        <w:ind w:firstLine="600"/>
        <w:rPr>
          <w:rFonts w:hint="eastAsia" w:ascii="宋体" w:hAnsi="宋体" w:cs="宋体"/>
          <w:color w:val="auto"/>
          <w:szCs w:val="21"/>
          <w:highlight w:val="none"/>
        </w:rPr>
      </w:pPr>
      <w:r>
        <w:rPr>
          <w:rFonts w:hint="eastAsia" w:ascii="宋体" w:hAnsi="宋体" w:cs="宋体"/>
          <w:color w:val="auto"/>
          <w:szCs w:val="21"/>
          <w:highlight w:val="none"/>
        </w:rPr>
        <w:t>评审机构：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3B69053">
      <w:pPr>
        <w:ind w:firstLine="600"/>
        <w:rPr>
          <w:rFonts w:hint="eastAsia"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B9EBE79">
      <w:pPr>
        <w:ind w:firstLine="600"/>
        <w:rPr>
          <w:rFonts w:hint="eastAsia" w:ascii="宋体" w:hAnsi="宋体" w:cs="宋体"/>
          <w:color w:val="auto"/>
          <w:szCs w:val="21"/>
          <w:highlight w:val="none"/>
        </w:rPr>
      </w:pPr>
      <w:r>
        <w:rPr>
          <w:rFonts w:hint="eastAsia" w:ascii="宋体" w:hAnsi="宋体" w:cs="宋体"/>
          <w:color w:val="auto"/>
          <w:szCs w:val="21"/>
          <w:highlight w:val="none"/>
        </w:rPr>
        <w:t>争议评审员报酬的承担人：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B495FD0">
      <w:pPr>
        <w:ind w:firstLine="600"/>
        <w:rPr>
          <w:rFonts w:hint="eastAsia" w:ascii="宋体" w:hAnsi="宋体" w:cs="宋体"/>
          <w:color w:val="auto"/>
          <w:szCs w:val="21"/>
          <w:highlight w:val="none"/>
        </w:rPr>
      </w:pPr>
      <w:r>
        <w:rPr>
          <w:rFonts w:hint="eastAsia" w:ascii="宋体" w:hAnsi="宋体" w:cs="宋体"/>
          <w:color w:val="auto"/>
          <w:szCs w:val="21"/>
          <w:highlight w:val="none"/>
        </w:rPr>
        <w:t>20.3.2 争议的避免</w:t>
      </w:r>
    </w:p>
    <w:p w14:paraId="48784248">
      <w:pPr>
        <w:ind w:firstLine="600"/>
        <w:rPr>
          <w:rFonts w:hint="eastAsia" w:ascii="宋体" w:hAnsi="宋体" w:cs="宋体"/>
          <w:color w:val="auto"/>
          <w:szCs w:val="21"/>
          <w:highlight w:val="none"/>
        </w:rPr>
      </w:pPr>
      <w:r>
        <w:rPr>
          <w:rFonts w:hint="eastAsia" w:ascii="宋体" w:hAnsi="宋体" w:cs="宋体"/>
          <w:color w:val="auto"/>
          <w:szCs w:val="21"/>
          <w:highlight w:val="none"/>
        </w:rPr>
        <w:t>发包人和承包人是否均出席争议避免的非正式讨论：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w:t>
      </w:r>
      <w:r>
        <w:rPr>
          <w:rFonts w:hint="eastAsia" w:ascii="宋体" w:hAnsi="宋体" w:cs="宋体"/>
          <w:color w:val="auto"/>
          <w:szCs w:val="21"/>
          <w:highlight w:val="none"/>
          <w:u w:val="single"/>
          <w:lang w:val="en-US" w:eastAsia="zh-CN"/>
        </w:rPr>
        <w:t>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E77284D">
      <w:pPr>
        <w:ind w:firstLine="600"/>
        <w:rPr>
          <w:rFonts w:hint="eastAsia" w:ascii="宋体" w:hAnsi="宋体" w:cs="宋体"/>
          <w:color w:val="auto"/>
          <w:szCs w:val="21"/>
          <w:highlight w:val="none"/>
        </w:rPr>
      </w:pPr>
      <w:r>
        <w:rPr>
          <w:rFonts w:hint="eastAsia" w:ascii="宋体" w:hAnsi="宋体" w:cs="宋体"/>
          <w:color w:val="auto"/>
          <w:szCs w:val="21"/>
          <w:highlight w:val="none"/>
        </w:rPr>
        <w:t>20.3.3 争议评审小组的决定</w:t>
      </w:r>
    </w:p>
    <w:p w14:paraId="0060AFFC">
      <w:pPr>
        <w:ind w:firstLine="600"/>
        <w:rPr>
          <w:rFonts w:hint="eastAsia" w:ascii="宋体" w:hAnsi="宋体" w:cs="宋体"/>
          <w:color w:val="auto"/>
          <w:szCs w:val="21"/>
          <w:highlight w:val="none"/>
        </w:rPr>
      </w:pPr>
      <w:r>
        <w:rPr>
          <w:rFonts w:hint="eastAsia" w:ascii="宋体" w:hAnsi="宋体" w:cs="宋体"/>
          <w:color w:val="auto"/>
          <w:szCs w:val="21"/>
          <w:highlight w:val="none"/>
        </w:rPr>
        <w:t>关于争议评审小组的决定的特别约定：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08E136CD">
      <w:pPr>
        <w:ind w:firstLine="600"/>
        <w:rPr>
          <w:rFonts w:hint="eastAsia" w:ascii="宋体" w:hAnsi="宋体" w:cs="宋体"/>
          <w:color w:val="auto"/>
          <w:szCs w:val="21"/>
          <w:highlight w:val="none"/>
        </w:rPr>
      </w:pPr>
      <w:r>
        <w:rPr>
          <w:rFonts w:hint="eastAsia" w:ascii="宋体" w:hAnsi="宋体" w:cs="宋体"/>
          <w:color w:val="auto"/>
          <w:szCs w:val="21"/>
          <w:highlight w:val="none"/>
        </w:rPr>
        <w:t>20.4 仲裁或诉讼</w:t>
      </w:r>
    </w:p>
    <w:p w14:paraId="347404C5">
      <w:pPr>
        <w:ind w:firstLine="6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0D23CF49">
      <w:pPr>
        <w:ind w:firstLine="600"/>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14:paraId="75E98594">
      <w:pPr>
        <w:ind w:firstLine="600"/>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项目所在地      </w:t>
      </w:r>
      <w:r>
        <w:rPr>
          <w:rFonts w:hint="eastAsia" w:ascii="宋体" w:hAnsi="宋体" w:cs="宋体"/>
          <w:color w:val="auto"/>
          <w:szCs w:val="21"/>
          <w:highlight w:val="none"/>
        </w:rPr>
        <w:t>人民法院起诉。</w:t>
      </w:r>
    </w:p>
    <w:p w14:paraId="0EBB5373">
      <w:pPr>
        <w:ind w:firstLine="600"/>
        <w:rPr>
          <w:rFonts w:hint="eastAsia" w:ascii="宋体" w:hAnsi="宋体" w:cs="宋体"/>
          <w:color w:val="auto"/>
          <w:szCs w:val="21"/>
          <w:highlight w:val="none"/>
        </w:rPr>
      </w:pPr>
    </w:p>
    <w:p w14:paraId="5589E798">
      <w:pPr>
        <w:pStyle w:val="37"/>
        <w:numPr>
          <w:ilvl w:val="0"/>
          <w:numId w:val="14"/>
        </w:numPr>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补充条款：</w:t>
      </w:r>
    </w:p>
    <w:p w14:paraId="550383D7">
      <w:pPr>
        <w:ind w:firstLine="600"/>
        <w:rPr>
          <w:rFonts w:hint="eastAsia" w:ascii="Times New Roman" w:hAnsi="Times New Roman" w:eastAsia="宋体" w:cs="Times New Roman"/>
          <w:snapToGrid w:val="0"/>
          <w:color w:val="auto"/>
          <w:kern w:val="0"/>
          <w:szCs w:val="21"/>
          <w:highlight w:val="none"/>
        </w:rPr>
      </w:pPr>
      <w:r>
        <w:rPr>
          <w:rFonts w:hint="eastAsia" w:ascii="Times New Roman" w:hAnsi="Times New Roman" w:eastAsia="宋体" w:cs="Times New Roman"/>
          <w:snapToGrid w:val="0"/>
          <w:color w:val="auto"/>
          <w:kern w:val="0"/>
          <w:szCs w:val="21"/>
          <w:highlight w:val="none"/>
        </w:rPr>
        <w:t>21.1发包人承担工程造价咨询、施工图纸审查、工程材料试验、竣工财务决算、防雷检测和消防第三方检测、工程档案整理费等费用。承包人承担工程竣工验收费用。</w:t>
      </w:r>
    </w:p>
    <w:bookmarkEnd w:id="2758"/>
    <w:bookmarkEnd w:id="2759"/>
    <w:bookmarkEnd w:id="2760"/>
    <w:bookmarkEnd w:id="2761"/>
    <w:bookmarkEnd w:id="2762"/>
    <w:p w14:paraId="7D967D53">
      <w:pPr>
        <w:ind w:firstLine="600"/>
        <w:rPr>
          <w:rFonts w:hint="eastAsia" w:ascii="Times New Roman" w:hAnsi="Times New Roman" w:eastAsia="宋体" w:cs="Times New Roman"/>
          <w:snapToGrid w:val="0"/>
          <w:color w:val="auto"/>
          <w:kern w:val="0"/>
          <w:szCs w:val="21"/>
          <w:highlight w:val="none"/>
        </w:rPr>
      </w:pPr>
      <w:r>
        <w:rPr>
          <w:rFonts w:hint="eastAsia" w:ascii="Times New Roman" w:hAnsi="Times New Roman" w:eastAsia="宋体" w:cs="Times New Roman"/>
          <w:snapToGrid w:val="0"/>
          <w:color w:val="auto"/>
          <w:kern w:val="0"/>
          <w:szCs w:val="21"/>
          <w:highlight w:val="none"/>
        </w:rPr>
        <w:t>21.2设计应参照发包人提供的同档次品牌材料设备进行设计。</w:t>
      </w:r>
    </w:p>
    <w:p w14:paraId="3090E0EF">
      <w:pPr>
        <w:ind w:firstLine="600"/>
        <w:rPr>
          <w:rFonts w:hint="eastAsia" w:ascii="Times New Roman" w:hAnsi="Times New Roman" w:eastAsia="宋体" w:cs="Times New Roman"/>
          <w:snapToGrid w:val="0"/>
          <w:color w:val="auto"/>
          <w:kern w:val="0"/>
          <w:szCs w:val="21"/>
          <w:highlight w:val="none"/>
          <w:lang w:eastAsia="zh-CN"/>
        </w:rPr>
      </w:pPr>
      <w:r>
        <w:rPr>
          <w:rFonts w:hint="eastAsia" w:ascii="Times New Roman" w:hAnsi="Times New Roman" w:eastAsia="宋体" w:cs="Times New Roman"/>
          <w:snapToGrid w:val="0"/>
          <w:color w:val="auto"/>
          <w:kern w:val="0"/>
          <w:szCs w:val="21"/>
          <w:highlight w:val="none"/>
        </w:rPr>
        <w:t>承包人应参考选择发包人提供的同档次品牌材料设备，符合相关技术、标准、规范指引要求</w:t>
      </w:r>
      <w:r>
        <w:rPr>
          <w:rFonts w:hint="eastAsia" w:ascii="Times New Roman" w:hAnsi="Times New Roman" w:eastAsia="宋体" w:cs="Times New Roman"/>
          <w:snapToGrid w:val="0"/>
          <w:color w:val="auto"/>
          <w:kern w:val="0"/>
          <w:szCs w:val="21"/>
          <w:highlight w:val="none"/>
          <w:lang w:eastAsia="zh-CN"/>
        </w:rPr>
        <w:t>。</w:t>
      </w:r>
    </w:p>
    <w:p w14:paraId="6383ACB3">
      <w:pPr>
        <w:ind w:firstLine="600"/>
        <w:rPr>
          <w:rFonts w:hint="eastAsia" w:ascii="Times New Roman" w:hAnsi="Times New Roman" w:eastAsia="宋体" w:cs="Times New Roman"/>
          <w:snapToGrid w:val="0"/>
          <w:color w:val="auto"/>
          <w:kern w:val="0"/>
          <w:sz w:val="21"/>
          <w:szCs w:val="21"/>
          <w:highlight w:val="none"/>
        </w:rPr>
      </w:pPr>
      <w:bookmarkStart w:id="2973" w:name="_Toc18144"/>
      <w:bookmarkStart w:id="2974" w:name="_Toc5171"/>
      <w:bookmarkStart w:id="2975" w:name="_Toc103175825"/>
    </w:p>
    <w:p w14:paraId="21DC5A2A">
      <w:pPr>
        <w:pStyle w:val="83"/>
        <w:keepNext w:val="0"/>
        <w:keepLines w:val="0"/>
        <w:widowControl/>
        <w:adjustRightInd w:val="0"/>
        <w:snapToGrid w:val="0"/>
        <w:spacing w:before="0" w:after="50" w:line="360" w:lineRule="auto"/>
        <w:ind w:firstLine="151" w:firstLineChars="50"/>
        <w:rPr>
          <w:rFonts w:ascii="黑体" w:hAnsi="黑体" w:eastAsia="黑体"/>
          <w:color w:val="auto"/>
          <w:sz w:val="28"/>
          <w:szCs w:val="28"/>
          <w:highlight w:val="none"/>
        </w:rPr>
      </w:pPr>
      <w:r>
        <w:rPr>
          <w:rFonts w:hint="eastAsia" w:ascii="黑体" w:hAnsi="黑体" w:eastAsia="黑体"/>
          <w:color w:val="auto"/>
          <w:sz w:val="30"/>
          <w:szCs w:val="30"/>
          <w:highlight w:val="none"/>
        </w:rPr>
        <w:br w:type="page"/>
      </w:r>
      <w:bookmarkStart w:id="2976" w:name="_Toc17626"/>
      <w:bookmarkStart w:id="2977" w:name="_Toc8369"/>
      <w:bookmarkStart w:id="2978" w:name="_Toc16601"/>
      <w:bookmarkStart w:id="2979" w:name="_Toc30503"/>
      <w:bookmarkStart w:id="2980" w:name="_Toc16398"/>
      <w:r>
        <w:rPr>
          <w:rFonts w:hint="eastAsia" w:ascii="黑体" w:hAnsi="黑体" w:eastAsia="黑体"/>
          <w:color w:val="auto"/>
          <w:sz w:val="30"/>
          <w:szCs w:val="30"/>
          <w:highlight w:val="none"/>
        </w:rPr>
        <w:t>合同附件</w:t>
      </w:r>
      <w:bookmarkEnd w:id="2973"/>
      <w:bookmarkEnd w:id="2974"/>
      <w:bookmarkEnd w:id="2975"/>
      <w:bookmarkEnd w:id="2976"/>
      <w:bookmarkEnd w:id="2977"/>
      <w:bookmarkEnd w:id="2978"/>
      <w:bookmarkEnd w:id="2979"/>
      <w:bookmarkEnd w:id="2980"/>
    </w:p>
    <w:p w14:paraId="792C49F7">
      <w:pPr>
        <w:spacing w:line="360" w:lineRule="auto"/>
        <w:ind w:firstLine="420" w:firstLineChars="150"/>
        <w:rPr>
          <w:rFonts w:hint="eastAsia" w:ascii="宋体" w:hAnsi="宋体" w:cs="宋体"/>
          <w:color w:val="auto"/>
          <w:sz w:val="28"/>
          <w:szCs w:val="28"/>
          <w:highlight w:val="none"/>
        </w:rPr>
      </w:pPr>
      <w:r>
        <w:rPr>
          <w:rFonts w:hint="eastAsia" w:ascii="宋体" w:hAnsi="宋体" w:cs="宋体"/>
          <w:color w:val="auto"/>
          <w:sz w:val="28"/>
          <w:szCs w:val="28"/>
          <w:highlight w:val="none"/>
        </w:rPr>
        <w:t>建设工程廉政协议</w:t>
      </w:r>
    </w:p>
    <w:p w14:paraId="14249697">
      <w:pPr>
        <w:spacing w:line="360" w:lineRule="auto"/>
        <w:ind w:firstLine="420" w:firstLineChars="150"/>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6DF3D36F">
      <w:pPr>
        <w:spacing w:line="360" w:lineRule="auto"/>
        <w:rPr>
          <w:rFonts w:hint="eastAsia" w:eastAsia="仿宋_GB2312"/>
          <w:color w:val="auto"/>
          <w:sz w:val="30"/>
          <w:szCs w:val="30"/>
          <w:highlight w:val="none"/>
        </w:rPr>
      </w:pPr>
    </w:p>
    <w:p w14:paraId="5F3D7751">
      <w:pPr>
        <w:spacing w:line="440" w:lineRule="exact"/>
        <w:rPr>
          <w:rFonts w:hint="eastAsia" w:eastAsia="黑体"/>
          <w:color w:val="auto"/>
          <w:sz w:val="30"/>
          <w:szCs w:val="30"/>
          <w:highlight w:val="none"/>
        </w:rPr>
      </w:pPr>
    </w:p>
    <w:p w14:paraId="7C441B0F">
      <w:pPr>
        <w:spacing w:line="440" w:lineRule="exact"/>
        <w:rPr>
          <w:rFonts w:hint="eastAsia" w:eastAsia="黑体"/>
          <w:color w:val="auto"/>
          <w:sz w:val="30"/>
          <w:szCs w:val="30"/>
          <w:highlight w:val="none"/>
        </w:rPr>
      </w:pPr>
    </w:p>
    <w:p w14:paraId="0A4D8FD6">
      <w:pPr>
        <w:pStyle w:val="83"/>
        <w:keepNext w:val="0"/>
        <w:keepLines w:val="0"/>
        <w:widowControl/>
        <w:adjustRightInd w:val="0"/>
        <w:snapToGrid w:val="0"/>
        <w:spacing w:before="0" w:after="50" w:line="360" w:lineRule="auto"/>
        <w:ind w:firstLine="151" w:firstLineChars="50"/>
        <w:jc w:val="center"/>
        <w:rPr>
          <w:rFonts w:hint="eastAsia" w:ascii="黑体" w:hAnsi="黑体" w:eastAsia="黑体"/>
          <w:color w:val="auto"/>
          <w:sz w:val="30"/>
          <w:szCs w:val="30"/>
          <w:highlight w:val="none"/>
        </w:rPr>
      </w:pPr>
      <w:bookmarkStart w:id="2981" w:name="_Toc103175826"/>
      <w:bookmarkStart w:id="2982" w:name="_Toc21714"/>
      <w:bookmarkStart w:id="2983" w:name="_Toc15266"/>
      <w:r>
        <w:rPr>
          <w:rFonts w:hint="eastAsia" w:ascii="黑体" w:hAnsi="黑体" w:eastAsia="黑体"/>
          <w:color w:val="auto"/>
          <w:sz w:val="30"/>
          <w:szCs w:val="30"/>
          <w:highlight w:val="none"/>
        </w:rPr>
        <w:br w:type="page"/>
      </w:r>
      <w:bookmarkStart w:id="2984" w:name="_Toc4239"/>
      <w:bookmarkStart w:id="2985" w:name="_Toc30996"/>
      <w:bookmarkStart w:id="2986" w:name="_Toc25333"/>
      <w:bookmarkStart w:id="2987" w:name="_Toc16065"/>
      <w:bookmarkStart w:id="2988" w:name="_Toc2692"/>
      <w:r>
        <w:rPr>
          <w:rFonts w:hint="eastAsia" w:ascii="黑体" w:hAnsi="黑体" w:eastAsia="黑体"/>
          <w:color w:val="auto"/>
          <w:sz w:val="30"/>
          <w:szCs w:val="30"/>
          <w:highlight w:val="none"/>
        </w:rPr>
        <w:t>建设工程廉政协议</w:t>
      </w:r>
      <w:bookmarkEnd w:id="2981"/>
      <w:bookmarkEnd w:id="2982"/>
      <w:bookmarkEnd w:id="2983"/>
      <w:bookmarkEnd w:id="2984"/>
      <w:bookmarkEnd w:id="2985"/>
      <w:bookmarkEnd w:id="2986"/>
      <w:bookmarkEnd w:id="2987"/>
      <w:bookmarkEnd w:id="2988"/>
    </w:p>
    <w:p w14:paraId="00E7EE6B">
      <w:pPr>
        <w:pStyle w:val="96"/>
        <w:spacing w:line="360" w:lineRule="auto"/>
        <w:jc w:val="center"/>
        <w:rPr>
          <w:rFonts w:hint="eastAsia"/>
          <w:color w:val="auto"/>
          <w:sz w:val="28"/>
          <w:szCs w:val="28"/>
          <w:highlight w:val="none"/>
        </w:rPr>
      </w:pPr>
    </w:p>
    <w:p w14:paraId="0A058137">
      <w:pPr>
        <w:spacing w:line="360" w:lineRule="auto"/>
        <w:rPr>
          <w:rFonts w:hint="eastAsia" w:ascii="宋体" w:hAnsi="宋体" w:cs="宋体"/>
          <w:color w:val="auto"/>
          <w:sz w:val="24"/>
          <w:highlight w:val="none"/>
          <w:u w:val="single"/>
        </w:rPr>
      </w:pPr>
      <w:r>
        <w:rPr>
          <w:rFonts w:hint="eastAsia" w:ascii="宋体" w:hAnsi="宋体" w:cs="宋体"/>
          <w:color w:val="auto"/>
          <w:spacing w:val="-1"/>
          <w:kern w:val="0"/>
          <w:sz w:val="24"/>
          <w:highlight w:val="none"/>
          <w:lang w:val="zh-CN"/>
        </w:rPr>
        <w:t>发包单位名称（以下称甲方）：</w:t>
      </w:r>
      <w:r>
        <w:rPr>
          <w:rFonts w:hint="eastAsia" w:ascii="宋体" w:hAnsi="宋体" w:eastAsia="宋体" w:cs="宋体"/>
          <w:color w:val="auto"/>
          <w:sz w:val="24"/>
          <w:szCs w:val="24"/>
          <w:highlight w:val="none"/>
          <w:u w:val="single"/>
        </w:rPr>
        <w:t>河北女子职业技术学院</w:t>
      </w:r>
    </w:p>
    <w:p w14:paraId="45C0F1E0">
      <w:pPr>
        <w:pStyle w:val="97"/>
        <w:spacing w:line="360" w:lineRule="auto"/>
        <w:rPr>
          <w:rFonts w:hint="eastAsia" w:ascii="宋体" w:hAnsi="宋体" w:cs="宋体"/>
          <w:color w:val="auto"/>
          <w:sz w:val="24"/>
          <w:szCs w:val="24"/>
          <w:highlight w:val="none"/>
        </w:rPr>
      </w:pPr>
      <w:r>
        <w:rPr>
          <w:rFonts w:hint="eastAsia" w:ascii="宋体" w:hAnsi="宋体" w:cs="宋体"/>
          <w:color w:val="auto"/>
          <w:spacing w:val="-1"/>
          <w:sz w:val="24"/>
          <w:szCs w:val="24"/>
          <w:highlight w:val="none"/>
          <w:lang w:val="zh-CN"/>
        </w:rPr>
        <w:t>承包单位名称（以下称乙方）：</w:t>
      </w:r>
      <w:r>
        <w:rPr>
          <w:rFonts w:hint="eastAsia" w:ascii="宋体" w:hAnsi="宋体" w:cs="宋体"/>
          <w:color w:val="auto"/>
          <w:kern w:val="2"/>
          <w:sz w:val="24"/>
          <w:szCs w:val="24"/>
          <w:highlight w:val="none"/>
          <w:u w:val="single"/>
        </w:rPr>
        <w:t xml:space="preserve">                          </w:t>
      </w:r>
    </w:p>
    <w:p w14:paraId="2E6712D0">
      <w:pPr>
        <w:rPr>
          <w:rFonts w:hint="eastAsia" w:ascii="宋体" w:hAnsi="宋体" w:cs="宋体"/>
          <w:color w:val="auto"/>
          <w:sz w:val="24"/>
          <w:highlight w:val="none"/>
        </w:rPr>
      </w:pPr>
    </w:p>
    <w:p w14:paraId="757BF804">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为加强工程项目建设中的廉政建设，规范工程建设承包、发包双方的各项活动，防止发生各种谋取不正当利益的违法违纪行为，保护国家、集体和当事人的合法权益，根据国家有关工程建设的法律法规和廉政建设规定，特订立本廉政协议。 </w:t>
      </w:r>
    </w:p>
    <w:p w14:paraId="5C2E326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第一条  甲乙双方的权利和义务</w:t>
      </w:r>
    </w:p>
    <w:p w14:paraId="2C43B8B7">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（一）严格遵守国家关于市场准入、勘察、设计、监理、施工、设备采购、招标投标、市场经营活动等有关法律法规及相关政策，以及廉政建设的各项规定。</w:t>
      </w:r>
    </w:p>
    <w:p w14:paraId="549BE667">
      <w:pPr>
        <w:spacing w:line="460" w:lineRule="exact"/>
        <w:ind w:firstLine="476" w:firstLineChars="200"/>
        <w:rPr>
          <w:rFonts w:hint="eastAsia" w:ascii="宋体" w:hAnsi="宋体" w:cs="宋体"/>
          <w:color w:val="auto"/>
          <w:spacing w:val="-1"/>
          <w:sz w:val="24"/>
          <w:highlight w:val="none"/>
          <w:lang w:val="zh-CN"/>
        </w:rPr>
      </w:pPr>
      <w:r>
        <w:rPr>
          <w:rFonts w:hint="eastAsia" w:ascii="宋体" w:hAnsi="宋体" w:cs="宋体"/>
          <w:color w:val="auto"/>
          <w:spacing w:val="-1"/>
          <w:sz w:val="24"/>
          <w:highlight w:val="none"/>
          <w:lang w:val="zh-CN"/>
        </w:rPr>
        <w:t>（二）严格执行本项目发包承包双方签订的</w:t>
      </w:r>
      <w:r>
        <w:rPr>
          <w:rFonts w:hint="eastAsia" w:ascii="宋体" w:hAnsi="宋体" w:cs="宋体"/>
          <w:color w:val="auto"/>
          <w:spacing w:val="-1"/>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pacing w:val="-1"/>
          <w:sz w:val="24"/>
          <w:highlight w:val="none"/>
          <w:lang w:val="zh-CN"/>
        </w:rPr>
        <w:t>合同文件，自觉按合同办事。</w:t>
      </w:r>
    </w:p>
    <w:p w14:paraId="1D278C6B">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14:paraId="776934D7">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四）建立健全廉政制度，开展廉政教育，监督并认真查处违法违纪行为。发现对方在业务活动中有违反本协议行为的，有及时提醒对方纠正的权利和义务。情节严重的，有向其上级有关部门举报、建议给予处理并要求告知处理结果的权利。</w:t>
      </w:r>
    </w:p>
    <w:p w14:paraId="7E5C1A45">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第二条甲方的责任</w:t>
      </w:r>
    </w:p>
    <w:p w14:paraId="0C7ED80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甲方的领导和从事该工程项目的工作人员，在工程项目的事前、事中、事后应遵守以下规定;</w:t>
      </w:r>
    </w:p>
    <w:p w14:paraId="0BA786E9">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（一）不准向乙方索要或接受回扣、礼金、有价证券、贵重物品和好处费、感谢费等；不准在乙方报销任何由甲方或个人支付的费用。</w:t>
      </w:r>
    </w:p>
    <w:p w14:paraId="7A054EB7">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（二）不准参加乙方安排的超标准宴请和健身、娱乐等活动；不得接受乙方提供的通讯工具、交通工具和高档办公用品等。</w:t>
      </w:r>
    </w:p>
    <w:p w14:paraId="7F05F608">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（三）不准要求、暗示和接受乙方为个人装修住房、婚丧嫁娶、配偶子女的工作安排以及出国（境）旅游等提供方便。</w:t>
      </w:r>
    </w:p>
    <w:p w14:paraId="64791DA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（四）配偶、子女不得从事与乙方承包本工程有关的设备材料供应、工程分包、劳务等经济活动。</w:t>
      </w:r>
    </w:p>
    <w:p w14:paraId="4A2FD4A5">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（五）不得以任何理由向乙方推荐分包单位或要求乙方购买项目合同规定外的材料、设备和服务等。</w:t>
      </w:r>
    </w:p>
    <w:p w14:paraId="58023116">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（六）其它不廉洁行为。</w:t>
      </w:r>
    </w:p>
    <w:p w14:paraId="60F62AA7">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第三条  乙方的责任</w:t>
      </w:r>
    </w:p>
    <w:p w14:paraId="7D80488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乙方应与甲方保持正常的业务交往，按照有关法律法规和程序开展业务工作，严格执行工程建设的有关方针、政策，尤其是有关强制性标准和规范，并遵守以下规定：</w:t>
      </w:r>
    </w:p>
    <w:p w14:paraId="2D967E66">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（一）不准以任何理由向甲方及其工作人员行贿或馈赠礼金、有价证券、贵重物品。</w:t>
      </w:r>
    </w:p>
    <w:p w14:paraId="390A957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（二）不准以任何名义为甲方及其工作人员报销应由对方或个人支付的费用。</w:t>
      </w:r>
    </w:p>
    <w:p w14:paraId="0259B67D">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（三）不准以任何理由安排甲方工作人员参加超标准宴请及健身、娱乐和旅游等活动。</w:t>
      </w:r>
    </w:p>
    <w:p w14:paraId="4444267E">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（四）不准为甲方单位和工作人员购置或提供通讯工具、交通工具和高档办公用品和装修住房等。</w:t>
      </w:r>
    </w:p>
    <w:p w14:paraId="15F7BB47">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（五）其它不廉洁行为。</w:t>
      </w:r>
    </w:p>
    <w:p w14:paraId="32A9ED6D">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第四条  违约责任</w:t>
      </w:r>
    </w:p>
    <w:p w14:paraId="6D6CAC7D">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一）甲方工作人员违反本协议第一、二条责任行为的，按照管理权限，依据有关法律法规和规定给予党纪、政纪处分或组织处理；涉嫌犯罪的，移交司法机关追究刑事责任；给乙方单位造成经济损失的，应予以赔偿。</w:t>
      </w:r>
    </w:p>
    <w:p w14:paraId="11308432">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二）乙方工作人员违反本协议第一、三条责任行为的，按照管理权限，依据有关法律和规定给予党纪、政纪处分或组织处理；涉嫌犯罪的，移交司法机关追究刑事责任；给甲方单位造成经济损失的，应予以赔偿。</w:t>
      </w:r>
    </w:p>
    <w:p w14:paraId="061A6455">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（三）乙方如将部分辅助项目分包的，乙方有责任向分包单位交待本协议的具体内容，并严格执行本协议之规定，分包单位如有违反上述责任行为的，乙方将承担连带责任。</w:t>
      </w:r>
    </w:p>
    <w:p w14:paraId="56C037F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四）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14:paraId="4E54614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五）甲方发现乙方有违反本协议或者采用不正当的手段行贿甲方工作人员，甲方根据具体情节和造成的后果追究乙方工程合同造价1～5％的违约金。违约情况严重而被当地纪检、监察、检察机关立案调查的，除追究乙方的上述责任外，甲方有权终止合同；违约金不足以弥补给甲方造成的实际经济损失的，乙方应当赔偿给甲方造成的实际经济损失。</w:t>
      </w:r>
    </w:p>
    <w:p w14:paraId="033C65C0">
      <w:pPr>
        <w:spacing w:line="460" w:lineRule="exact"/>
        <w:ind w:firstLine="476" w:firstLineChars="200"/>
        <w:rPr>
          <w:rFonts w:hint="eastAsia" w:ascii="宋体" w:hAnsi="宋体" w:cs="宋体"/>
          <w:color w:val="auto"/>
          <w:spacing w:val="-1"/>
          <w:sz w:val="24"/>
          <w:highlight w:val="none"/>
          <w:lang w:val="zh-CN"/>
        </w:rPr>
      </w:pPr>
      <w:r>
        <w:rPr>
          <w:rFonts w:hint="eastAsia" w:ascii="宋体" w:hAnsi="宋体" w:cs="宋体"/>
          <w:color w:val="auto"/>
          <w:spacing w:val="-1"/>
          <w:sz w:val="24"/>
          <w:highlight w:val="none"/>
          <w:lang w:val="zh-CN"/>
        </w:rPr>
        <w:t>第五条本协议作为</w:t>
      </w:r>
      <w:r>
        <w:rPr>
          <w:rFonts w:hint="eastAsia" w:ascii="宋体" w:hAnsi="宋体" w:cs="宋体"/>
          <w:color w:val="auto"/>
          <w:sz w:val="24"/>
          <w:highlight w:val="none"/>
          <w:u w:val="single"/>
        </w:rPr>
        <w:t xml:space="preserve">         </w:t>
      </w:r>
      <w:r>
        <w:rPr>
          <w:rFonts w:hint="eastAsia" w:ascii="宋体" w:hAnsi="宋体" w:cs="宋体"/>
          <w:color w:val="auto"/>
          <w:spacing w:val="-1"/>
          <w:sz w:val="24"/>
          <w:highlight w:val="none"/>
          <w:u w:val="single"/>
        </w:rPr>
        <w:t xml:space="preserve"> </w:t>
      </w:r>
      <w:r>
        <w:rPr>
          <w:rFonts w:hint="eastAsia" w:ascii="宋体" w:hAnsi="宋体" w:cs="宋体"/>
          <w:color w:val="auto"/>
          <w:spacing w:val="-1"/>
          <w:sz w:val="24"/>
          <w:highlight w:val="none"/>
        </w:rPr>
        <w:t>合同</w:t>
      </w:r>
      <w:r>
        <w:rPr>
          <w:rFonts w:hint="eastAsia" w:ascii="宋体" w:hAnsi="宋体" w:cs="宋体"/>
          <w:color w:val="auto"/>
          <w:spacing w:val="-1"/>
          <w:sz w:val="24"/>
          <w:highlight w:val="none"/>
          <w:lang w:val="zh-CN"/>
        </w:rPr>
        <w:t>的附件，与主合同具有同等法律效力。甲乙双方签署后立即生效，本协议有效期与主合同有效期一致。</w:t>
      </w:r>
    </w:p>
    <w:p w14:paraId="72D4CCB6">
      <w:pPr>
        <w:pStyle w:val="16"/>
        <w:rPr>
          <w:rFonts w:hint="eastAsia" w:ascii="仿宋_GB2312" w:hAnsi="仿宋_GB2312" w:eastAsia="仿宋_GB2312" w:cs="仿宋_GB2312"/>
          <w:color w:val="auto"/>
          <w:spacing w:val="-1"/>
          <w:sz w:val="24"/>
          <w:highlight w:val="none"/>
          <w:lang w:val="zh-CN"/>
        </w:rPr>
      </w:pPr>
    </w:p>
    <w:p w14:paraId="4376FF59">
      <w:pPr>
        <w:pStyle w:val="94"/>
        <w:rPr>
          <w:rFonts w:hint="eastAsia"/>
          <w:color w:val="auto"/>
          <w:highlight w:val="none"/>
          <w:lang w:val="zh-CN"/>
        </w:rPr>
      </w:pPr>
    </w:p>
    <w:tbl>
      <w:tblPr>
        <w:tblStyle w:val="38"/>
        <w:tblpPr w:leftFromText="180" w:rightFromText="180" w:vertAnchor="text" w:horzAnchor="page" w:tblpXSpec="center" w:tblpY="119"/>
        <w:tblW w:w="0" w:type="auto"/>
        <w:jc w:val="center"/>
        <w:tblLayout w:type="fixed"/>
        <w:tblCellMar>
          <w:top w:w="0" w:type="dxa"/>
          <w:left w:w="108" w:type="dxa"/>
          <w:bottom w:w="0" w:type="dxa"/>
          <w:right w:w="108" w:type="dxa"/>
        </w:tblCellMar>
      </w:tblPr>
      <w:tblGrid>
        <w:gridCol w:w="4463"/>
        <w:gridCol w:w="4556"/>
      </w:tblGrid>
      <w:tr w14:paraId="0C011082">
        <w:tblPrEx>
          <w:tblCellMar>
            <w:top w:w="0" w:type="dxa"/>
            <w:left w:w="108" w:type="dxa"/>
            <w:bottom w:w="0" w:type="dxa"/>
            <w:right w:w="108" w:type="dxa"/>
          </w:tblCellMar>
        </w:tblPrEx>
        <w:trPr>
          <w:trHeight w:val="1799" w:hRule="atLeast"/>
          <w:jc w:val="center"/>
        </w:trPr>
        <w:tc>
          <w:tcPr>
            <w:tcW w:w="4463" w:type="dxa"/>
            <w:noWrap w:val="0"/>
            <w:vAlign w:val="top"/>
          </w:tcPr>
          <w:p w14:paraId="49EC3E3E">
            <w:pPr>
              <w:pStyle w:val="85"/>
              <w:framePr w:hSpace="0" w:wrap="auto" w:vAnchor="margin" w:hAnchor="text" w:yAlign="inline"/>
              <w:spacing w:after="50" w:line="360" w:lineRule="auto"/>
              <w:rPr>
                <w:rFonts w:hint="eastAsia" w:hAnsi="宋体" w:cs="宋体"/>
                <w:color w:val="auto"/>
                <w:sz w:val="21"/>
                <w:szCs w:val="21"/>
                <w:highlight w:val="none"/>
              </w:rPr>
            </w:pPr>
            <w:r>
              <w:rPr>
                <w:rFonts w:hint="eastAsia" w:hAnsi="宋体" w:cs="宋体"/>
                <w:color w:val="auto"/>
                <w:sz w:val="21"/>
                <w:szCs w:val="21"/>
                <w:highlight w:val="none"/>
              </w:rPr>
              <w:t>发包人：河北女子职业技术学院（公章）</w:t>
            </w:r>
          </w:p>
          <w:p w14:paraId="0B4D1C29">
            <w:pPr>
              <w:pStyle w:val="85"/>
              <w:framePr w:hSpace="0" w:wrap="auto" w:vAnchor="margin" w:hAnchor="text" w:yAlign="inline"/>
              <w:spacing w:after="50" w:line="360" w:lineRule="auto"/>
              <w:rPr>
                <w:rFonts w:hint="eastAsia" w:hAnsi="宋体" w:cs="宋体"/>
                <w:color w:val="auto"/>
                <w:sz w:val="21"/>
                <w:szCs w:val="21"/>
                <w:highlight w:val="none"/>
              </w:rPr>
            </w:pPr>
          </w:p>
          <w:p w14:paraId="4BD0390B">
            <w:pPr>
              <w:pStyle w:val="85"/>
              <w:framePr w:hSpace="0" w:wrap="auto" w:vAnchor="margin" w:hAnchor="text" w:yAlign="inline"/>
              <w:spacing w:after="50" w:line="360" w:lineRule="auto"/>
              <w:rPr>
                <w:rFonts w:hint="eastAsia" w:hAnsi="宋体" w:cs="宋体"/>
                <w:color w:val="auto"/>
                <w:sz w:val="21"/>
                <w:szCs w:val="21"/>
                <w:highlight w:val="none"/>
              </w:rPr>
            </w:pPr>
          </w:p>
        </w:tc>
        <w:tc>
          <w:tcPr>
            <w:tcW w:w="4556" w:type="dxa"/>
            <w:noWrap w:val="0"/>
            <w:vAlign w:val="top"/>
          </w:tcPr>
          <w:p w14:paraId="718EABAC">
            <w:pPr>
              <w:pStyle w:val="85"/>
              <w:framePr w:hSpace="0" w:wrap="auto" w:vAnchor="margin" w:hAnchor="text" w:yAlign="inline"/>
              <w:spacing w:after="50" w:line="360" w:lineRule="auto"/>
              <w:rPr>
                <w:rFonts w:hint="eastAsia" w:hAnsi="宋体" w:cs="宋体"/>
                <w:color w:val="auto"/>
                <w:sz w:val="21"/>
                <w:szCs w:val="21"/>
                <w:highlight w:val="none"/>
              </w:rPr>
            </w:pPr>
            <w:r>
              <w:rPr>
                <w:rFonts w:hint="eastAsia" w:hAnsi="宋体" w:cs="宋体"/>
                <w:color w:val="auto"/>
                <w:sz w:val="21"/>
                <w:szCs w:val="21"/>
                <w:highlight w:val="none"/>
              </w:rPr>
              <w:t>承包人：（公章）</w:t>
            </w:r>
          </w:p>
          <w:p w14:paraId="113E6530">
            <w:pPr>
              <w:pStyle w:val="85"/>
              <w:framePr w:hSpace="0" w:wrap="auto" w:vAnchor="margin" w:hAnchor="text" w:yAlign="inline"/>
              <w:spacing w:after="50" w:line="360" w:lineRule="auto"/>
              <w:rPr>
                <w:rFonts w:hint="eastAsia" w:hAnsi="宋体" w:cs="宋体"/>
                <w:color w:val="auto"/>
                <w:sz w:val="21"/>
                <w:szCs w:val="21"/>
                <w:highlight w:val="none"/>
              </w:rPr>
            </w:pPr>
          </w:p>
          <w:p w14:paraId="2C9764AE">
            <w:pPr>
              <w:pStyle w:val="85"/>
              <w:framePr w:hSpace="0" w:wrap="auto" w:vAnchor="margin" w:hAnchor="text" w:yAlign="inline"/>
              <w:spacing w:after="50" w:line="360" w:lineRule="auto"/>
              <w:rPr>
                <w:color w:val="auto"/>
                <w:highlight w:val="none"/>
              </w:rPr>
            </w:pPr>
          </w:p>
        </w:tc>
      </w:tr>
      <w:tr w14:paraId="5881A7B5">
        <w:tblPrEx>
          <w:tblCellMar>
            <w:top w:w="0" w:type="dxa"/>
            <w:left w:w="108" w:type="dxa"/>
            <w:bottom w:w="0" w:type="dxa"/>
            <w:right w:w="108" w:type="dxa"/>
          </w:tblCellMar>
        </w:tblPrEx>
        <w:trPr>
          <w:trHeight w:val="1445" w:hRule="atLeast"/>
          <w:jc w:val="center"/>
        </w:trPr>
        <w:tc>
          <w:tcPr>
            <w:tcW w:w="4463" w:type="dxa"/>
            <w:noWrap w:val="0"/>
            <w:vAlign w:val="top"/>
          </w:tcPr>
          <w:p w14:paraId="1FA4706F">
            <w:pPr>
              <w:pStyle w:val="85"/>
              <w:framePr w:hSpace="0" w:wrap="auto" w:vAnchor="margin" w:hAnchor="text" w:yAlign="inline"/>
              <w:spacing w:after="50" w:line="360" w:lineRule="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7CAA3189">
            <w:pPr>
              <w:pStyle w:val="85"/>
              <w:framePr w:hSpace="0" w:wrap="auto" w:vAnchor="margin" w:hAnchor="text" w:yAlign="inline"/>
              <w:spacing w:after="50" w:line="360" w:lineRule="auto"/>
              <w:rPr>
                <w:rFonts w:hint="eastAsia" w:hAnsi="宋体" w:cs="宋体"/>
                <w:color w:val="auto"/>
                <w:sz w:val="21"/>
                <w:szCs w:val="21"/>
                <w:highlight w:val="none"/>
              </w:rPr>
            </w:pPr>
            <w:r>
              <w:rPr>
                <w:rFonts w:hint="eastAsia" w:hAnsi="宋体" w:cs="宋体"/>
                <w:color w:val="auto"/>
                <w:sz w:val="21"/>
                <w:szCs w:val="21"/>
                <w:highlight w:val="none"/>
              </w:rPr>
              <w:t>（签章）</w:t>
            </w:r>
          </w:p>
          <w:p w14:paraId="2E495F4E">
            <w:pPr>
              <w:pStyle w:val="85"/>
              <w:framePr w:hSpace="0" w:wrap="auto" w:vAnchor="margin" w:hAnchor="text" w:yAlign="inline"/>
              <w:spacing w:after="50" w:line="360" w:lineRule="auto"/>
              <w:rPr>
                <w:rFonts w:hint="eastAsia" w:hAnsi="宋体" w:cs="宋体"/>
                <w:color w:val="auto"/>
                <w:sz w:val="21"/>
                <w:szCs w:val="21"/>
                <w:highlight w:val="none"/>
              </w:rPr>
            </w:pPr>
          </w:p>
        </w:tc>
        <w:tc>
          <w:tcPr>
            <w:tcW w:w="4556" w:type="dxa"/>
            <w:noWrap w:val="0"/>
            <w:vAlign w:val="top"/>
          </w:tcPr>
          <w:p w14:paraId="0EF9F34E">
            <w:pPr>
              <w:pStyle w:val="85"/>
              <w:framePr w:hSpace="0" w:wrap="auto" w:vAnchor="margin" w:hAnchor="text" w:yAlign="inline"/>
              <w:spacing w:after="50" w:line="360" w:lineRule="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61C013C4">
            <w:pPr>
              <w:pStyle w:val="85"/>
              <w:framePr w:hSpace="0" w:wrap="auto" w:vAnchor="margin" w:hAnchor="text" w:yAlign="inline"/>
              <w:spacing w:after="50" w:line="360" w:lineRule="auto"/>
              <w:rPr>
                <w:rFonts w:hint="eastAsia" w:hAnsi="宋体" w:cs="宋体"/>
                <w:color w:val="auto"/>
                <w:sz w:val="21"/>
                <w:szCs w:val="21"/>
                <w:highlight w:val="none"/>
              </w:rPr>
            </w:pPr>
            <w:r>
              <w:rPr>
                <w:rFonts w:hint="eastAsia" w:hAnsi="宋体" w:cs="宋体"/>
                <w:color w:val="auto"/>
                <w:sz w:val="21"/>
                <w:szCs w:val="21"/>
                <w:highlight w:val="none"/>
              </w:rPr>
              <w:t>（签章）</w:t>
            </w:r>
          </w:p>
          <w:p w14:paraId="7F4171E1">
            <w:pPr>
              <w:pStyle w:val="85"/>
              <w:framePr w:hSpace="0" w:wrap="auto" w:vAnchor="margin" w:hAnchor="text" w:yAlign="inline"/>
              <w:spacing w:after="50" w:line="360" w:lineRule="auto"/>
              <w:rPr>
                <w:color w:val="auto"/>
                <w:highlight w:val="none"/>
              </w:rPr>
            </w:pPr>
          </w:p>
        </w:tc>
      </w:tr>
      <w:tr w14:paraId="1F21A680">
        <w:tblPrEx>
          <w:tblCellMar>
            <w:top w:w="0" w:type="dxa"/>
            <w:left w:w="108" w:type="dxa"/>
            <w:bottom w:w="0" w:type="dxa"/>
            <w:right w:w="108" w:type="dxa"/>
          </w:tblCellMar>
        </w:tblPrEx>
        <w:trPr>
          <w:trHeight w:val="520" w:hRule="atLeast"/>
          <w:jc w:val="center"/>
        </w:trPr>
        <w:tc>
          <w:tcPr>
            <w:tcW w:w="4463" w:type="dxa"/>
            <w:noWrap w:val="0"/>
            <w:vAlign w:val="top"/>
          </w:tcPr>
          <w:p w14:paraId="00059FD1">
            <w:pPr>
              <w:pStyle w:val="85"/>
              <w:framePr w:hSpace="0" w:wrap="auto" w:vAnchor="margin" w:hAnchor="text" w:yAlign="inline"/>
              <w:spacing w:after="50" w:line="360" w:lineRule="auto"/>
              <w:rPr>
                <w:rFonts w:hint="eastAsia" w:hAnsi="宋体" w:cs="宋体"/>
                <w:color w:val="auto"/>
                <w:sz w:val="21"/>
                <w:szCs w:val="21"/>
                <w:highlight w:val="none"/>
              </w:rPr>
            </w:pPr>
          </w:p>
        </w:tc>
        <w:tc>
          <w:tcPr>
            <w:tcW w:w="4556" w:type="dxa"/>
            <w:noWrap w:val="0"/>
            <w:vAlign w:val="top"/>
          </w:tcPr>
          <w:p w14:paraId="4DFEB5F9">
            <w:pPr>
              <w:pStyle w:val="85"/>
              <w:framePr w:hSpace="0" w:wrap="auto" w:vAnchor="margin" w:hAnchor="text" w:yAlign="inline"/>
              <w:spacing w:after="50" w:line="360" w:lineRule="auto"/>
              <w:rPr>
                <w:color w:val="auto"/>
                <w:highlight w:val="none"/>
              </w:rPr>
            </w:pPr>
          </w:p>
        </w:tc>
      </w:tr>
    </w:tbl>
    <w:p w14:paraId="69AEDF5A">
      <w:pPr>
        <w:spacing w:line="440" w:lineRule="exact"/>
        <w:ind w:firstLine="5880" w:firstLineChars="2800"/>
        <w:rPr>
          <w:rFonts w:ascii="宋体" w:hAnsi="宋体" w:cs="宋体"/>
          <w:color w:val="auto"/>
          <w:szCs w:val="21"/>
          <w:highlight w:val="none"/>
        </w:rPr>
      </w:pPr>
      <w:r>
        <w:rPr>
          <w:rFonts w:hint="eastAsia" w:ascii="宋体" w:hAnsi="宋体" w:cs="宋体"/>
          <w:color w:val="auto"/>
          <w:highlight w:val="none"/>
        </w:rPr>
        <w:t xml:space="preserve"> </w:t>
      </w:r>
      <w:r>
        <w:rPr>
          <w:rFonts w:hint="eastAsia" w:ascii="宋体" w:hAnsi="宋体" w:cs="宋体"/>
          <w:color w:val="auto"/>
          <w:szCs w:val="21"/>
          <w:highlight w:val="none"/>
        </w:rPr>
        <w:t>签订时间：   年  月  日</w:t>
      </w:r>
    </w:p>
    <w:p w14:paraId="1F57FED8">
      <w:pPr>
        <w:pStyle w:val="16"/>
        <w:rPr>
          <w:rFonts w:hint="eastAsia" w:eastAsia="黑体"/>
          <w:color w:val="auto"/>
          <w:sz w:val="30"/>
          <w:szCs w:val="30"/>
          <w:highlight w:val="none"/>
        </w:rPr>
      </w:pPr>
      <w:r>
        <w:rPr>
          <w:rFonts w:hint="eastAsia" w:eastAsia="黑体"/>
          <w:color w:val="auto"/>
          <w:sz w:val="30"/>
          <w:szCs w:val="30"/>
          <w:highlight w:val="none"/>
        </w:rPr>
        <w:br w:type="page"/>
      </w:r>
    </w:p>
    <w:p w14:paraId="1402C16C">
      <w:pPr>
        <w:pStyle w:val="83"/>
        <w:keepNext w:val="0"/>
        <w:keepLines w:val="0"/>
        <w:widowControl/>
        <w:adjustRightInd w:val="0"/>
        <w:snapToGrid w:val="0"/>
        <w:spacing w:before="0" w:after="50" w:line="360" w:lineRule="auto"/>
        <w:ind w:firstLine="151" w:firstLineChars="50"/>
        <w:jc w:val="center"/>
        <w:rPr>
          <w:rFonts w:hint="eastAsia" w:ascii="黑体" w:hAnsi="黑体" w:eastAsia="黑体"/>
          <w:color w:val="auto"/>
          <w:sz w:val="30"/>
          <w:szCs w:val="30"/>
          <w:highlight w:val="none"/>
        </w:rPr>
      </w:pPr>
      <w:bookmarkStart w:id="2989" w:name="_Toc25481"/>
      <w:bookmarkStart w:id="2990" w:name="_Toc869"/>
      <w:bookmarkStart w:id="2991" w:name="_Toc103175827"/>
      <w:bookmarkStart w:id="2992" w:name="_Toc2436"/>
      <w:bookmarkStart w:id="2993" w:name="_Toc11544"/>
      <w:bookmarkStart w:id="2994" w:name="_Toc28944"/>
      <w:bookmarkStart w:id="2995" w:name="_Toc14989"/>
      <w:bookmarkStart w:id="2996" w:name="_Toc24506"/>
      <w:r>
        <w:rPr>
          <w:rFonts w:hint="eastAsia" w:ascii="黑体" w:hAnsi="黑体" w:eastAsia="黑体"/>
          <w:color w:val="auto"/>
          <w:sz w:val="30"/>
          <w:szCs w:val="30"/>
          <w:highlight w:val="none"/>
        </w:rPr>
        <w:t>工程质量保修书</w:t>
      </w:r>
      <w:bookmarkEnd w:id="2989"/>
      <w:bookmarkEnd w:id="2990"/>
      <w:bookmarkEnd w:id="2991"/>
      <w:bookmarkEnd w:id="2992"/>
      <w:bookmarkEnd w:id="2993"/>
      <w:bookmarkEnd w:id="2994"/>
      <w:bookmarkEnd w:id="2995"/>
      <w:bookmarkEnd w:id="2996"/>
    </w:p>
    <w:p w14:paraId="09C2CDF0">
      <w:pPr>
        <w:rPr>
          <w:rFonts w:hint="eastAsia"/>
          <w:color w:val="auto"/>
          <w:highlight w:val="none"/>
        </w:rPr>
      </w:pPr>
    </w:p>
    <w:p w14:paraId="6F7B6E79">
      <w:pPr>
        <w:spacing w:line="44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发包人（全称）：</w:t>
      </w:r>
      <w:r>
        <w:rPr>
          <w:rFonts w:hint="eastAsia" w:ascii="宋体" w:hAnsi="宋体" w:eastAsia="宋体" w:cs="宋体"/>
          <w:color w:val="auto"/>
          <w:sz w:val="24"/>
          <w:szCs w:val="24"/>
          <w:highlight w:val="none"/>
          <w:u w:val="single"/>
        </w:rPr>
        <w:t>河北女子职业技术学院</w:t>
      </w:r>
    </w:p>
    <w:p w14:paraId="668ED41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承包人（全称）：</w:t>
      </w:r>
      <w:r>
        <w:rPr>
          <w:rFonts w:hint="eastAsia" w:ascii="宋体" w:hAnsi="宋体" w:cs="宋体"/>
          <w:color w:val="auto"/>
          <w:sz w:val="24"/>
          <w:highlight w:val="none"/>
          <w:u w:val="single"/>
        </w:rPr>
        <w:t xml:space="preserve">                                </w:t>
      </w:r>
    </w:p>
    <w:p w14:paraId="75AAB04D">
      <w:pPr>
        <w:spacing w:line="440" w:lineRule="exact"/>
        <w:rPr>
          <w:rFonts w:hint="eastAsia" w:ascii="宋体" w:hAnsi="宋体" w:cs="宋体"/>
          <w:color w:val="auto"/>
          <w:sz w:val="24"/>
          <w:highlight w:val="none"/>
        </w:rPr>
      </w:pPr>
    </w:p>
    <w:p w14:paraId="24833B0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发包人和承包人根据《中华人民共和国建筑法》和《建设工程质量管理条例》，经协商一致就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（工程全称）签订工程质量保修书。</w:t>
      </w:r>
    </w:p>
    <w:p w14:paraId="58D40EC2">
      <w:pPr>
        <w:spacing w:line="360" w:lineRule="auto"/>
        <w:outlineLvl w:val="9"/>
        <w:rPr>
          <w:rFonts w:eastAsia="黑体"/>
          <w:color w:val="auto"/>
          <w:sz w:val="28"/>
          <w:szCs w:val="28"/>
          <w:highlight w:val="none"/>
        </w:rPr>
      </w:pPr>
      <w:r>
        <w:rPr>
          <w:rFonts w:eastAsia="黑体"/>
          <w:color w:val="auto"/>
          <w:sz w:val="28"/>
          <w:szCs w:val="28"/>
          <w:highlight w:val="none"/>
        </w:rPr>
        <w:t>　　</w:t>
      </w:r>
      <w:bookmarkStart w:id="2997" w:name="_Toc103175828"/>
      <w:bookmarkStart w:id="2998" w:name="_Toc3963"/>
      <w:bookmarkStart w:id="2999" w:name="_Toc282"/>
      <w:bookmarkStart w:id="3000" w:name="_Toc652"/>
      <w:r>
        <w:rPr>
          <w:rFonts w:eastAsia="黑体"/>
          <w:color w:val="auto"/>
          <w:sz w:val="28"/>
          <w:szCs w:val="28"/>
          <w:highlight w:val="none"/>
        </w:rPr>
        <w:t>一、工程质量保修范围和内容</w:t>
      </w:r>
      <w:bookmarkEnd w:id="2997"/>
      <w:bookmarkEnd w:id="2998"/>
      <w:bookmarkEnd w:id="2999"/>
      <w:bookmarkEnd w:id="3000"/>
    </w:p>
    <w:p w14:paraId="58796733">
      <w:pPr>
        <w:spacing w:line="360" w:lineRule="auto"/>
        <w:rPr>
          <w:rFonts w:hint="eastAsia" w:ascii="宋体" w:hAnsi="宋体" w:cs="宋体"/>
          <w:color w:val="auto"/>
          <w:sz w:val="24"/>
          <w:highlight w:val="none"/>
        </w:rPr>
      </w:pPr>
      <w:r>
        <w:rPr>
          <w:rFonts w:eastAsia="仿宋_GB2312"/>
          <w:color w:val="auto"/>
          <w:sz w:val="30"/>
          <w:szCs w:val="30"/>
          <w:highlight w:val="none"/>
        </w:rPr>
        <w:t>　　</w:t>
      </w:r>
      <w:r>
        <w:rPr>
          <w:rFonts w:hint="eastAsia" w:ascii="宋体" w:hAnsi="宋体" w:cs="宋体"/>
          <w:color w:val="auto"/>
          <w:sz w:val="24"/>
          <w:highlight w:val="none"/>
        </w:rPr>
        <w:t>承包人在质量保修期内，按照有关法律规定和合同约定，承担工程质量保修责任。</w:t>
      </w:r>
    </w:p>
    <w:p w14:paraId="3DB8B80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97BEF78">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承包人施工范围内的所有内容均属保修内容  </w:t>
      </w:r>
      <w:r>
        <w:rPr>
          <w:rFonts w:hint="eastAsia" w:ascii="宋体" w:hAnsi="宋体" w:cs="宋体"/>
          <w:color w:val="auto"/>
          <w:sz w:val="24"/>
          <w:highlight w:val="none"/>
        </w:rPr>
        <w:t>。</w:t>
      </w:r>
    </w:p>
    <w:p w14:paraId="50444B11">
      <w:pPr>
        <w:spacing w:line="360" w:lineRule="auto"/>
        <w:outlineLvl w:val="9"/>
        <w:rPr>
          <w:rFonts w:eastAsia="黑体"/>
          <w:color w:val="auto"/>
          <w:sz w:val="28"/>
          <w:szCs w:val="28"/>
          <w:highlight w:val="none"/>
        </w:rPr>
      </w:pPr>
      <w:r>
        <w:rPr>
          <w:rFonts w:eastAsia="黑体"/>
          <w:color w:val="auto"/>
          <w:sz w:val="28"/>
          <w:szCs w:val="28"/>
          <w:highlight w:val="none"/>
        </w:rPr>
        <w:t>　　</w:t>
      </w:r>
      <w:bookmarkStart w:id="3001" w:name="_Toc22095"/>
      <w:bookmarkStart w:id="3002" w:name="_Toc29309"/>
      <w:bookmarkStart w:id="3003" w:name="_Toc174"/>
      <w:bookmarkStart w:id="3004" w:name="_Toc103175829"/>
      <w:bookmarkStart w:id="3005" w:name="_Toc10652"/>
      <w:r>
        <w:rPr>
          <w:rFonts w:eastAsia="黑体"/>
          <w:color w:val="auto"/>
          <w:sz w:val="28"/>
          <w:szCs w:val="28"/>
          <w:highlight w:val="none"/>
        </w:rPr>
        <w:t>二、质量保修期</w:t>
      </w:r>
      <w:bookmarkEnd w:id="3001"/>
      <w:bookmarkEnd w:id="3002"/>
      <w:bookmarkEnd w:id="3003"/>
      <w:bookmarkEnd w:id="3004"/>
      <w:bookmarkEnd w:id="3005"/>
    </w:p>
    <w:p w14:paraId="62BB00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1A35478A">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1．地基基础工程和主体结构工程为设计文件规定的工程合理使用年限；</w:t>
      </w:r>
    </w:p>
    <w:p w14:paraId="33FDA81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2．屋面防水工程、有防水要求的卫生间、房间和外墙面的防渗为</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年；</w:t>
      </w:r>
    </w:p>
    <w:p w14:paraId="15EE9C33">
      <w:pPr>
        <w:spacing w:line="360" w:lineRule="auto"/>
        <w:ind w:left="420" w:leftChars="200" w:firstLine="120" w:firstLineChars="50"/>
        <w:rPr>
          <w:rFonts w:hint="eastAsia" w:ascii="宋体" w:hAnsi="宋体" w:cs="宋体"/>
          <w:color w:val="auto"/>
          <w:sz w:val="24"/>
          <w:highlight w:val="none"/>
        </w:rPr>
      </w:pPr>
      <w:r>
        <w:rPr>
          <w:rFonts w:hint="eastAsia" w:ascii="宋体" w:hAnsi="宋体" w:cs="宋体"/>
          <w:color w:val="auto"/>
          <w:sz w:val="24"/>
          <w:highlight w:val="none"/>
        </w:rPr>
        <w:t>3．装修工程为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2A2FD6D6">
      <w:pPr>
        <w:spacing w:line="360" w:lineRule="auto"/>
        <w:ind w:left="420" w:leftChars="200" w:firstLine="120" w:firstLineChars="50"/>
        <w:rPr>
          <w:rFonts w:hint="eastAsia" w:ascii="宋体" w:hAnsi="宋体" w:cs="宋体"/>
          <w:color w:val="auto"/>
          <w:sz w:val="24"/>
          <w:highlight w:val="none"/>
        </w:rPr>
      </w:pPr>
      <w:r>
        <w:rPr>
          <w:rFonts w:hint="eastAsia" w:ascii="宋体" w:hAnsi="宋体" w:cs="宋体"/>
          <w:color w:val="auto"/>
          <w:sz w:val="24"/>
          <w:highlight w:val="none"/>
        </w:rPr>
        <w:t>4．电气管线、给排水管道、设备安装工程为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776C538A">
      <w:pPr>
        <w:spacing w:line="360" w:lineRule="auto"/>
        <w:ind w:left="420" w:leftChars="200" w:firstLine="120" w:firstLineChars="50"/>
        <w:rPr>
          <w:rFonts w:hint="eastAsia" w:ascii="宋体" w:hAnsi="宋体" w:cs="宋体"/>
          <w:color w:val="auto"/>
          <w:sz w:val="24"/>
          <w:highlight w:val="none"/>
        </w:rPr>
      </w:pPr>
      <w:r>
        <w:rPr>
          <w:rFonts w:hint="eastAsia" w:ascii="宋体" w:hAnsi="宋体" w:cs="宋体"/>
          <w:color w:val="auto"/>
          <w:sz w:val="24"/>
          <w:highlight w:val="none"/>
        </w:rPr>
        <w:t>5．供热与供冷系统为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个采暖期、供冷期；</w:t>
      </w:r>
    </w:p>
    <w:p w14:paraId="1D827650">
      <w:pPr>
        <w:spacing w:line="360" w:lineRule="auto"/>
        <w:ind w:left="420" w:leftChars="200" w:firstLine="120" w:firstLineChars="50"/>
        <w:rPr>
          <w:rFonts w:hint="eastAsia" w:ascii="宋体" w:hAnsi="宋体" w:cs="宋体"/>
          <w:color w:val="auto"/>
          <w:sz w:val="24"/>
          <w:highlight w:val="none"/>
        </w:rPr>
      </w:pPr>
      <w:r>
        <w:rPr>
          <w:rFonts w:hint="eastAsia" w:ascii="宋体" w:hAnsi="宋体" w:cs="宋体"/>
          <w:color w:val="auto"/>
          <w:sz w:val="24"/>
          <w:highlight w:val="none"/>
        </w:rPr>
        <w:t>6．给排水设施、道路等配套工程为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767A6C06">
      <w:pPr>
        <w:spacing w:line="360" w:lineRule="auto"/>
        <w:ind w:left="420" w:leftChars="200" w:firstLine="120" w:firstLineChars="50"/>
        <w:rPr>
          <w:rFonts w:hint="eastAsia" w:ascii="宋体" w:hAnsi="宋体" w:cs="宋体"/>
          <w:color w:val="auto"/>
          <w:sz w:val="24"/>
          <w:highlight w:val="none"/>
        </w:rPr>
      </w:pPr>
      <w:r>
        <w:rPr>
          <w:rFonts w:hint="eastAsia" w:ascii="宋体" w:hAnsi="宋体" w:cs="宋体"/>
          <w:color w:val="auto"/>
          <w:sz w:val="24"/>
          <w:highlight w:val="none"/>
        </w:rPr>
        <w:t>7．其他项目保修期限约定如下：</w:t>
      </w:r>
    </w:p>
    <w:p w14:paraId="361EAC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质量保修期自工程竣工验收合格之日起计算。</w:t>
      </w:r>
    </w:p>
    <w:p w14:paraId="0820F95B">
      <w:pPr>
        <w:spacing w:line="360" w:lineRule="auto"/>
        <w:outlineLvl w:val="9"/>
        <w:rPr>
          <w:rFonts w:ascii="Times New Roman" w:hAnsi="Times New Roman" w:eastAsia="黑体" w:cs="Times New Roman"/>
          <w:color w:val="auto"/>
          <w:sz w:val="28"/>
          <w:szCs w:val="28"/>
          <w:highlight w:val="none"/>
        </w:rPr>
      </w:pPr>
      <w:bookmarkStart w:id="3006" w:name="_Toc32020"/>
      <w:bookmarkStart w:id="3007" w:name="_Toc5488"/>
      <w:bookmarkStart w:id="3008" w:name="_Toc103175830"/>
      <w:bookmarkStart w:id="3009" w:name="_Toc6715"/>
      <w:r>
        <w:rPr>
          <w:rFonts w:eastAsia="黑体"/>
          <w:color w:val="auto"/>
          <w:sz w:val="28"/>
          <w:szCs w:val="28"/>
          <w:highlight w:val="none"/>
        </w:rPr>
        <w:t>　　</w:t>
      </w:r>
      <w:bookmarkStart w:id="3010" w:name="_Toc19535"/>
      <w:r>
        <w:rPr>
          <w:rFonts w:ascii="Times New Roman" w:hAnsi="Times New Roman" w:eastAsia="黑体" w:cs="Times New Roman"/>
          <w:color w:val="auto"/>
          <w:sz w:val="28"/>
          <w:szCs w:val="28"/>
          <w:highlight w:val="none"/>
        </w:rPr>
        <w:t>三、缺陷责任期</w:t>
      </w:r>
      <w:bookmarkEnd w:id="3006"/>
      <w:bookmarkEnd w:id="3007"/>
      <w:bookmarkEnd w:id="3008"/>
      <w:bookmarkEnd w:id="3009"/>
      <w:bookmarkEnd w:id="3010"/>
    </w:p>
    <w:p w14:paraId="53F8AA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工程缺陷责任期为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24 </w:t>
      </w:r>
      <w:r>
        <w:rPr>
          <w:rFonts w:hint="eastAsia" w:ascii="宋体" w:hAnsi="宋体" w:cs="宋体"/>
          <w:color w:val="auto"/>
          <w:sz w:val="24"/>
          <w:highlight w:val="none"/>
        </w:rPr>
        <w:t>个月，缺陷责任期自工程通过竣工验收之日起计算。单位工程先于全部工程进行验收，单位工程缺陷责任期自单位工程验收合格之日起算。</w:t>
      </w:r>
    </w:p>
    <w:p w14:paraId="72654C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缺陷责任期终止后，发包人应退还剩余的质量保证金。</w:t>
      </w:r>
    </w:p>
    <w:p w14:paraId="0F7E96C0">
      <w:pPr>
        <w:spacing w:line="360" w:lineRule="auto"/>
        <w:outlineLvl w:val="9"/>
        <w:rPr>
          <w:rFonts w:eastAsia="黑体"/>
          <w:color w:val="auto"/>
          <w:sz w:val="28"/>
          <w:szCs w:val="28"/>
          <w:highlight w:val="none"/>
        </w:rPr>
      </w:pPr>
      <w:bookmarkStart w:id="3011" w:name="_Toc25150"/>
      <w:bookmarkStart w:id="3012" w:name="_Toc24166"/>
      <w:bookmarkStart w:id="3013" w:name="_Toc103175831"/>
      <w:bookmarkStart w:id="3014" w:name="_Toc30046"/>
      <w:r>
        <w:rPr>
          <w:rFonts w:eastAsia="黑体"/>
          <w:color w:val="auto"/>
          <w:sz w:val="28"/>
          <w:szCs w:val="28"/>
          <w:highlight w:val="none"/>
        </w:rPr>
        <w:t>　　</w:t>
      </w:r>
      <w:bookmarkStart w:id="3015" w:name="_Toc12835"/>
      <w:r>
        <w:rPr>
          <w:rFonts w:eastAsia="黑体"/>
          <w:color w:val="auto"/>
          <w:sz w:val="28"/>
          <w:szCs w:val="28"/>
          <w:highlight w:val="none"/>
        </w:rPr>
        <w:t>四、质量保修责任</w:t>
      </w:r>
      <w:bookmarkEnd w:id="3011"/>
      <w:bookmarkEnd w:id="3012"/>
      <w:bookmarkEnd w:id="3013"/>
      <w:bookmarkEnd w:id="3014"/>
      <w:bookmarkEnd w:id="3015"/>
    </w:p>
    <w:p w14:paraId="72252AF6">
      <w:pPr>
        <w:spacing w:line="360" w:lineRule="auto"/>
        <w:ind w:left="105" w:leftChars="50" w:firstLine="491" w:firstLineChars="205"/>
        <w:rPr>
          <w:rFonts w:hint="eastAsia" w:ascii="宋体" w:hAnsi="宋体" w:cs="宋体"/>
          <w:color w:val="auto"/>
          <w:sz w:val="24"/>
          <w:highlight w:val="none"/>
        </w:rPr>
      </w:pPr>
      <w:r>
        <w:rPr>
          <w:rFonts w:hint="eastAsia" w:ascii="宋体" w:hAnsi="宋体" w:cs="宋体"/>
          <w:color w:val="auto"/>
          <w:sz w:val="24"/>
          <w:highlight w:val="none"/>
        </w:rPr>
        <w:t>1．属于保修范围、内容的项目，承包人应当在接到保修通知之日起7天内派人保修。承包人不在约定期限内派人保修的，发包人可以委托他人修理。</w:t>
      </w:r>
    </w:p>
    <w:p w14:paraId="69B2CBB1">
      <w:pPr>
        <w:spacing w:line="360" w:lineRule="auto"/>
        <w:ind w:left="105" w:leftChars="50" w:firstLine="491" w:firstLineChars="205"/>
        <w:rPr>
          <w:rFonts w:hint="eastAsia" w:ascii="宋体" w:hAnsi="宋体" w:cs="宋体"/>
          <w:color w:val="auto"/>
          <w:sz w:val="24"/>
          <w:highlight w:val="none"/>
        </w:rPr>
      </w:pPr>
      <w:r>
        <w:rPr>
          <w:rFonts w:hint="eastAsia" w:ascii="宋体" w:hAnsi="宋体" w:cs="宋体"/>
          <w:color w:val="auto"/>
          <w:sz w:val="24"/>
          <w:highlight w:val="none"/>
        </w:rPr>
        <w:t>2．发生紧急事故需抢修的，承包人在接到事故通知后，应当立即到达事故现场抢修。</w:t>
      </w:r>
    </w:p>
    <w:p w14:paraId="7C86080A">
      <w:pPr>
        <w:spacing w:line="360" w:lineRule="auto"/>
        <w:ind w:left="105" w:leftChars="50" w:firstLine="491" w:firstLineChars="205"/>
        <w:rPr>
          <w:rFonts w:hint="eastAsia" w:ascii="宋体" w:hAnsi="宋体" w:cs="宋体"/>
          <w:color w:val="auto"/>
          <w:sz w:val="24"/>
          <w:highlight w:val="none"/>
        </w:rPr>
      </w:pPr>
      <w:r>
        <w:rPr>
          <w:rFonts w:hint="eastAsia" w:ascii="宋体" w:hAnsi="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7ECAA4">
      <w:pPr>
        <w:spacing w:line="360" w:lineRule="auto"/>
        <w:ind w:left="420" w:leftChars="200" w:firstLine="120" w:firstLineChars="50"/>
        <w:rPr>
          <w:rFonts w:hint="eastAsia" w:ascii="宋体" w:hAnsi="宋体" w:cs="宋体"/>
          <w:color w:val="auto"/>
          <w:sz w:val="24"/>
          <w:highlight w:val="none"/>
        </w:rPr>
      </w:pPr>
      <w:r>
        <w:rPr>
          <w:rFonts w:hint="eastAsia" w:ascii="宋体" w:hAnsi="宋体" w:cs="宋体"/>
          <w:color w:val="auto"/>
          <w:sz w:val="24"/>
          <w:highlight w:val="none"/>
        </w:rPr>
        <w:t>4．质量保修完成后，由发包人组织验收。</w:t>
      </w:r>
    </w:p>
    <w:p w14:paraId="7EC59017">
      <w:pPr>
        <w:spacing w:line="360" w:lineRule="auto"/>
        <w:outlineLvl w:val="9"/>
        <w:rPr>
          <w:rFonts w:eastAsia="黑体"/>
          <w:color w:val="auto"/>
          <w:sz w:val="28"/>
          <w:szCs w:val="28"/>
          <w:highlight w:val="none"/>
        </w:rPr>
      </w:pPr>
      <w:r>
        <w:rPr>
          <w:rFonts w:eastAsia="黑体"/>
          <w:color w:val="auto"/>
          <w:sz w:val="28"/>
          <w:szCs w:val="28"/>
          <w:highlight w:val="none"/>
        </w:rPr>
        <w:t>　　</w:t>
      </w:r>
      <w:bookmarkStart w:id="3016" w:name="_Toc103175832"/>
      <w:bookmarkStart w:id="3017" w:name="_Toc29520"/>
      <w:bookmarkStart w:id="3018" w:name="_Toc12517"/>
      <w:bookmarkStart w:id="3019" w:name="_Toc18751"/>
      <w:bookmarkStart w:id="3020" w:name="_Toc6828"/>
      <w:r>
        <w:rPr>
          <w:rFonts w:eastAsia="黑体"/>
          <w:color w:val="auto"/>
          <w:sz w:val="28"/>
          <w:szCs w:val="28"/>
          <w:highlight w:val="none"/>
        </w:rPr>
        <w:t>五、保修费用</w:t>
      </w:r>
      <w:bookmarkEnd w:id="3016"/>
      <w:bookmarkEnd w:id="3017"/>
      <w:bookmarkEnd w:id="3018"/>
      <w:bookmarkEnd w:id="3019"/>
      <w:bookmarkEnd w:id="3020"/>
    </w:p>
    <w:p w14:paraId="61E66F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保修费用由造成质量缺陷的责任方承担。</w:t>
      </w:r>
    </w:p>
    <w:p w14:paraId="190FD179">
      <w:pPr>
        <w:spacing w:line="360" w:lineRule="auto"/>
        <w:outlineLvl w:val="9"/>
        <w:rPr>
          <w:rFonts w:eastAsia="黑体"/>
          <w:color w:val="auto"/>
          <w:sz w:val="28"/>
          <w:szCs w:val="28"/>
          <w:highlight w:val="none"/>
        </w:rPr>
      </w:pPr>
      <w:bookmarkStart w:id="3021" w:name="_Toc103175833"/>
      <w:bookmarkStart w:id="3022" w:name="_Toc27957"/>
      <w:bookmarkStart w:id="3023" w:name="_Toc2698"/>
      <w:bookmarkStart w:id="3024" w:name="_Toc30895"/>
      <w:r>
        <w:rPr>
          <w:rFonts w:eastAsia="黑体"/>
          <w:color w:val="auto"/>
          <w:sz w:val="28"/>
          <w:szCs w:val="28"/>
          <w:highlight w:val="none"/>
        </w:rPr>
        <w:t>　　</w:t>
      </w:r>
      <w:bookmarkStart w:id="3025" w:name="_Toc635"/>
      <w:r>
        <w:rPr>
          <w:rFonts w:eastAsia="黑体"/>
          <w:color w:val="auto"/>
          <w:sz w:val="28"/>
          <w:szCs w:val="28"/>
          <w:highlight w:val="none"/>
        </w:rPr>
        <w:t>六、双方约定的其他工程质量保修事项：</w:t>
      </w:r>
      <w:bookmarkEnd w:id="3021"/>
      <w:bookmarkEnd w:id="3022"/>
      <w:bookmarkEnd w:id="3023"/>
      <w:bookmarkEnd w:id="3024"/>
      <w:bookmarkEnd w:id="3025"/>
    </w:p>
    <w:p w14:paraId="6AB52F0E">
      <w:pPr>
        <w:spacing w:line="360" w:lineRule="auto"/>
        <w:ind w:left="105" w:leftChars="50" w:firstLine="491" w:firstLineChars="205"/>
        <w:rPr>
          <w:rFonts w:hint="eastAsia" w:ascii="宋体" w:hAnsi="宋体" w:cs="宋体"/>
          <w:color w:val="auto"/>
          <w:sz w:val="24"/>
          <w:highlight w:val="none"/>
          <w:lang w:val="zh-CN"/>
        </w:rPr>
      </w:pPr>
      <w:r>
        <w:rPr>
          <w:rFonts w:hint="eastAsia" w:ascii="宋体" w:hAnsi="宋体" w:cs="宋体"/>
          <w:color w:val="auto"/>
          <w:sz w:val="24"/>
          <w:highlight w:val="none"/>
        </w:rPr>
        <w:t>工程质量保修书由发包人、承包人在工程竣工验收前共同签署，作为施工合同附件，其有效期限至保修期满。</w:t>
      </w:r>
    </w:p>
    <w:p w14:paraId="6433AFB9">
      <w:pPr>
        <w:pStyle w:val="94"/>
        <w:rPr>
          <w:rFonts w:hint="eastAsia"/>
          <w:color w:val="auto"/>
          <w:highlight w:val="none"/>
          <w:lang w:val="zh-CN"/>
        </w:rPr>
      </w:pPr>
    </w:p>
    <w:p w14:paraId="45B87B89">
      <w:pPr>
        <w:ind w:firstLine="420"/>
        <w:rPr>
          <w:rFonts w:ascii="仿宋_GB2312" w:eastAsia="仿宋_GB2312"/>
          <w:color w:val="auto"/>
          <w:szCs w:val="21"/>
        </w:rPr>
      </w:pPr>
      <w:r>
        <w:rPr>
          <w:rFonts w:hint="eastAsia" w:ascii="仿宋_GB2312" w:eastAsia="仿宋_GB2312"/>
          <w:color w:val="auto"/>
          <w:szCs w:val="21"/>
        </w:rPr>
        <w:t xml:space="preserve">发包人(公章)：                         承包人(公章)：          </w:t>
      </w:r>
    </w:p>
    <w:p w14:paraId="22646AAE">
      <w:pPr>
        <w:ind w:firstLine="420"/>
        <w:rPr>
          <w:rFonts w:ascii="仿宋_GB2312" w:eastAsia="仿宋_GB2312"/>
          <w:color w:val="auto"/>
          <w:szCs w:val="21"/>
        </w:rPr>
      </w:pPr>
      <w:r>
        <w:rPr>
          <w:rFonts w:hint="eastAsia" w:ascii="仿宋_GB2312" w:eastAsia="仿宋_GB2312"/>
          <w:color w:val="auto"/>
          <w:szCs w:val="21"/>
        </w:rPr>
        <w:t xml:space="preserve">地  址：                               地  址：       </w:t>
      </w:r>
    </w:p>
    <w:p w14:paraId="106A71CF">
      <w:pPr>
        <w:ind w:firstLine="420"/>
        <w:rPr>
          <w:rFonts w:ascii="仿宋_GB2312" w:eastAsia="仿宋_GB2312"/>
          <w:color w:val="auto"/>
          <w:szCs w:val="21"/>
        </w:rPr>
      </w:pPr>
      <w:r>
        <w:rPr>
          <w:rFonts w:hint="eastAsia" w:ascii="仿宋_GB2312" w:eastAsia="仿宋_GB2312"/>
          <w:color w:val="auto"/>
          <w:szCs w:val="21"/>
        </w:rPr>
        <w:t xml:space="preserve">法定代表人(签字)：                     法定代表人(签字)：       </w:t>
      </w:r>
    </w:p>
    <w:p w14:paraId="270890C8">
      <w:pPr>
        <w:ind w:firstLine="420"/>
        <w:rPr>
          <w:rFonts w:ascii="仿宋_GB2312" w:eastAsia="仿宋_GB2312"/>
          <w:color w:val="auto"/>
          <w:szCs w:val="21"/>
        </w:rPr>
      </w:pPr>
      <w:r>
        <w:rPr>
          <w:rFonts w:hint="eastAsia" w:ascii="仿宋_GB2312" w:eastAsia="仿宋_GB2312"/>
          <w:color w:val="auto"/>
          <w:szCs w:val="21"/>
        </w:rPr>
        <w:t xml:space="preserve">委托代理人(签字)：                     委托代理人(签字)：       </w:t>
      </w:r>
    </w:p>
    <w:p w14:paraId="61EA4F00">
      <w:pPr>
        <w:ind w:firstLine="420"/>
        <w:rPr>
          <w:rFonts w:ascii="仿宋_GB2312" w:eastAsia="仿宋_GB2312"/>
          <w:color w:val="auto"/>
          <w:szCs w:val="21"/>
        </w:rPr>
      </w:pPr>
      <w:r>
        <w:rPr>
          <w:rFonts w:hint="eastAsia" w:ascii="仿宋_GB2312" w:eastAsia="仿宋_GB2312"/>
          <w:color w:val="auto"/>
          <w:szCs w:val="21"/>
        </w:rPr>
        <w:t>电  话：                               电  话：</w:t>
      </w:r>
    </w:p>
    <w:p w14:paraId="35F07612">
      <w:pPr>
        <w:ind w:firstLine="420"/>
        <w:rPr>
          <w:rFonts w:ascii="仿宋_GB2312" w:eastAsia="仿宋_GB2312"/>
          <w:color w:val="auto"/>
          <w:szCs w:val="21"/>
        </w:rPr>
      </w:pPr>
      <w:r>
        <w:rPr>
          <w:rFonts w:hint="eastAsia" w:ascii="仿宋_GB2312" w:eastAsia="仿宋_GB2312"/>
          <w:color w:val="auto"/>
          <w:szCs w:val="21"/>
        </w:rPr>
        <w:t xml:space="preserve">传  真：                               传  真：  </w:t>
      </w:r>
    </w:p>
    <w:p w14:paraId="1F2EBB72">
      <w:pPr>
        <w:ind w:firstLine="420"/>
        <w:rPr>
          <w:rFonts w:ascii="仿宋_GB2312" w:eastAsia="仿宋_GB2312"/>
          <w:color w:val="auto"/>
          <w:szCs w:val="21"/>
        </w:rPr>
      </w:pPr>
      <w:r>
        <w:rPr>
          <w:rFonts w:hint="eastAsia" w:ascii="仿宋_GB2312" w:eastAsia="仿宋_GB2312"/>
          <w:color w:val="auto"/>
          <w:szCs w:val="21"/>
        </w:rPr>
        <w:t>开户银行：                             开户银行：</w:t>
      </w:r>
    </w:p>
    <w:p w14:paraId="58F50F92">
      <w:pPr>
        <w:ind w:firstLine="420"/>
        <w:rPr>
          <w:rFonts w:hint="eastAsia" w:ascii="仿宋_GB2312" w:eastAsia="仿宋_GB2312"/>
          <w:color w:val="auto"/>
          <w:szCs w:val="21"/>
        </w:rPr>
      </w:pPr>
      <w:r>
        <w:rPr>
          <w:rFonts w:hint="eastAsia" w:ascii="仿宋_GB2312" w:eastAsia="仿宋_GB2312"/>
          <w:color w:val="auto"/>
          <w:szCs w:val="21"/>
        </w:rPr>
        <w:t xml:space="preserve">账  号：                               账  号： </w:t>
      </w:r>
    </w:p>
    <w:p w14:paraId="58306255">
      <w:pPr>
        <w:ind w:firstLine="420"/>
        <w:rPr>
          <w:rFonts w:ascii="仿宋_GB2312" w:eastAsia="仿宋_GB2312"/>
          <w:color w:val="auto"/>
          <w:szCs w:val="21"/>
        </w:rPr>
      </w:pPr>
      <w:r>
        <w:rPr>
          <w:rFonts w:hint="eastAsia" w:ascii="仿宋_GB2312" w:eastAsia="仿宋_GB2312"/>
          <w:color w:val="auto"/>
          <w:szCs w:val="21"/>
        </w:rPr>
        <w:t xml:space="preserve">邮政编码：                             邮政编码：   </w:t>
      </w:r>
    </w:p>
    <w:p w14:paraId="0471F2D5">
      <w:pPr>
        <w:rPr>
          <w:color w:val="auto"/>
        </w:rPr>
      </w:pPr>
    </w:p>
    <w:p w14:paraId="53262C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Style w:val="47"/>
          <w:color w:val="auto"/>
        </w:rPr>
      </w:pPr>
      <w:r>
        <w:rPr>
          <w:color w:val="auto"/>
        </w:rPr>
        <w:br w:type="page"/>
      </w:r>
      <w:bookmarkStart w:id="3026" w:name="_Toc20596"/>
      <w:r>
        <w:rPr>
          <w:rStyle w:val="47"/>
          <w:color w:val="auto"/>
        </w:rPr>
        <w:t xml:space="preserve">第五章 </w:t>
      </w:r>
      <w:bookmarkEnd w:id="656"/>
      <w:bookmarkEnd w:id="657"/>
      <w:bookmarkEnd w:id="658"/>
      <w:bookmarkEnd w:id="659"/>
      <w:bookmarkEnd w:id="660"/>
      <w:r>
        <w:rPr>
          <w:rStyle w:val="47"/>
          <w:color w:val="auto"/>
        </w:rPr>
        <w:t>发包人要求</w:t>
      </w:r>
      <w:bookmarkEnd w:id="661"/>
      <w:bookmarkEnd w:id="3026"/>
    </w:p>
    <w:bookmarkEnd w:id="662"/>
    <w:bookmarkEnd w:id="663"/>
    <w:p w14:paraId="1D254693">
      <w:pPr>
        <w:pageBreakBefore w:val="0"/>
        <w:kinsoku/>
        <w:wordWrap w:val="0"/>
        <w:overflowPunct/>
        <w:bidi w:val="0"/>
        <w:spacing w:line="400" w:lineRule="exact"/>
        <w:rPr>
          <w:color w:val="auto"/>
        </w:rPr>
      </w:pPr>
    </w:p>
    <w:p w14:paraId="57AEAEC0">
      <w:pPr>
        <w:rPr>
          <w:i w:val="0"/>
          <w:iCs w:val="0"/>
          <w:color w:val="auto"/>
          <w:sz w:val="24"/>
          <w:szCs w:val="24"/>
        </w:rPr>
      </w:pPr>
      <w:r>
        <w:rPr>
          <w:i w:val="0"/>
          <w:iCs w:val="0"/>
          <w:color w:val="auto"/>
          <w:sz w:val="24"/>
          <w:szCs w:val="24"/>
        </w:rPr>
        <w:t>发包人要求通常包括但不限于以下内容：</w:t>
      </w:r>
    </w:p>
    <w:p w14:paraId="6F0432FC">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27" w:name="_Toc26165"/>
      <w:bookmarkStart w:id="3028" w:name="_Toc3634"/>
      <w:bookmarkStart w:id="3029" w:name="_Toc5021"/>
      <w:bookmarkStart w:id="3030" w:name="_Toc217277592"/>
      <w:bookmarkStart w:id="3031" w:name="_Toc32527"/>
      <w:r>
        <w:rPr>
          <w:b/>
          <w:bCs/>
          <w:i w:val="0"/>
          <w:iCs w:val="0"/>
          <w:color w:val="auto"/>
          <w:sz w:val="24"/>
          <w:szCs w:val="24"/>
        </w:rPr>
        <w:t>一、功能要求</w:t>
      </w:r>
      <w:bookmarkEnd w:id="3027"/>
      <w:bookmarkEnd w:id="3028"/>
      <w:bookmarkEnd w:id="3029"/>
      <w:bookmarkEnd w:id="3030"/>
      <w:bookmarkEnd w:id="3031"/>
    </w:p>
    <w:p w14:paraId="12347BB7">
      <w:pPr>
        <w:rPr>
          <w:i w:val="0"/>
          <w:iCs w:val="0"/>
          <w:color w:val="auto"/>
          <w:sz w:val="24"/>
          <w:szCs w:val="24"/>
        </w:rPr>
      </w:pPr>
      <w:bookmarkStart w:id="3032" w:name="_Toc11690"/>
      <w:r>
        <w:rPr>
          <w:i w:val="0"/>
          <w:iCs w:val="0"/>
          <w:color w:val="auto"/>
          <w:sz w:val="24"/>
          <w:szCs w:val="24"/>
        </w:rPr>
        <w:t>（一）工程的目的</w:t>
      </w:r>
      <w:r>
        <w:rPr>
          <w:rFonts w:hint="eastAsia"/>
          <w:i w:val="0"/>
          <w:iCs w:val="0"/>
          <w:color w:val="auto"/>
          <w:sz w:val="24"/>
          <w:szCs w:val="24"/>
          <w:lang w:eastAsia="zh-CN"/>
        </w:rPr>
        <w:t>：河北女子职业技术学院辛集校区建设工程工程总承包</w:t>
      </w:r>
      <w:r>
        <w:rPr>
          <w:i w:val="0"/>
          <w:iCs w:val="0"/>
          <w:color w:val="auto"/>
          <w:sz w:val="24"/>
          <w:szCs w:val="24"/>
        </w:rPr>
        <w:t>。</w:t>
      </w:r>
      <w:bookmarkEnd w:id="3032"/>
    </w:p>
    <w:p w14:paraId="6493E377">
      <w:pPr>
        <w:rPr>
          <w:i w:val="0"/>
          <w:iCs w:val="0"/>
          <w:color w:val="auto"/>
          <w:sz w:val="24"/>
          <w:szCs w:val="24"/>
        </w:rPr>
      </w:pPr>
      <w:bookmarkStart w:id="3033" w:name="_Toc27285"/>
      <w:r>
        <w:rPr>
          <w:i w:val="0"/>
          <w:iCs w:val="0"/>
          <w:color w:val="auto"/>
          <w:sz w:val="24"/>
          <w:szCs w:val="24"/>
        </w:rPr>
        <w:t>（二）工程规模</w:t>
      </w:r>
      <w:r>
        <w:rPr>
          <w:rFonts w:hint="eastAsia"/>
          <w:i w:val="0"/>
          <w:iCs w:val="0"/>
          <w:color w:val="auto"/>
          <w:sz w:val="24"/>
          <w:szCs w:val="24"/>
          <w:lang w:eastAsia="zh-CN"/>
        </w:rPr>
        <w:t>：</w:t>
      </w:r>
      <w:r>
        <w:rPr>
          <w:rFonts w:hint="eastAsia"/>
          <w:i w:val="0"/>
          <w:iCs w:val="0"/>
          <w:color w:val="auto"/>
          <w:sz w:val="24"/>
          <w:szCs w:val="24"/>
          <w:lang w:val="en-US" w:eastAsia="zh-CN"/>
        </w:rPr>
        <w:t>详见招标公告</w:t>
      </w:r>
      <w:r>
        <w:rPr>
          <w:i w:val="0"/>
          <w:iCs w:val="0"/>
          <w:color w:val="auto"/>
          <w:sz w:val="24"/>
          <w:szCs w:val="24"/>
        </w:rPr>
        <w:t>。</w:t>
      </w:r>
      <w:bookmarkEnd w:id="3033"/>
    </w:p>
    <w:p w14:paraId="194D9C01">
      <w:pPr>
        <w:rPr>
          <w:i w:val="0"/>
          <w:iCs w:val="0"/>
          <w:color w:val="auto"/>
          <w:sz w:val="24"/>
          <w:szCs w:val="24"/>
        </w:rPr>
      </w:pPr>
      <w:bookmarkStart w:id="3034" w:name="_Toc12174"/>
      <w:r>
        <w:rPr>
          <w:i w:val="0"/>
          <w:iCs w:val="0"/>
          <w:color w:val="auto"/>
          <w:sz w:val="24"/>
          <w:szCs w:val="24"/>
        </w:rPr>
        <w:t>（三）性能保证指标</w:t>
      </w:r>
      <w:r>
        <w:rPr>
          <w:rFonts w:hint="eastAsia"/>
          <w:i w:val="0"/>
          <w:iCs w:val="0"/>
          <w:color w:val="auto"/>
          <w:sz w:val="24"/>
          <w:szCs w:val="24"/>
          <w:lang w:eastAsia="zh-CN"/>
        </w:rPr>
        <w:t>：符合国家各项规定，满足初步设计要求</w:t>
      </w:r>
      <w:r>
        <w:rPr>
          <w:i w:val="0"/>
          <w:iCs w:val="0"/>
          <w:color w:val="auto"/>
          <w:sz w:val="24"/>
          <w:szCs w:val="24"/>
        </w:rPr>
        <w:t>。</w:t>
      </w:r>
      <w:bookmarkEnd w:id="3034"/>
    </w:p>
    <w:p w14:paraId="4B037C20">
      <w:pPr>
        <w:rPr>
          <w:i w:val="0"/>
          <w:iCs w:val="0"/>
          <w:color w:val="auto"/>
          <w:sz w:val="24"/>
          <w:szCs w:val="24"/>
        </w:rPr>
      </w:pPr>
      <w:bookmarkStart w:id="3035" w:name="_Toc11175"/>
      <w:r>
        <w:rPr>
          <w:i w:val="0"/>
          <w:iCs w:val="0"/>
          <w:color w:val="auto"/>
          <w:sz w:val="24"/>
          <w:szCs w:val="24"/>
        </w:rPr>
        <w:t>（四）产能保证指标</w:t>
      </w:r>
      <w:r>
        <w:rPr>
          <w:rFonts w:hint="eastAsia"/>
          <w:i w:val="0"/>
          <w:iCs w:val="0"/>
          <w:color w:val="auto"/>
          <w:sz w:val="24"/>
          <w:szCs w:val="24"/>
          <w:lang w:eastAsia="zh-CN"/>
        </w:rPr>
        <w:t>：符合国家各项规定，满足初步设计要求</w:t>
      </w:r>
      <w:r>
        <w:rPr>
          <w:i w:val="0"/>
          <w:iCs w:val="0"/>
          <w:color w:val="auto"/>
          <w:sz w:val="24"/>
          <w:szCs w:val="24"/>
        </w:rPr>
        <w:t>。</w:t>
      </w:r>
      <w:bookmarkEnd w:id="3035"/>
    </w:p>
    <w:p w14:paraId="44246482">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36" w:name="_Toc19542"/>
      <w:bookmarkStart w:id="3037" w:name="_Toc146373085"/>
      <w:bookmarkStart w:id="3038" w:name="_Toc14874"/>
      <w:bookmarkStart w:id="3039" w:name="_Toc23490"/>
      <w:bookmarkStart w:id="3040" w:name="_Toc23549"/>
      <w:r>
        <w:rPr>
          <w:b/>
          <w:bCs/>
          <w:i w:val="0"/>
          <w:iCs w:val="0"/>
          <w:color w:val="auto"/>
          <w:sz w:val="24"/>
          <w:szCs w:val="24"/>
        </w:rPr>
        <w:t>二、工程范围</w:t>
      </w:r>
      <w:bookmarkEnd w:id="3036"/>
      <w:bookmarkEnd w:id="3037"/>
      <w:bookmarkEnd w:id="3038"/>
      <w:bookmarkEnd w:id="3039"/>
      <w:bookmarkEnd w:id="3040"/>
    </w:p>
    <w:p w14:paraId="4E06FF30">
      <w:pPr>
        <w:rPr>
          <w:rFonts w:hint="eastAsia" w:eastAsia="宋体"/>
          <w:i w:val="0"/>
          <w:iCs w:val="0"/>
          <w:color w:val="auto"/>
          <w:sz w:val="24"/>
          <w:szCs w:val="24"/>
          <w:lang w:eastAsia="zh-CN"/>
        </w:rPr>
      </w:pPr>
      <w:bookmarkStart w:id="3041" w:name="_Toc3561"/>
      <w:r>
        <w:rPr>
          <w:i w:val="0"/>
          <w:iCs w:val="0"/>
          <w:color w:val="auto"/>
          <w:sz w:val="24"/>
          <w:szCs w:val="24"/>
        </w:rPr>
        <w:t>（一）概述</w:t>
      </w:r>
      <w:bookmarkEnd w:id="3041"/>
      <w:r>
        <w:rPr>
          <w:rFonts w:hint="eastAsia"/>
          <w:i w:val="0"/>
          <w:iCs w:val="0"/>
          <w:color w:val="auto"/>
          <w:sz w:val="24"/>
          <w:szCs w:val="24"/>
          <w:lang w:eastAsia="zh-CN"/>
        </w:rPr>
        <w:t>：</w:t>
      </w:r>
      <w:r>
        <w:rPr>
          <w:rFonts w:hint="eastAsia"/>
          <w:i w:val="0"/>
          <w:iCs w:val="0"/>
          <w:color w:val="auto"/>
          <w:sz w:val="24"/>
          <w:szCs w:val="24"/>
          <w:u w:val="single"/>
          <w:lang w:eastAsia="zh-CN"/>
        </w:rPr>
        <w:t>完成本标段设计阶段工作（包括但不限于项目设计优化、施工图设计、BIM建模等全部设计工作，施工图应满足相关规范要求并完成施工图审查等相关工作）；完成本标段施工阶段工作（包括但不限于初步设计及施工图范围内的全部施工内容，负责建筑材料及设备的采购、安装、调试，办理开工前及施工过程中所有相关建设手续），完成各项专业验收和竣工验收（包括但不限于规划验收、人防验收、消防验收、档案验收、竣工验收等）；验收合格后整体移交；工程保修期内的缺陷修复等各项保修工作。（涵盖初步设计批复的全部内容及实现功能需要的全部设计内容、以及根据招标人的需要在初步设计范围内增加的建设内容）。</w:t>
      </w:r>
    </w:p>
    <w:p w14:paraId="2BA19743">
      <w:pPr>
        <w:rPr>
          <w:i w:val="0"/>
          <w:iCs w:val="0"/>
          <w:color w:val="auto"/>
          <w:sz w:val="24"/>
          <w:szCs w:val="24"/>
        </w:rPr>
      </w:pPr>
      <w:bookmarkStart w:id="3042" w:name="_Toc24830"/>
      <w:r>
        <w:rPr>
          <w:i w:val="0"/>
          <w:iCs w:val="0"/>
          <w:color w:val="auto"/>
          <w:sz w:val="24"/>
          <w:szCs w:val="24"/>
        </w:rPr>
        <w:t>（二）包括的工作</w:t>
      </w:r>
      <w:bookmarkEnd w:id="3042"/>
    </w:p>
    <w:p w14:paraId="54521898">
      <w:pPr>
        <w:rPr>
          <w:rFonts w:hint="eastAsia"/>
          <w:i w:val="0"/>
          <w:iCs w:val="0"/>
          <w:color w:val="auto"/>
          <w:sz w:val="24"/>
          <w:szCs w:val="24"/>
        </w:rPr>
      </w:pPr>
      <w:r>
        <w:rPr>
          <w:rFonts w:hint="eastAsia"/>
          <w:i w:val="0"/>
          <w:iCs w:val="0"/>
          <w:color w:val="auto"/>
          <w:sz w:val="24"/>
          <w:szCs w:val="24"/>
        </w:rPr>
        <w:t>1.设计：包括初步设计批复的内容及实现功能需要的全部设计内容及现场服务等。</w:t>
      </w:r>
    </w:p>
    <w:p w14:paraId="7000BD74">
      <w:pPr>
        <w:rPr>
          <w:rFonts w:hint="eastAsia"/>
          <w:i w:val="0"/>
          <w:iCs w:val="0"/>
          <w:color w:val="auto"/>
          <w:sz w:val="24"/>
          <w:szCs w:val="24"/>
        </w:rPr>
      </w:pPr>
      <w:r>
        <w:rPr>
          <w:rFonts w:hint="eastAsia"/>
          <w:i w:val="0"/>
          <w:iCs w:val="0"/>
          <w:color w:val="auto"/>
          <w:sz w:val="24"/>
          <w:szCs w:val="24"/>
        </w:rPr>
        <w:t>2.施工：包括实现初步设计批复的全部内容以及项目功能需要的全部内容，具体包括本工程所涉及的设备材料采购、施工至竣工验收、移交，保修期内质保服务等。</w:t>
      </w:r>
    </w:p>
    <w:p w14:paraId="1163EB9D">
      <w:pPr>
        <w:rPr>
          <w:i w:val="0"/>
          <w:iCs w:val="0"/>
          <w:color w:val="auto"/>
          <w:sz w:val="24"/>
          <w:szCs w:val="24"/>
        </w:rPr>
      </w:pPr>
      <w:r>
        <w:rPr>
          <w:rFonts w:hint="eastAsia"/>
          <w:i w:val="0"/>
          <w:iCs w:val="0"/>
          <w:color w:val="auto"/>
          <w:sz w:val="24"/>
          <w:szCs w:val="24"/>
        </w:rPr>
        <w:t>3.技术服务要求：承包人须根据项目建设需求，配备项目班子人员，配齐相应的项目技术负责人、施工负责人、工程质量负责人、施工安全负责人、项目造价负责人等主要项目管理人员和施工员、质量员、安全员等普通管理人员，满足本工程技术实施的需求。驻场人员需具备实践、技术能力及丰富施工管理经验，专职为本项目服务。承包人人员变更须满足招标文件要求，并经发包人认可后办理相关手续。</w:t>
      </w:r>
    </w:p>
    <w:p w14:paraId="78590067">
      <w:pPr>
        <w:rPr>
          <w:i w:val="0"/>
          <w:iCs w:val="0"/>
          <w:color w:val="auto"/>
          <w:sz w:val="24"/>
          <w:szCs w:val="24"/>
        </w:rPr>
      </w:pPr>
      <w:bookmarkStart w:id="3043" w:name="_Toc22610"/>
      <w:r>
        <w:rPr>
          <w:i w:val="0"/>
          <w:iCs w:val="0"/>
          <w:color w:val="auto"/>
          <w:sz w:val="24"/>
          <w:szCs w:val="24"/>
        </w:rPr>
        <w:t>（三）工作界区</w:t>
      </w:r>
      <w:bookmarkEnd w:id="3043"/>
    </w:p>
    <w:p w14:paraId="6CC31274">
      <w:pPr>
        <w:rPr>
          <w:rFonts w:hint="eastAsia"/>
          <w:i w:val="0"/>
          <w:iCs w:val="0"/>
          <w:color w:val="auto"/>
          <w:sz w:val="24"/>
          <w:szCs w:val="24"/>
        </w:rPr>
      </w:pPr>
      <w:bookmarkStart w:id="3044" w:name="_Toc22795"/>
      <w:r>
        <w:rPr>
          <w:rFonts w:hint="eastAsia"/>
          <w:i w:val="0"/>
          <w:iCs w:val="0"/>
          <w:color w:val="auto"/>
          <w:sz w:val="24"/>
          <w:szCs w:val="24"/>
        </w:rPr>
        <w:t>承包方应该严格按本《招标文件》要求及国家规范完成设计及施工。承包方报价及工程量应包含满足发包方一切最终使用需求及国家规范的设计、材料、设备、施工、检验、检测，以及因消防审图（验收）造成的图纸变更及相应产生的施工费用等全部费用。除因发包方为提升设备及装修品质而发起的变更外，其余因设计缺陷、工程障碍、各类终端（末端）设备位置调整等变更及造成的费用增加均由承包方承担。</w:t>
      </w:r>
    </w:p>
    <w:p w14:paraId="1DF6E3EE">
      <w:pPr>
        <w:rPr>
          <w:rFonts w:hint="eastAsia"/>
          <w:i w:val="0"/>
          <w:iCs w:val="0"/>
          <w:color w:val="auto"/>
          <w:sz w:val="24"/>
          <w:szCs w:val="24"/>
        </w:rPr>
      </w:pPr>
      <w:r>
        <w:rPr>
          <w:rFonts w:hint="eastAsia"/>
          <w:i w:val="0"/>
          <w:iCs w:val="0"/>
          <w:color w:val="auto"/>
          <w:sz w:val="24"/>
          <w:szCs w:val="24"/>
        </w:rPr>
        <w:t>招标形式为工程总承包，包括建筑、结构、给水排水、暖通空调、强电、弱电设计，室外工程设计，绿建设计等全部初步设计内容。</w:t>
      </w:r>
    </w:p>
    <w:p w14:paraId="5C3C5BA7">
      <w:pPr>
        <w:rPr>
          <w:i w:val="0"/>
          <w:iCs w:val="0"/>
          <w:color w:val="auto"/>
          <w:sz w:val="24"/>
          <w:szCs w:val="24"/>
        </w:rPr>
      </w:pPr>
      <w:r>
        <w:rPr>
          <w:rFonts w:hint="eastAsia"/>
          <w:i w:val="0"/>
          <w:iCs w:val="0"/>
          <w:color w:val="auto"/>
          <w:sz w:val="24"/>
          <w:szCs w:val="24"/>
        </w:rPr>
        <w:t>其他：1）后续工程手续跑办及与之相关全部费用均含在本工程内。2）本工程所占场地上的树木移栽或砍伐、清理及场地清理均含在本工程内。3）本工程占地范围内，原高压线、原地下管线的迁改及场地原状恢复等属于室外工程，包含在本工程内。</w:t>
      </w:r>
    </w:p>
    <w:p w14:paraId="5018A0B3">
      <w:pPr>
        <w:rPr>
          <w:i w:val="0"/>
          <w:iCs w:val="0"/>
          <w:color w:val="auto"/>
          <w:sz w:val="24"/>
          <w:szCs w:val="24"/>
        </w:rPr>
      </w:pPr>
      <w:r>
        <w:rPr>
          <w:i w:val="0"/>
          <w:iCs w:val="0"/>
          <w:color w:val="auto"/>
          <w:sz w:val="24"/>
          <w:szCs w:val="24"/>
        </w:rPr>
        <w:t>（四）发包人提供的现场条件</w:t>
      </w:r>
      <w:bookmarkEnd w:id="3044"/>
    </w:p>
    <w:p w14:paraId="48EFCE6B">
      <w:pPr>
        <w:rPr>
          <w:rFonts w:hint="eastAsia"/>
          <w:i w:val="0"/>
          <w:iCs w:val="0"/>
          <w:color w:val="auto"/>
          <w:sz w:val="24"/>
          <w:szCs w:val="24"/>
        </w:rPr>
      </w:pPr>
      <w:r>
        <w:rPr>
          <w:rFonts w:hint="eastAsia"/>
          <w:i w:val="0"/>
          <w:iCs w:val="0"/>
          <w:color w:val="auto"/>
          <w:sz w:val="24"/>
          <w:szCs w:val="24"/>
        </w:rPr>
        <w:t>通过现场踏勘，自行获取项目现场条件，若遇相关调整涉及费用均由承包人承担。因发包人其提供的基础资料不足导致承包人增加费用和（或）工期延误的，费用由承包人承担，工期可顺延。</w:t>
      </w:r>
    </w:p>
    <w:p w14:paraId="6B577DC3">
      <w:pPr>
        <w:rPr>
          <w:i w:val="0"/>
          <w:iCs w:val="0"/>
          <w:color w:val="auto"/>
          <w:sz w:val="24"/>
          <w:szCs w:val="24"/>
        </w:rPr>
      </w:pPr>
      <w:r>
        <w:rPr>
          <w:rFonts w:hint="eastAsia"/>
          <w:i w:val="0"/>
          <w:iCs w:val="0"/>
          <w:color w:val="auto"/>
          <w:sz w:val="24"/>
          <w:szCs w:val="24"/>
        </w:rPr>
        <w:t>承包人负责提供满足发包人现场办公、会议、值班等需求的房间，房间应具有办公桌椅、电脑、空调等办公设备设施，为监理人提供办公所需要的房间和办公桌椅，费用包含在投标总价中。</w:t>
      </w:r>
    </w:p>
    <w:p w14:paraId="2324A209">
      <w:pPr>
        <w:rPr>
          <w:i w:val="0"/>
          <w:iCs w:val="0"/>
          <w:color w:val="auto"/>
          <w:sz w:val="24"/>
          <w:szCs w:val="24"/>
        </w:rPr>
      </w:pPr>
      <w:bookmarkStart w:id="3045" w:name="_Toc14704"/>
      <w:r>
        <w:rPr>
          <w:i w:val="0"/>
          <w:iCs w:val="0"/>
          <w:color w:val="auto"/>
          <w:sz w:val="24"/>
          <w:szCs w:val="24"/>
        </w:rPr>
        <w:t>（五）发包人提供的技术文件</w:t>
      </w:r>
      <w:bookmarkEnd w:id="3045"/>
    </w:p>
    <w:p w14:paraId="230CC0D3">
      <w:pPr>
        <w:rPr>
          <w:i w:val="0"/>
          <w:iCs w:val="0"/>
          <w:color w:val="auto"/>
          <w:sz w:val="24"/>
          <w:szCs w:val="24"/>
          <w:highlight w:val="none"/>
        </w:rPr>
      </w:pPr>
      <w:r>
        <w:rPr>
          <w:rFonts w:hint="eastAsia"/>
          <w:i w:val="0"/>
          <w:iCs w:val="0"/>
          <w:color w:val="auto"/>
          <w:sz w:val="24"/>
          <w:szCs w:val="24"/>
          <w:highlight w:val="none"/>
          <w:lang w:val="en-US" w:eastAsia="zh-CN"/>
        </w:rPr>
        <w:t>见第六章发包人提供的资料</w:t>
      </w:r>
      <w:r>
        <w:rPr>
          <w:rFonts w:hint="eastAsia"/>
          <w:i w:val="0"/>
          <w:iCs w:val="0"/>
          <w:color w:val="auto"/>
          <w:sz w:val="24"/>
          <w:szCs w:val="24"/>
          <w:highlight w:val="none"/>
        </w:rPr>
        <w:t>。</w:t>
      </w:r>
    </w:p>
    <w:p w14:paraId="3BD92428">
      <w:pPr>
        <w:keepNext w:val="0"/>
        <w:keepLines w:val="0"/>
        <w:pageBreakBefore w:val="0"/>
        <w:widowControl w:val="0"/>
        <w:kinsoku/>
        <w:wordWrap/>
        <w:overflowPunct/>
        <w:topLinePunct w:val="0"/>
        <w:autoSpaceDE/>
        <w:autoSpaceDN/>
        <w:bidi w:val="0"/>
        <w:adjustRightInd/>
        <w:snapToGrid/>
        <w:textAlignment w:val="auto"/>
        <w:outlineLvl w:val="1"/>
        <w:rPr>
          <w:rFonts w:hint="eastAsia" w:eastAsia="宋体"/>
          <w:b/>
          <w:bCs/>
          <w:i w:val="0"/>
          <w:iCs w:val="0"/>
          <w:color w:val="auto"/>
          <w:sz w:val="24"/>
          <w:szCs w:val="24"/>
          <w:lang w:eastAsia="zh-CN"/>
        </w:rPr>
      </w:pPr>
      <w:bookmarkStart w:id="3046" w:name="_Toc15452"/>
      <w:bookmarkStart w:id="3047" w:name="_Toc27783"/>
      <w:bookmarkStart w:id="3048" w:name="_Toc513196360"/>
      <w:bookmarkStart w:id="3049" w:name="_Toc4656"/>
      <w:bookmarkStart w:id="3050" w:name="_Toc3496"/>
      <w:r>
        <w:rPr>
          <w:b/>
          <w:bCs/>
          <w:i w:val="0"/>
          <w:iCs w:val="0"/>
          <w:color w:val="auto"/>
          <w:sz w:val="24"/>
          <w:szCs w:val="24"/>
        </w:rPr>
        <w:t>三、工艺安排或要求</w:t>
      </w:r>
      <w:bookmarkEnd w:id="3046"/>
      <w:bookmarkEnd w:id="3047"/>
      <w:bookmarkEnd w:id="3048"/>
      <w:r>
        <w:rPr>
          <w:rFonts w:hint="eastAsia"/>
          <w:b/>
          <w:bCs/>
          <w:i w:val="0"/>
          <w:iCs w:val="0"/>
          <w:color w:val="auto"/>
          <w:sz w:val="24"/>
          <w:szCs w:val="24"/>
          <w:lang w:eastAsia="zh-CN"/>
        </w:rPr>
        <w:t>：</w:t>
      </w:r>
      <w:bookmarkEnd w:id="3049"/>
      <w:r>
        <w:rPr>
          <w:rFonts w:hint="eastAsia"/>
          <w:b w:val="0"/>
          <w:bCs w:val="0"/>
          <w:i w:val="0"/>
          <w:iCs w:val="0"/>
          <w:color w:val="auto"/>
          <w:sz w:val="24"/>
          <w:szCs w:val="24"/>
          <w:u w:val="none"/>
          <w:lang w:val="en-US" w:eastAsia="zh-CN"/>
        </w:rPr>
        <w:t>/。</w:t>
      </w:r>
      <w:bookmarkEnd w:id="3050"/>
    </w:p>
    <w:p w14:paraId="00420055">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51" w:name="_Toc5167"/>
      <w:bookmarkStart w:id="3052" w:name="_Toc14623"/>
      <w:bookmarkStart w:id="3053" w:name="_Toc442215364"/>
      <w:bookmarkStart w:id="3054" w:name="_Toc11741"/>
      <w:bookmarkStart w:id="3055" w:name="_Toc8866"/>
      <w:r>
        <w:rPr>
          <w:b/>
          <w:bCs/>
          <w:i w:val="0"/>
          <w:iCs w:val="0"/>
          <w:color w:val="auto"/>
          <w:sz w:val="24"/>
          <w:szCs w:val="24"/>
        </w:rPr>
        <w:t>四、时间要求</w:t>
      </w:r>
      <w:bookmarkEnd w:id="3051"/>
      <w:bookmarkEnd w:id="3052"/>
      <w:bookmarkEnd w:id="3053"/>
      <w:bookmarkEnd w:id="3054"/>
      <w:bookmarkEnd w:id="3055"/>
    </w:p>
    <w:p w14:paraId="0E596ECD">
      <w:pPr>
        <w:rPr>
          <w:i w:val="0"/>
          <w:iCs w:val="0"/>
          <w:color w:val="auto"/>
          <w:sz w:val="24"/>
          <w:szCs w:val="24"/>
        </w:rPr>
      </w:pPr>
      <w:bookmarkStart w:id="3056" w:name="_Toc28062"/>
      <w:r>
        <w:rPr>
          <w:i w:val="0"/>
          <w:iCs w:val="0"/>
          <w:color w:val="auto"/>
          <w:sz w:val="24"/>
          <w:szCs w:val="24"/>
        </w:rPr>
        <w:t>（一）</w:t>
      </w:r>
      <w:r>
        <w:rPr>
          <w:rFonts w:hint="eastAsia"/>
          <w:i w:val="0"/>
          <w:iCs w:val="0"/>
          <w:color w:val="auto"/>
          <w:sz w:val="24"/>
          <w:szCs w:val="24"/>
          <w:lang w:val="en-US" w:eastAsia="zh-CN"/>
        </w:rPr>
        <w:t>计划</w:t>
      </w:r>
      <w:r>
        <w:rPr>
          <w:i w:val="0"/>
          <w:iCs w:val="0"/>
          <w:color w:val="auto"/>
          <w:sz w:val="24"/>
          <w:szCs w:val="24"/>
        </w:rPr>
        <w:t>开始工作时间</w:t>
      </w:r>
      <w:r>
        <w:rPr>
          <w:rFonts w:hint="eastAsia"/>
          <w:i w:val="0"/>
          <w:iCs w:val="0"/>
          <w:color w:val="auto"/>
          <w:sz w:val="24"/>
          <w:szCs w:val="24"/>
          <w:lang w:eastAsia="zh-CN"/>
        </w:rPr>
        <w:t>：</w:t>
      </w:r>
      <w:r>
        <w:rPr>
          <w:rFonts w:hint="eastAsia"/>
          <w:color w:val="auto"/>
          <w:sz w:val="24"/>
          <w:szCs w:val="24"/>
          <w:highlight w:val="none"/>
          <w:u w:val="none"/>
          <w:lang w:val="en-US" w:eastAsia="zh-CN"/>
        </w:rPr>
        <w:t>见投标人须知前附表</w:t>
      </w:r>
      <w:r>
        <w:rPr>
          <w:i w:val="0"/>
          <w:iCs w:val="0"/>
          <w:color w:val="auto"/>
          <w:sz w:val="24"/>
          <w:szCs w:val="24"/>
        </w:rPr>
        <w:t>。</w:t>
      </w:r>
      <w:bookmarkEnd w:id="3056"/>
    </w:p>
    <w:p w14:paraId="5E8CF7E8">
      <w:pPr>
        <w:rPr>
          <w:i w:val="0"/>
          <w:iCs w:val="0"/>
          <w:color w:val="auto"/>
          <w:sz w:val="24"/>
          <w:szCs w:val="24"/>
        </w:rPr>
      </w:pPr>
      <w:bookmarkStart w:id="3057" w:name="_Toc29291"/>
      <w:r>
        <w:rPr>
          <w:i w:val="0"/>
          <w:iCs w:val="0"/>
          <w:color w:val="auto"/>
          <w:sz w:val="24"/>
          <w:szCs w:val="24"/>
        </w:rPr>
        <w:t>（二）设计完成时间</w:t>
      </w:r>
      <w:r>
        <w:rPr>
          <w:rFonts w:hint="eastAsia"/>
          <w:i w:val="0"/>
          <w:iCs w:val="0"/>
          <w:color w:val="auto"/>
          <w:sz w:val="24"/>
          <w:szCs w:val="24"/>
          <w:lang w:eastAsia="zh-CN"/>
        </w:rPr>
        <w:t>：</w:t>
      </w:r>
      <w:r>
        <w:rPr>
          <w:rFonts w:hint="eastAsia"/>
          <w:i w:val="0"/>
          <w:iCs w:val="0"/>
          <w:color w:val="auto"/>
          <w:sz w:val="24"/>
          <w:szCs w:val="24"/>
          <w:highlight w:val="none"/>
          <w:lang w:eastAsia="zh-CN"/>
        </w:rPr>
        <w:t>合同签订后</w:t>
      </w:r>
      <w:r>
        <w:rPr>
          <w:rFonts w:hint="eastAsia"/>
          <w:i w:val="0"/>
          <w:iCs w:val="0"/>
          <w:color w:val="auto"/>
          <w:sz w:val="24"/>
          <w:szCs w:val="24"/>
          <w:highlight w:val="none"/>
          <w:lang w:val="en-US" w:eastAsia="zh-CN"/>
        </w:rPr>
        <w:t>60</w:t>
      </w:r>
      <w:r>
        <w:rPr>
          <w:rFonts w:hint="eastAsia"/>
          <w:i w:val="0"/>
          <w:iCs w:val="0"/>
          <w:color w:val="auto"/>
          <w:sz w:val="24"/>
          <w:szCs w:val="24"/>
          <w:highlight w:val="none"/>
          <w:lang w:eastAsia="zh-CN"/>
        </w:rPr>
        <w:t>日内完成全部施工图设计</w:t>
      </w:r>
      <w:r>
        <w:rPr>
          <w:rFonts w:hint="eastAsia"/>
          <w:i w:val="0"/>
          <w:iCs w:val="0"/>
          <w:color w:val="auto"/>
          <w:sz w:val="24"/>
          <w:szCs w:val="24"/>
          <w:highlight w:val="none"/>
          <w:lang w:val="en-US" w:eastAsia="zh-CN"/>
        </w:rPr>
        <w:t>及施工图审查</w:t>
      </w:r>
      <w:r>
        <w:rPr>
          <w:i w:val="0"/>
          <w:iCs w:val="0"/>
          <w:color w:val="auto"/>
          <w:sz w:val="24"/>
          <w:szCs w:val="24"/>
          <w:highlight w:val="none"/>
        </w:rPr>
        <w:t>。</w:t>
      </w:r>
      <w:bookmarkEnd w:id="3057"/>
    </w:p>
    <w:p w14:paraId="14DC5B3E">
      <w:pPr>
        <w:rPr>
          <w:i w:val="0"/>
          <w:iCs w:val="0"/>
          <w:color w:val="auto"/>
          <w:sz w:val="24"/>
          <w:szCs w:val="24"/>
        </w:rPr>
      </w:pPr>
      <w:bookmarkStart w:id="3058" w:name="_Toc27058"/>
      <w:r>
        <w:rPr>
          <w:i w:val="0"/>
          <w:iCs w:val="0"/>
          <w:color w:val="auto"/>
          <w:sz w:val="24"/>
          <w:szCs w:val="24"/>
        </w:rPr>
        <w:t>（三）</w:t>
      </w:r>
      <w:bookmarkEnd w:id="3058"/>
      <w:bookmarkStart w:id="3059" w:name="_Toc3589"/>
      <w:r>
        <w:rPr>
          <w:rFonts w:hint="eastAsia"/>
          <w:i w:val="0"/>
          <w:iCs w:val="0"/>
          <w:color w:val="auto"/>
          <w:sz w:val="24"/>
          <w:szCs w:val="24"/>
          <w:lang w:val="en-US" w:eastAsia="zh-CN"/>
        </w:rPr>
        <w:t>计划</w:t>
      </w:r>
      <w:r>
        <w:rPr>
          <w:i w:val="0"/>
          <w:iCs w:val="0"/>
          <w:color w:val="auto"/>
          <w:sz w:val="24"/>
          <w:szCs w:val="24"/>
        </w:rPr>
        <w:t>竣工时间</w:t>
      </w:r>
      <w:r>
        <w:rPr>
          <w:rFonts w:hint="eastAsia"/>
          <w:i w:val="0"/>
          <w:iCs w:val="0"/>
          <w:color w:val="auto"/>
          <w:sz w:val="24"/>
          <w:szCs w:val="24"/>
          <w:lang w:eastAsia="zh-CN"/>
        </w:rPr>
        <w:t>：</w:t>
      </w:r>
      <w:r>
        <w:rPr>
          <w:rFonts w:hint="eastAsia"/>
          <w:color w:val="auto"/>
          <w:sz w:val="24"/>
          <w:szCs w:val="24"/>
          <w:highlight w:val="none"/>
          <w:u w:val="none"/>
          <w:lang w:val="en-US" w:eastAsia="zh-CN"/>
        </w:rPr>
        <w:t>见投标人须知前附表</w:t>
      </w:r>
      <w:r>
        <w:rPr>
          <w:i w:val="0"/>
          <w:iCs w:val="0"/>
          <w:color w:val="auto"/>
          <w:sz w:val="24"/>
          <w:szCs w:val="24"/>
        </w:rPr>
        <w:t>。</w:t>
      </w:r>
      <w:bookmarkEnd w:id="3059"/>
    </w:p>
    <w:p w14:paraId="56564876">
      <w:pPr>
        <w:rPr>
          <w:i w:val="0"/>
          <w:iCs w:val="0"/>
          <w:color w:val="auto"/>
          <w:sz w:val="24"/>
          <w:szCs w:val="24"/>
        </w:rPr>
      </w:pPr>
      <w:bookmarkStart w:id="3060" w:name="_Toc28930"/>
      <w:r>
        <w:rPr>
          <w:i w:val="0"/>
          <w:iCs w:val="0"/>
          <w:color w:val="auto"/>
          <w:sz w:val="24"/>
          <w:szCs w:val="24"/>
        </w:rPr>
        <w:t>（五）缺陷责任期</w:t>
      </w:r>
      <w:r>
        <w:rPr>
          <w:rFonts w:hint="eastAsia"/>
          <w:i w:val="0"/>
          <w:iCs w:val="0"/>
          <w:color w:val="auto"/>
          <w:sz w:val="24"/>
          <w:szCs w:val="24"/>
          <w:lang w:eastAsia="zh-CN"/>
        </w:rPr>
        <w:t>：</w:t>
      </w:r>
      <w:r>
        <w:rPr>
          <w:rFonts w:hint="eastAsia"/>
          <w:i w:val="0"/>
          <w:iCs w:val="0"/>
          <w:color w:val="auto"/>
          <w:sz w:val="24"/>
          <w:szCs w:val="24"/>
          <w:lang w:val="en-US" w:eastAsia="zh-CN"/>
        </w:rPr>
        <w:t>24个月</w:t>
      </w:r>
      <w:r>
        <w:rPr>
          <w:i w:val="0"/>
          <w:iCs w:val="0"/>
          <w:color w:val="auto"/>
          <w:sz w:val="24"/>
          <w:szCs w:val="24"/>
        </w:rPr>
        <w:t>。</w:t>
      </w:r>
      <w:bookmarkEnd w:id="3060"/>
    </w:p>
    <w:p w14:paraId="66A2C17E">
      <w:pPr>
        <w:rPr>
          <w:i w:val="0"/>
          <w:iCs w:val="0"/>
          <w:color w:val="auto"/>
          <w:sz w:val="24"/>
          <w:szCs w:val="24"/>
        </w:rPr>
      </w:pPr>
      <w:bookmarkStart w:id="3061" w:name="_Toc19675"/>
      <w:r>
        <w:rPr>
          <w:i w:val="0"/>
          <w:iCs w:val="0"/>
          <w:color w:val="auto"/>
          <w:sz w:val="24"/>
          <w:szCs w:val="24"/>
        </w:rPr>
        <w:t>（六）</w:t>
      </w:r>
      <w:r>
        <w:rPr>
          <w:rFonts w:hint="eastAsia"/>
          <w:i w:val="0"/>
          <w:iCs w:val="0"/>
          <w:color w:val="auto"/>
          <w:sz w:val="24"/>
          <w:szCs w:val="24"/>
          <w:lang w:val="en-US" w:eastAsia="zh-CN"/>
        </w:rPr>
        <w:t>计划工期：</w:t>
      </w:r>
      <w:r>
        <w:rPr>
          <w:rFonts w:hint="eastAsia"/>
          <w:color w:val="auto"/>
          <w:sz w:val="24"/>
          <w:szCs w:val="24"/>
          <w:highlight w:val="none"/>
          <w:u w:val="none"/>
          <w:lang w:val="en-US" w:eastAsia="zh-CN"/>
        </w:rPr>
        <w:t>见投标人须知前附表</w:t>
      </w:r>
      <w:r>
        <w:rPr>
          <w:i w:val="0"/>
          <w:iCs w:val="0"/>
          <w:color w:val="auto"/>
          <w:sz w:val="24"/>
          <w:szCs w:val="24"/>
        </w:rPr>
        <w:t>。</w:t>
      </w:r>
      <w:bookmarkEnd w:id="3061"/>
    </w:p>
    <w:p w14:paraId="194B5DB3">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62" w:name="_Toc24402"/>
      <w:bookmarkStart w:id="3063" w:name="_Toc561654419"/>
      <w:bookmarkStart w:id="3064" w:name="_Toc20824"/>
      <w:bookmarkStart w:id="3065" w:name="_Toc4807"/>
      <w:bookmarkStart w:id="3066" w:name="_Toc3282"/>
      <w:r>
        <w:rPr>
          <w:b/>
          <w:bCs/>
          <w:i w:val="0"/>
          <w:iCs w:val="0"/>
          <w:color w:val="auto"/>
          <w:sz w:val="24"/>
          <w:szCs w:val="24"/>
        </w:rPr>
        <w:t>五、技术要求</w:t>
      </w:r>
      <w:bookmarkEnd w:id="3062"/>
      <w:bookmarkEnd w:id="3063"/>
      <w:bookmarkEnd w:id="3064"/>
      <w:bookmarkEnd w:id="3065"/>
      <w:bookmarkEnd w:id="3066"/>
    </w:p>
    <w:p w14:paraId="50631204">
      <w:pPr>
        <w:rPr>
          <w:i w:val="0"/>
          <w:iCs w:val="0"/>
          <w:color w:val="auto"/>
          <w:sz w:val="24"/>
          <w:szCs w:val="24"/>
        </w:rPr>
      </w:pPr>
      <w:r>
        <w:rPr>
          <w:i w:val="0"/>
          <w:iCs w:val="0"/>
          <w:color w:val="auto"/>
          <w:sz w:val="24"/>
          <w:szCs w:val="24"/>
        </w:rPr>
        <w:t>（一）设计阶段和设计任务</w:t>
      </w:r>
    </w:p>
    <w:p w14:paraId="24ACBF62">
      <w:pPr>
        <w:rPr>
          <w:i w:val="0"/>
          <w:iCs w:val="0"/>
          <w:color w:val="auto"/>
          <w:sz w:val="24"/>
          <w:szCs w:val="24"/>
        </w:rPr>
      </w:pPr>
      <w:r>
        <w:rPr>
          <w:rFonts w:hint="eastAsia"/>
          <w:i w:val="0"/>
          <w:iCs w:val="0"/>
          <w:color w:val="auto"/>
          <w:sz w:val="24"/>
          <w:szCs w:val="24"/>
          <w:lang w:eastAsia="zh-CN"/>
        </w:rPr>
        <w:t>承包人完成该项目所需全部施工图设计及现场服务等。包括初步设计批复的内容及实现功能需要的全部设计内容及现场服务等。承包人应在不同的施工阶段按照发包人要求派相关专业设计人员驻现场</w:t>
      </w:r>
      <w:r>
        <w:rPr>
          <w:i w:val="0"/>
          <w:iCs w:val="0"/>
          <w:color w:val="auto"/>
          <w:sz w:val="24"/>
          <w:szCs w:val="24"/>
        </w:rPr>
        <w:t>。</w:t>
      </w:r>
    </w:p>
    <w:p w14:paraId="3B6AE12C">
      <w:pPr>
        <w:rPr>
          <w:i w:val="0"/>
          <w:iCs w:val="0"/>
          <w:color w:val="auto"/>
          <w:sz w:val="24"/>
          <w:szCs w:val="24"/>
        </w:rPr>
      </w:pPr>
      <w:r>
        <w:rPr>
          <w:i w:val="0"/>
          <w:iCs w:val="0"/>
          <w:color w:val="auto"/>
          <w:sz w:val="24"/>
          <w:szCs w:val="24"/>
        </w:rPr>
        <w:t>（二）设计标准和规范。</w:t>
      </w:r>
    </w:p>
    <w:p w14:paraId="0DD3674B">
      <w:pPr>
        <w:rPr>
          <w:rFonts w:hint="eastAsia"/>
          <w:i w:val="0"/>
          <w:iCs w:val="0"/>
          <w:color w:val="auto"/>
          <w:sz w:val="24"/>
          <w:szCs w:val="24"/>
        </w:rPr>
      </w:pPr>
      <w:r>
        <w:rPr>
          <w:rFonts w:hint="eastAsia"/>
          <w:i w:val="0"/>
          <w:iCs w:val="0"/>
          <w:color w:val="auto"/>
          <w:sz w:val="24"/>
          <w:szCs w:val="24"/>
        </w:rPr>
        <w:t>本工程的设计和施工过程和成果均必须达到现行中华人民共和国及河北省、石家庄市及相关行业的所有有关的法规、标准、规范、规程、定额、办法、示例等有效的相关标准和规范设计规范。</w:t>
      </w:r>
    </w:p>
    <w:p w14:paraId="757EFF11">
      <w:pPr>
        <w:rPr>
          <w:i w:val="0"/>
          <w:iCs w:val="0"/>
          <w:color w:val="auto"/>
          <w:sz w:val="24"/>
          <w:szCs w:val="24"/>
        </w:rPr>
      </w:pPr>
      <w:r>
        <w:rPr>
          <w:rFonts w:hint="eastAsia"/>
          <w:i w:val="0"/>
          <w:iCs w:val="0"/>
          <w:color w:val="auto"/>
          <w:sz w:val="24"/>
          <w:szCs w:val="24"/>
        </w:rPr>
        <w:t>若有规范、标准不一致时，则以要求最为严格的规范、规程或标准作为工作依据。如有更新标准按最新标准执行。</w:t>
      </w:r>
    </w:p>
    <w:p w14:paraId="233EAC48">
      <w:pPr>
        <w:rPr>
          <w:i w:val="0"/>
          <w:iCs w:val="0"/>
          <w:color w:val="auto"/>
          <w:sz w:val="24"/>
          <w:szCs w:val="24"/>
        </w:rPr>
      </w:pPr>
      <w:r>
        <w:rPr>
          <w:i w:val="0"/>
          <w:iCs w:val="0"/>
          <w:color w:val="auto"/>
          <w:sz w:val="24"/>
          <w:szCs w:val="24"/>
        </w:rPr>
        <w:t>（三）技术标准和要求。</w:t>
      </w:r>
    </w:p>
    <w:p w14:paraId="5D2A8E2A">
      <w:pPr>
        <w:rPr>
          <w:i w:val="0"/>
          <w:iCs w:val="0"/>
          <w:color w:val="auto"/>
          <w:sz w:val="24"/>
          <w:szCs w:val="24"/>
        </w:rPr>
      </w:pPr>
      <w:r>
        <w:rPr>
          <w:rFonts w:hint="eastAsia"/>
          <w:i w:val="0"/>
          <w:iCs w:val="0"/>
          <w:color w:val="auto"/>
          <w:sz w:val="24"/>
          <w:szCs w:val="24"/>
        </w:rPr>
        <w:t>必须达到最新版的国家标准、规范和工作准则等的有关法规的要求。</w:t>
      </w:r>
    </w:p>
    <w:p w14:paraId="4F3FDD6B">
      <w:pPr>
        <w:rPr>
          <w:i w:val="0"/>
          <w:iCs w:val="0"/>
          <w:color w:val="auto"/>
          <w:sz w:val="24"/>
          <w:szCs w:val="24"/>
        </w:rPr>
      </w:pPr>
      <w:r>
        <w:rPr>
          <w:i w:val="0"/>
          <w:iCs w:val="0"/>
          <w:color w:val="auto"/>
          <w:sz w:val="24"/>
          <w:szCs w:val="24"/>
        </w:rPr>
        <w:t>（四）质量标准。</w:t>
      </w:r>
    </w:p>
    <w:p w14:paraId="3F0C1161">
      <w:pPr>
        <w:rPr>
          <w:rFonts w:hint="eastAsia"/>
          <w:i w:val="0"/>
          <w:iCs w:val="0"/>
          <w:color w:val="auto"/>
          <w:sz w:val="24"/>
          <w:szCs w:val="24"/>
        </w:rPr>
      </w:pPr>
      <w:r>
        <w:rPr>
          <w:rFonts w:hint="eastAsia"/>
          <w:i w:val="0"/>
          <w:iCs w:val="0"/>
          <w:color w:val="auto"/>
          <w:sz w:val="24"/>
          <w:szCs w:val="24"/>
        </w:rPr>
        <w:t>设计要求的质量标准：满足现行设计规范的要求，并通过相关部门的综合审查、验收。施工要求的质量标准：合格。</w:t>
      </w:r>
    </w:p>
    <w:p w14:paraId="2D9D1C59">
      <w:pPr>
        <w:rPr>
          <w:i w:val="0"/>
          <w:iCs w:val="0"/>
          <w:color w:val="auto"/>
          <w:sz w:val="24"/>
          <w:szCs w:val="24"/>
        </w:rPr>
      </w:pPr>
      <w:r>
        <w:rPr>
          <w:rFonts w:hint="eastAsia"/>
          <w:i w:val="0"/>
          <w:iCs w:val="0"/>
          <w:color w:val="auto"/>
          <w:sz w:val="24"/>
          <w:szCs w:val="24"/>
        </w:rPr>
        <w:t>工程设计、施工应充分考虑现场实际，施工图设计应满足初步设计批复的要求和功能的完整性，合同总价包含初步设计批复的全部内容及概算定额所规定的全部子项，因发包人原因引起的变更以设计变更、洽商、签证等方式按照合同要求计入工程结算，设计费不予调整。</w:t>
      </w:r>
    </w:p>
    <w:p w14:paraId="7A6CC803">
      <w:pPr>
        <w:rPr>
          <w:i w:val="0"/>
          <w:iCs w:val="0"/>
          <w:color w:val="auto"/>
          <w:sz w:val="24"/>
          <w:szCs w:val="24"/>
        </w:rPr>
      </w:pPr>
      <w:r>
        <w:rPr>
          <w:i w:val="0"/>
          <w:iCs w:val="0"/>
          <w:color w:val="auto"/>
          <w:sz w:val="24"/>
          <w:szCs w:val="24"/>
        </w:rPr>
        <w:t>（五）设计、施工和设备监造、试验（如有）。</w:t>
      </w:r>
    </w:p>
    <w:p w14:paraId="734C0046">
      <w:pPr>
        <w:rPr>
          <w:i w:val="0"/>
          <w:iCs w:val="0"/>
          <w:color w:val="auto"/>
          <w:sz w:val="24"/>
          <w:szCs w:val="24"/>
        </w:rPr>
      </w:pPr>
      <w:r>
        <w:rPr>
          <w:rFonts w:hint="eastAsia"/>
          <w:i w:val="0"/>
          <w:iCs w:val="0"/>
          <w:color w:val="auto"/>
          <w:sz w:val="24"/>
          <w:szCs w:val="24"/>
        </w:rPr>
        <w:t>必须达到最新版的国家标准、规范和工作准则等的有关法规的要求。</w:t>
      </w:r>
    </w:p>
    <w:p w14:paraId="012F4AF5">
      <w:pPr>
        <w:rPr>
          <w:i w:val="0"/>
          <w:iCs w:val="0"/>
          <w:color w:val="auto"/>
          <w:sz w:val="24"/>
          <w:szCs w:val="24"/>
        </w:rPr>
      </w:pPr>
      <w:r>
        <w:rPr>
          <w:i w:val="0"/>
          <w:iCs w:val="0"/>
          <w:color w:val="auto"/>
          <w:sz w:val="24"/>
          <w:szCs w:val="24"/>
        </w:rPr>
        <w:t>（六）样品。</w:t>
      </w:r>
    </w:p>
    <w:p w14:paraId="5A923220">
      <w:pPr>
        <w:rPr>
          <w:i w:val="0"/>
          <w:iCs w:val="0"/>
          <w:color w:val="auto"/>
          <w:sz w:val="24"/>
          <w:szCs w:val="24"/>
        </w:rPr>
      </w:pPr>
      <w:r>
        <w:rPr>
          <w:rFonts w:hint="eastAsia"/>
          <w:i w:val="0"/>
          <w:iCs w:val="0"/>
          <w:color w:val="auto"/>
          <w:sz w:val="24"/>
          <w:szCs w:val="24"/>
          <w:lang w:val="en-US" w:eastAsia="zh-CN"/>
        </w:rPr>
        <w:t>符合招标人要求</w:t>
      </w:r>
      <w:r>
        <w:rPr>
          <w:rFonts w:hint="eastAsia"/>
          <w:i w:val="0"/>
          <w:iCs w:val="0"/>
          <w:color w:val="auto"/>
          <w:sz w:val="24"/>
          <w:szCs w:val="24"/>
        </w:rPr>
        <w:t>。</w:t>
      </w:r>
    </w:p>
    <w:p w14:paraId="1669A24C">
      <w:pPr>
        <w:rPr>
          <w:i w:val="0"/>
          <w:iCs w:val="0"/>
          <w:color w:val="auto"/>
          <w:sz w:val="24"/>
          <w:szCs w:val="24"/>
        </w:rPr>
      </w:pPr>
      <w:r>
        <w:rPr>
          <w:i w:val="0"/>
          <w:iCs w:val="0"/>
          <w:color w:val="auto"/>
          <w:sz w:val="24"/>
          <w:szCs w:val="24"/>
        </w:rPr>
        <w:t>（七）发包人提供的其他条件，如发包人或其委托的第三人提供的设计、工艺包、用于试验检验的工器具等，以及据此对承包人提出的予以配套的要求。</w:t>
      </w:r>
    </w:p>
    <w:p w14:paraId="485A5034">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67" w:name="_Toc3520"/>
      <w:bookmarkStart w:id="3068" w:name="_Toc18005"/>
      <w:bookmarkStart w:id="3069" w:name="_Toc2255"/>
      <w:bookmarkStart w:id="3070" w:name="_Toc27801"/>
      <w:bookmarkStart w:id="3071" w:name="_Toc81392937"/>
      <w:r>
        <w:rPr>
          <w:b/>
          <w:bCs/>
          <w:i w:val="0"/>
          <w:iCs w:val="0"/>
          <w:color w:val="auto"/>
          <w:sz w:val="24"/>
          <w:szCs w:val="24"/>
        </w:rPr>
        <w:t>六、竣工试验</w:t>
      </w:r>
      <w:bookmarkEnd w:id="3067"/>
      <w:bookmarkEnd w:id="3068"/>
      <w:bookmarkEnd w:id="3069"/>
      <w:bookmarkEnd w:id="3070"/>
      <w:bookmarkEnd w:id="3071"/>
    </w:p>
    <w:p w14:paraId="3F170DC3">
      <w:pPr>
        <w:rPr>
          <w:rFonts w:hint="eastAsia"/>
          <w:i w:val="0"/>
          <w:iCs w:val="0"/>
          <w:color w:val="auto"/>
          <w:sz w:val="24"/>
          <w:szCs w:val="24"/>
        </w:rPr>
      </w:pPr>
      <w:r>
        <w:rPr>
          <w:rFonts w:hint="eastAsia"/>
          <w:i w:val="0"/>
          <w:iCs w:val="0"/>
          <w:color w:val="auto"/>
          <w:sz w:val="24"/>
          <w:szCs w:val="24"/>
        </w:rPr>
        <w:t>（一）第一阶段，照明系统、消防系统、给排水系统、采暖系统等单系统试验等的要求，包括试验前准备。</w:t>
      </w:r>
    </w:p>
    <w:p w14:paraId="531069B5">
      <w:pPr>
        <w:rPr>
          <w:rFonts w:hint="eastAsia"/>
          <w:i w:val="0"/>
          <w:iCs w:val="0"/>
          <w:color w:val="auto"/>
          <w:sz w:val="24"/>
          <w:szCs w:val="24"/>
        </w:rPr>
      </w:pPr>
      <w:r>
        <w:rPr>
          <w:rFonts w:hint="eastAsia"/>
          <w:i w:val="0"/>
          <w:iCs w:val="0"/>
          <w:color w:val="auto"/>
          <w:sz w:val="24"/>
          <w:szCs w:val="24"/>
        </w:rPr>
        <w:t>（二）第二阶段，如消防系统与给排水系统等系统的联动调试，包括人员、设备、材料、电力、工具等必要条件。</w:t>
      </w:r>
    </w:p>
    <w:p w14:paraId="0D2CEC74">
      <w:pPr>
        <w:rPr>
          <w:i w:val="0"/>
          <w:iCs w:val="0"/>
          <w:color w:val="auto"/>
          <w:sz w:val="24"/>
          <w:szCs w:val="24"/>
        </w:rPr>
      </w:pPr>
      <w:r>
        <w:rPr>
          <w:rFonts w:hint="eastAsia"/>
          <w:i w:val="0"/>
          <w:iCs w:val="0"/>
          <w:color w:val="auto"/>
          <w:sz w:val="24"/>
          <w:szCs w:val="24"/>
        </w:rPr>
        <w:t>以上产生的费用均包含在合同总价中，发包人不另行支付。</w:t>
      </w:r>
    </w:p>
    <w:p w14:paraId="49CBD5DC">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72" w:name="_Toc31718"/>
      <w:bookmarkStart w:id="3073" w:name="_Toc719870730"/>
      <w:bookmarkStart w:id="3074" w:name="_Toc11269"/>
      <w:bookmarkStart w:id="3075" w:name="_Toc11362"/>
      <w:bookmarkStart w:id="3076" w:name="_Toc24491"/>
      <w:r>
        <w:rPr>
          <w:b/>
          <w:bCs/>
          <w:i w:val="0"/>
          <w:iCs w:val="0"/>
          <w:color w:val="auto"/>
          <w:sz w:val="24"/>
          <w:szCs w:val="24"/>
        </w:rPr>
        <w:t>七、竣工验收</w:t>
      </w:r>
      <w:bookmarkEnd w:id="3072"/>
      <w:bookmarkEnd w:id="3073"/>
      <w:bookmarkEnd w:id="3074"/>
      <w:bookmarkEnd w:id="3075"/>
      <w:bookmarkEnd w:id="3076"/>
    </w:p>
    <w:p w14:paraId="1D6BCCDA">
      <w:pPr>
        <w:rPr>
          <w:rFonts w:hint="eastAsia" w:ascii="Times New Roman" w:hAnsi="Times New Roman" w:eastAsia="宋体" w:cs="Times New Roman"/>
          <w:i w:val="0"/>
          <w:iCs w:val="0"/>
          <w:color w:val="auto"/>
          <w:sz w:val="24"/>
          <w:szCs w:val="24"/>
        </w:rPr>
      </w:pPr>
      <w:bookmarkStart w:id="3077" w:name="_Toc2644"/>
      <w:bookmarkStart w:id="3078" w:name="_Toc1729808759"/>
      <w:bookmarkStart w:id="3079" w:name="_Toc15089"/>
      <w:r>
        <w:rPr>
          <w:rFonts w:hint="eastAsia" w:ascii="Times New Roman" w:hAnsi="Times New Roman" w:eastAsia="宋体" w:cs="Times New Roman"/>
          <w:i w:val="0"/>
          <w:iCs w:val="0"/>
          <w:color w:val="auto"/>
          <w:sz w:val="24"/>
          <w:szCs w:val="24"/>
        </w:rPr>
        <w:t>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14:paraId="51381068">
      <w:pPr>
        <w:rPr>
          <w:rFonts w:hint="eastAsia" w:ascii="Times New Roman" w:hAnsi="Times New Roman" w:eastAsia="宋体" w:cs="Times New Roman"/>
          <w:i w:val="0"/>
          <w:iCs w:val="0"/>
          <w:color w:val="auto"/>
          <w:sz w:val="24"/>
          <w:szCs w:val="24"/>
        </w:rPr>
      </w:pPr>
      <w:r>
        <w:rPr>
          <w:rFonts w:hint="eastAsia" w:ascii="Times New Roman" w:hAnsi="Times New Roman" w:eastAsia="宋体" w:cs="Times New Roman"/>
          <w:i w:val="0"/>
          <w:iCs w:val="0"/>
          <w:color w:val="auto"/>
          <w:sz w:val="24"/>
          <w:szCs w:val="24"/>
        </w:rPr>
        <w:t>在颁发工程接收证书之前，承包人应按照发包人要求的份数和形式向监理人提交相应竣工图纸，并取得监理人对尺寸、参照系统及其他有关细节的认可。</w:t>
      </w:r>
    </w:p>
    <w:p w14:paraId="61AFB61C">
      <w:pPr>
        <w:rPr>
          <w:rFonts w:hint="eastAsia" w:ascii="Times New Roman" w:hAnsi="Times New Roman" w:eastAsia="宋体" w:cs="Times New Roman"/>
          <w:i w:val="0"/>
          <w:iCs w:val="0"/>
          <w:color w:val="auto"/>
          <w:sz w:val="24"/>
          <w:szCs w:val="24"/>
        </w:rPr>
      </w:pPr>
      <w:r>
        <w:rPr>
          <w:rFonts w:hint="eastAsia" w:ascii="Times New Roman" w:hAnsi="Times New Roman" w:eastAsia="宋体" w:cs="Times New Roman"/>
          <w:i w:val="0"/>
          <w:iCs w:val="0"/>
          <w:color w:val="auto"/>
          <w:sz w:val="24"/>
          <w:szCs w:val="24"/>
        </w:rPr>
        <w:t>工程档案：执行国家和地方相关政策。</w:t>
      </w:r>
    </w:p>
    <w:p w14:paraId="73A2EE9B">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80" w:name="_Toc5298"/>
      <w:bookmarkStart w:id="3081" w:name="_Toc29724"/>
      <w:r>
        <w:rPr>
          <w:b/>
          <w:bCs/>
          <w:i w:val="0"/>
          <w:iCs w:val="0"/>
          <w:color w:val="auto"/>
          <w:sz w:val="24"/>
          <w:szCs w:val="24"/>
        </w:rPr>
        <w:t>八、竣工后试验（如有）</w:t>
      </w:r>
      <w:bookmarkEnd w:id="3077"/>
      <w:bookmarkEnd w:id="3078"/>
      <w:bookmarkEnd w:id="3079"/>
      <w:bookmarkEnd w:id="3080"/>
      <w:bookmarkEnd w:id="3081"/>
    </w:p>
    <w:p w14:paraId="63F1F939">
      <w:pPr>
        <w:keepNext w:val="0"/>
        <w:keepLines w:val="0"/>
        <w:pageBreakBefore w:val="0"/>
        <w:widowControl w:val="0"/>
        <w:kinsoku/>
        <w:wordWrap/>
        <w:overflowPunct/>
        <w:topLinePunct w:val="0"/>
        <w:autoSpaceDE/>
        <w:autoSpaceDN/>
        <w:bidi w:val="0"/>
        <w:adjustRightInd/>
        <w:snapToGrid/>
        <w:textAlignment w:val="auto"/>
        <w:outlineLvl w:val="9"/>
        <w:rPr>
          <w:rFonts w:hint="default" w:eastAsia="宋体"/>
          <w:b w:val="0"/>
          <w:bCs w:val="0"/>
          <w:i w:val="0"/>
          <w:iCs w:val="0"/>
          <w:color w:val="auto"/>
          <w:sz w:val="24"/>
          <w:szCs w:val="24"/>
          <w:lang w:val="en-US" w:eastAsia="zh-CN"/>
        </w:rPr>
      </w:pPr>
      <w:bookmarkStart w:id="3082" w:name="_Toc2208"/>
      <w:bookmarkStart w:id="3083" w:name="_Toc17624"/>
      <w:bookmarkStart w:id="3084" w:name="_Toc771786503"/>
      <w:r>
        <w:rPr>
          <w:rFonts w:hint="eastAsia"/>
          <w:b w:val="0"/>
          <w:bCs w:val="0"/>
          <w:i w:val="0"/>
          <w:iCs w:val="0"/>
          <w:color w:val="auto"/>
          <w:sz w:val="24"/>
          <w:szCs w:val="24"/>
          <w:lang w:val="en-US" w:eastAsia="zh-CN"/>
        </w:rPr>
        <w:t>满足相关要求。</w:t>
      </w:r>
    </w:p>
    <w:p w14:paraId="7C51CFD8">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85" w:name="_Toc4054"/>
      <w:bookmarkStart w:id="3086" w:name="_Toc469"/>
      <w:r>
        <w:rPr>
          <w:b/>
          <w:bCs/>
          <w:i w:val="0"/>
          <w:iCs w:val="0"/>
          <w:color w:val="auto"/>
          <w:sz w:val="24"/>
          <w:szCs w:val="24"/>
        </w:rPr>
        <w:t>九、文件要求</w:t>
      </w:r>
      <w:bookmarkEnd w:id="3082"/>
      <w:bookmarkEnd w:id="3083"/>
      <w:bookmarkEnd w:id="3084"/>
      <w:bookmarkEnd w:id="3085"/>
      <w:bookmarkEnd w:id="3086"/>
    </w:p>
    <w:p w14:paraId="6B9B4F97">
      <w:pPr>
        <w:rPr>
          <w:i w:val="0"/>
          <w:iCs w:val="0"/>
          <w:color w:val="auto"/>
          <w:sz w:val="24"/>
          <w:szCs w:val="24"/>
        </w:rPr>
      </w:pPr>
      <w:r>
        <w:rPr>
          <w:rFonts w:hint="eastAsia"/>
          <w:i w:val="0"/>
          <w:iCs w:val="0"/>
          <w:color w:val="auto"/>
          <w:sz w:val="24"/>
          <w:szCs w:val="24"/>
        </w:rPr>
        <w:t>承包人提交的设计文件、计划、报告、施工资料、竣工资料等所有与建设项目相关的文件均应符合相关管理规定及发包人要求。</w:t>
      </w:r>
    </w:p>
    <w:p w14:paraId="599EA6F0">
      <w:pPr>
        <w:rPr>
          <w:rFonts w:hint="default" w:ascii="Times New Roman" w:hAnsi="Times New Roman" w:eastAsia="宋体" w:cs="Times New Roman"/>
          <w:i w:val="0"/>
          <w:iCs w:val="0"/>
          <w:color w:val="auto"/>
          <w:sz w:val="24"/>
          <w:szCs w:val="24"/>
          <w:highlight w:val="none"/>
          <w:lang w:val="en-US" w:eastAsia="zh-CN"/>
        </w:rPr>
      </w:pPr>
      <w:bookmarkStart w:id="3087" w:name="_Toc15008"/>
      <w:bookmarkStart w:id="3088" w:name="_Toc12364"/>
      <w:bookmarkStart w:id="3089" w:name="_Toc1056730651"/>
      <w:bookmarkStart w:id="3090" w:name="_Toc29276"/>
      <w:bookmarkStart w:id="3091" w:name="_Toc21144"/>
      <w:r>
        <w:rPr>
          <w:rFonts w:hint="eastAsia" w:ascii="Times New Roman" w:hAnsi="Times New Roman" w:eastAsia="宋体" w:cs="Times New Roman"/>
          <w:i w:val="0"/>
          <w:iCs w:val="0"/>
          <w:color w:val="auto"/>
          <w:sz w:val="24"/>
          <w:szCs w:val="24"/>
          <w:highlight w:val="none"/>
          <w:lang w:val="en-US" w:eastAsia="zh-CN"/>
        </w:rPr>
        <w:t>BIM成果文件按照河北《建筑信息模型交付标准》DB13(J)T 8337-2020，交付LOD300的rvt文件建筑信息模型。</w:t>
      </w:r>
    </w:p>
    <w:p w14:paraId="017EF832">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提供完整的施工图与竣工图电子文件二套（载体移动硬盘，现行版本可编辑CAD格式）。纸质文件十二套，其中精装纸质文件五套。提交时间按照招标人要求。</w:t>
      </w:r>
    </w:p>
    <w:p w14:paraId="31192869">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r>
        <w:rPr>
          <w:b/>
          <w:bCs/>
          <w:i w:val="0"/>
          <w:iCs w:val="0"/>
          <w:color w:val="auto"/>
          <w:sz w:val="24"/>
          <w:szCs w:val="24"/>
        </w:rPr>
        <w:t>十、工程项目管理规定</w:t>
      </w:r>
      <w:bookmarkEnd w:id="3087"/>
      <w:bookmarkEnd w:id="3088"/>
      <w:bookmarkEnd w:id="3089"/>
      <w:bookmarkEnd w:id="3090"/>
      <w:bookmarkEnd w:id="3091"/>
    </w:p>
    <w:p w14:paraId="6B5AD963">
      <w:pPr>
        <w:rPr>
          <w:rFonts w:hint="eastAsia"/>
          <w:i w:val="0"/>
          <w:iCs w:val="0"/>
          <w:color w:val="auto"/>
          <w:sz w:val="24"/>
          <w:szCs w:val="24"/>
        </w:rPr>
      </w:pPr>
      <w:r>
        <w:rPr>
          <w:rFonts w:hint="eastAsia"/>
          <w:i w:val="0"/>
          <w:iCs w:val="0"/>
          <w:color w:val="auto"/>
          <w:sz w:val="24"/>
          <w:szCs w:val="24"/>
        </w:rPr>
        <w:t>（一）质量。</w:t>
      </w:r>
    </w:p>
    <w:p w14:paraId="6DDC12F6">
      <w:pPr>
        <w:rPr>
          <w:rFonts w:hint="eastAsia"/>
          <w:i w:val="0"/>
          <w:iCs w:val="0"/>
          <w:color w:val="auto"/>
          <w:sz w:val="24"/>
          <w:szCs w:val="24"/>
        </w:rPr>
      </w:pPr>
      <w:r>
        <w:rPr>
          <w:rFonts w:hint="eastAsia"/>
          <w:i w:val="0"/>
          <w:iCs w:val="0"/>
          <w:color w:val="auto"/>
          <w:sz w:val="24"/>
          <w:szCs w:val="24"/>
        </w:rPr>
        <w:t>工程质量要求：合格</w:t>
      </w:r>
    </w:p>
    <w:p w14:paraId="77180FC7">
      <w:pPr>
        <w:rPr>
          <w:rFonts w:hint="eastAsia"/>
          <w:i w:val="0"/>
          <w:iCs w:val="0"/>
          <w:color w:val="auto"/>
          <w:sz w:val="24"/>
          <w:szCs w:val="24"/>
        </w:rPr>
      </w:pPr>
      <w:r>
        <w:rPr>
          <w:rFonts w:hint="eastAsia"/>
          <w:i w:val="0"/>
          <w:iCs w:val="0"/>
          <w:color w:val="auto"/>
          <w:sz w:val="24"/>
          <w:szCs w:val="24"/>
        </w:rPr>
        <w:t>工程质量验收标准：国家现行强制性建筑条文，标准规范由承包人自行准备并承担其费用；建构筑物工程应进行整体质量检测，并由承包人承担其费用。</w:t>
      </w:r>
    </w:p>
    <w:p w14:paraId="3ED394A5">
      <w:pPr>
        <w:rPr>
          <w:rFonts w:hint="eastAsia"/>
          <w:i w:val="0"/>
          <w:iCs w:val="0"/>
          <w:color w:val="auto"/>
          <w:sz w:val="24"/>
          <w:szCs w:val="24"/>
        </w:rPr>
      </w:pPr>
      <w:r>
        <w:rPr>
          <w:rFonts w:hint="eastAsia"/>
          <w:i w:val="0"/>
          <w:iCs w:val="0"/>
          <w:color w:val="auto"/>
          <w:sz w:val="24"/>
          <w:szCs w:val="24"/>
        </w:rPr>
        <w:t>（二）变更。</w:t>
      </w:r>
    </w:p>
    <w:p w14:paraId="7F63DA73">
      <w:pPr>
        <w:rPr>
          <w:i w:val="0"/>
          <w:iCs w:val="0"/>
          <w:color w:val="auto"/>
          <w:sz w:val="24"/>
          <w:szCs w:val="24"/>
        </w:rPr>
      </w:pPr>
      <w:r>
        <w:rPr>
          <w:rFonts w:hint="eastAsia"/>
          <w:i w:val="0"/>
          <w:iCs w:val="0"/>
          <w:color w:val="auto"/>
          <w:sz w:val="24"/>
          <w:szCs w:val="24"/>
        </w:rPr>
        <w:t>除法律规定或专用合同条款另有约定外，合同价格不因物价波动进行调整，承包人应承担为完成合同范围内工程而发生的一切不可预见费用。</w:t>
      </w:r>
    </w:p>
    <w:p w14:paraId="684005CE">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92" w:name="_Toc12450"/>
      <w:bookmarkStart w:id="3093" w:name="_Toc25955"/>
      <w:bookmarkStart w:id="3094" w:name="_Toc31824"/>
      <w:bookmarkStart w:id="3095" w:name="_Toc24241"/>
      <w:bookmarkStart w:id="3096" w:name="_Toc1739983213"/>
      <w:r>
        <w:rPr>
          <w:b/>
          <w:bCs/>
          <w:i w:val="0"/>
          <w:iCs w:val="0"/>
          <w:color w:val="auto"/>
          <w:sz w:val="24"/>
          <w:szCs w:val="24"/>
        </w:rPr>
        <w:t>十一、其他要求</w:t>
      </w:r>
      <w:bookmarkEnd w:id="3092"/>
      <w:bookmarkEnd w:id="3093"/>
      <w:bookmarkEnd w:id="3094"/>
      <w:bookmarkEnd w:id="3095"/>
      <w:bookmarkEnd w:id="3096"/>
    </w:p>
    <w:p w14:paraId="3C20DD55">
      <w:pPr>
        <w:rPr>
          <w:rFonts w:hint="eastAsia"/>
          <w:i w:val="0"/>
          <w:iCs w:val="0"/>
          <w:color w:val="auto"/>
          <w:sz w:val="24"/>
          <w:szCs w:val="24"/>
        </w:rPr>
      </w:pPr>
      <w:r>
        <w:rPr>
          <w:rFonts w:hint="eastAsia"/>
          <w:i w:val="0"/>
          <w:iCs w:val="0"/>
          <w:color w:val="auto"/>
          <w:sz w:val="24"/>
          <w:szCs w:val="24"/>
          <w:lang w:val="en-US" w:eastAsia="zh-CN"/>
        </w:rPr>
        <w:t>（一）</w:t>
      </w:r>
      <w:r>
        <w:rPr>
          <w:rFonts w:hint="eastAsia"/>
          <w:i w:val="0"/>
          <w:iCs w:val="0"/>
          <w:color w:val="auto"/>
          <w:sz w:val="24"/>
          <w:szCs w:val="24"/>
        </w:rPr>
        <w:t>安全、节能和环保要求</w:t>
      </w:r>
    </w:p>
    <w:p w14:paraId="68F40394">
      <w:pPr>
        <w:rPr>
          <w:rFonts w:hint="eastAsia"/>
          <w:i w:val="0"/>
          <w:iCs w:val="0"/>
          <w:color w:val="auto"/>
          <w:sz w:val="24"/>
          <w:szCs w:val="24"/>
        </w:rPr>
      </w:pPr>
      <w:r>
        <w:rPr>
          <w:rFonts w:hint="eastAsia"/>
          <w:i w:val="0"/>
          <w:iCs w:val="0"/>
          <w:color w:val="auto"/>
          <w:sz w:val="24"/>
          <w:szCs w:val="24"/>
          <w:lang w:val="en-US" w:eastAsia="zh-CN"/>
        </w:rPr>
        <w:t>1、</w:t>
      </w:r>
      <w:r>
        <w:rPr>
          <w:rFonts w:hint="eastAsia"/>
          <w:i w:val="0"/>
          <w:iCs w:val="0"/>
          <w:color w:val="auto"/>
          <w:sz w:val="24"/>
          <w:szCs w:val="24"/>
        </w:rPr>
        <w:t>安全要求：‌</w:t>
      </w:r>
    </w:p>
    <w:p w14:paraId="5FACA2A0">
      <w:pPr>
        <w:rPr>
          <w:rFonts w:hint="eastAsia"/>
          <w:i w:val="0"/>
          <w:iCs w:val="0"/>
          <w:color w:val="auto"/>
          <w:sz w:val="24"/>
          <w:szCs w:val="24"/>
        </w:rPr>
      </w:pPr>
      <w:r>
        <w:rPr>
          <w:rFonts w:hint="eastAsia"/>
          <w:i w:val="0"/>
          <w:iCs w:val="0"/>
          <w:color w:val="auto"/>
          <w:sz w:val="24"/>
          <w:szCs w:val="24"/>
        </w:rPr>
        <w:t>（1）工程总承包企业应制定并执行安全生产管理计划，‌确保施工现场的安全。‌</w:t>
      </w:r>
    </w:p>
    <w:p w14:paraId="1A1A7816">
      <w:pPr>
        <w:rPr>
          <w:rFonts w:hint="eastAsia"/>
          <w:i w:val="0"/>
          <w:iCs w:val="0"/>
          <w:color w:val="auto"/>
          <w:sz w:val="24"/>
          <w:szCs w:val="24"/>
        </w:rPr>
      </w:pPr>
      <w:r>
        <w:rPr>
          <w:rFonts w:hint="eastAsia"/>
          <w:i w:val="0"/>
          <w:iCs w:val="0"/>
          <w:color w:val="auto"/>
          <w:sz w:val="24"/>
          <w:szCs w:val="24"/>
        </w:rPr>
        <w:t>（2）施工单位应制定明确的安全管理责任体系，‌包括责任与监督、‌安全培训、‌安全设施的提供和维护，‌以及建立事故报告制度。‌</w:t>
      </w:r>
    </w:p>
    <w:p w14:paraId="5A1E4583">
      <w:pPr>
        <w:rPr>
          <w:rFonts w:hint="eastAsia"/>
          <w:i w:val="0"/>
          <w:iCs w:val="0"/>
          <w:color w:val="auto"/>
          <w:sz w:val="24"/>
          <w:szCs w:val="24"/>
        </w:rPr>
      </w:pPr>
      <w:r>
        <w:rPr>
          <w:rFonts w:hint="eastAsia"/>
          <w:i w:val="0"/>
          <w:iCs w:val="0"/>
          <w:color w:val="auto"/>
          <w:sz w:val="24"/>
          <w:szCs w:val="24"/>
        </w:rPr>
        <w:t>（3）施工单位应开展定期的安全培训，‌提高工程人员的安全意识和技能，‌并建立健全的档案管理制度。‌</w:t>
      </w:r>
    </w:p>
    <w:p w14:paraId="5D682020">
      <w:pPr>
        <w:rPr>
          <w:rFonts w:hint="eastAsia"/>
          <w:i w:val="0"/>
          <w:iCs w:val="0"/>
          <w:color w:val="auto"/>
          <w:sz w:val="24"/>
          <w:szCs w:val="24"/>
        </w:rPr>
      </w:pPr>
      <w:r>
        <w:rPr>
          <w:rFonts w:hint="eastAsia"/>
          <w:i w:val="0"/>
          <w:iCs w:val="0"/>
          <w:color w:val="auto"/>
          <w:sz w:val="24"/>
          <w:szCs w:val="24"/>
        </w:rPr>
        <w:t>（4）施工现场应设置合理且充足的安全设施，‌如安全警示标识、‌防护网、‌安全帽、‌安全绳等，‌并定期检查和维护这些设施。</w:t>
      </w:r>
    </w:p>
    <w:p w14:paraId="2E337C98">
      <w:pPr>
        <w:rPr>
          <w:rFonts w:hint="eastAsia"/>
          <w:i w:val="0"/>
          <w:iCs w:val="0"/>
          <w:color w:val="auto"/>
          <w:sz w:val="24"/>
          <w:szCs w:val="24"/>
        </w:rPr>
      </w:pPr>
      <w:r>
        <w:rPr>
          <w:rFonts w:hint="eastAsia"/>
          <w:i w:val="0"/>
          <w:iCs w:val="0"/>
          <w:color w:val="auto"/>
          <w:sz w:val="24"/>
          <w:szCs w:val="24"/>
        </w:rPr>
        <w:t>（5）对承载力和抗震不满足要求的结构构件进行加固处理；设计、施工不应破坏现有消防管线，若有损坏应原位恢复。施工根据现有场地合理安排布局，充分考虑需采取的防护措施。‌</w:t>
      </w:r>
    </w:p>
    <w:p w14:paraId="6F3E50DC">
      <w:pPr>
        <w:rPr>
          <w:rFonts w:hint="eastAsia"/>
          <w:i w:val="0"/>
          <w:iCs w:val="0"/>
          <w:color w:val="auto"/>
          <w:sz w:val="24"/>
          <w:szCs w:val="24"/>
        </w:rPr>
      </w:pPr>
      <w:r>
        <w:rPr>
          <w:rFonts w:hint="eastAsia"/>
          <w:i w:val="0"/>
          <w:iCs w:val="0"/>
          <w:color w:val="auto"/>
          <w:sz w:val="24"/>
          <w:szCs w:val="24"/>
          <w:lang w:val="en-US" w:eastAsia="zh-CN"/>
        </w:rPr>
        <w:t>2、</w:t>
      </w:r>
      <w:r>
        <w:rPr>
          <w:rFonts w:hint="eastAsia"/>
          <w:i w:val="0"/>
          <w:iCs w:val="0"/>
          <w:color w:val="auto"/>
          <w:sz w:val="24"/>
          <w:szCs w:val="24"/>
        </w:rPr>
        <w:t>节能要求：‌</w:t>
      </w:r>
    </w:p>
    <w:p w14:paraId="52A0093C">
      <w:pPr>
        <w:rPr>
          <w:rFonts w:hint="eastAsia"/>
          <w:i w:val="0"/>
          <w:iCs w:val="0"/>
          <w:color w:val="auto"/>
          <w:sz w:val="24"/>
          <w:szCs w:val="24"/>
        </w:rPr>
      </w:pPr>
      <w:r>
        <w:rPr>
          <w:rFonts w:hint="eastAsia"/>
          <w:i w:val="0"/>
          <w:iCs w:val="0"/>
          <w:color w:val="auto"/>
          <w:sz w:val="24"/>
          <w:szCs w:val="24"/>
        </w:rPr>
        <w:t>（1）工程总承包企业应采取有效的节能减排措施，‌如合理利用资源、‌选择环保材料、‌减少工程废弃物的产生等。‌</w:t>
      </w:r>
    </w:p>
    <w:p w14:paraId="2DC442AD">
      <w:pPr>
        <w:rPr>
          <w:rFonts w:hint="eastAsia"/>
          <w:i w:val="0"/>
          <w:iCs w:val="0"/>
          <w:color w:val="auto"/>
          <w:sz w:val="24"/>
          <w:szCs w:val="24"/>
        </w:rPr>
      </w:pPr>
      <w:r>
        <w:rPr>
          <w:rFonts w:hint="eastAsia"/>
          <w:i w:val="0"/>
          <w:iCs w:val="0"/>
          <w:color w:val="auto"/>
          <w:sz w:val="24"/>
          <w:szCs w:val="24"/>
        </w:rPr>
        <w:t>（2）制定详细的施工方案，‌以减少能源消耗和环境污染。</w:t>
      </w:r>
    </w:p>
    <w:p w14:paraId="26682F11">
      <w:pPr>
        <w:rPr>
          <w:rFonts w:hint="eastAsia"/>
          <w:i w:val="0"/>
          <w:iCs w:val="0"/>
          <w:color w:val="auto"/>
          <w:sz w:val="24"/>
          <w:szCs w:val="24"/>
        </w:rPr>
      </w:pPr>
      <w:r>
        <w:rPr>
          <w:rFonts w:hint="eastAsia"/>
          <w:i w:val="0"/>
          <w:iCs w:val="0"/>
          <w:color w:val="auto"/>
          <w:sz w:val="24"/>
          <w:szCs w:val="24"/>
        </w:rPr>
        <w:t>（3）外窗更换为满足河北节能要求的外窗；采用预拌混凝土和预拌砂浆；选用节水型卫生洁具及配件，使用用水效率等级达到2级的卫生器具；风机选用低噪声风机；根据运营情况，合理设计配电系统。灯具选用高效节能型灯具，功率因数在 0.9 以上。室内照明均采用分散控制。‌</w:t>
      </w:r>
    </w:p>
    <w:p w14:paraId="76A29792">
      <w:pPr>
        <w:rPr>
          <w:rFonts w:hint="eastAsia"/>
          <w:i w:val="0"/>
          <w:iCs w:val="0"/>
          <w:color w:val="auto"/>
          <w:sz w:val="24"/>
          <w:szCs w:val="24"/>
        </w:rPr>
      </w:pPr>
      <w:r>
        <w:rPr>
          <w:rFonts w:hint="eastAsia"/>
          <w:i w:val="0"/>
          <w:iCs w:val="0"/>
          <w:color w:val="auto"/>
          <w:sz w:val="24"/>
          <w:szCs w:val="24"/>
          <w:lang w:val="en-US" w:eastAsia="zh-CN"/>
        </w:rPr>
        <w:t>3、</w:t>
      </w:r>
      <w:r>
        <w:rPr>
          <w:rFonts w:hint="eastAsia"/>
          <w:i w:val="0"/>
          <w:iCs w:val="0"/>
          <w:color w:val="auto"/>
          <w:sz w:val="24"/>
          <w:szCs w:val="24"/>
        </w:rPr>
        <w:t>环保要求：‌</w:t>
      </w:r>
    </w:p>
    <w:p w14:paraId="76D059AF">
      <w:pPr>
        <w:rPr>
          <w:rFonts w:hint="eastAsia"/>
          <w:i w:val="0"/>
          <w:iCs w:val="0"/>
          <w:color w:val="auto"/>
          <w:sz w:val="24"/>
          <w:szCs w:val="24"/>
        </w:rPr>
      </w:pPr>
      <w:r>
        <w:rPr>
          <w:rFonts w:hint="eastAsia"/>
          <w:i w:val="0"/>
          <w:iCs w:val="0"/>
          <w:color w:val="auto"/>
          <w:sz w:val="24"/>
          <w:szCs w:val="24"/>
        </w:rPr>
        <w:t>（1）工程总承包企业应制定并执行环境保护管理制度，‌明确环境保护的责任与要求。‌</w:t>
      </w:r>
    </w:p>
    <w:p w14:paraId="04DB904F">
      <w:pPr>
        <w:rPr>
          <w:rFonts w:hint="eastAsia"/>
          <w:i w:val="0"/>
          <w:iCs w:val="0"/>
          <w:color w:val="auto"/>
          <w:sz w:val="24"/>
          <w:szCs w:val="24"/>
        </w:rPr>
      </w:pPr>
      <w:r>
        <w:rPr>
          <w:rFonts w:hint="eastAsia"/>
          <w:i w:val="0"/>
          <w:iCs w:val="0"/>
          <w:color w:val="auto"/>
          <w:sz w:val="24"/>
          <w:szCs w:val="24"/>
        </w:rPr>
        <w:t>（2）根据工程特点和环境敏感性，‌制定相应的环境保护方案，‌采取有效的措施减少对环境的污染。‌</w:t>
      </w:r>
    </w:p>
    <w:p w14:paraId="4A0876BD">
      <w:pPr>
        <w:rPr>
          <w:rFonts w:hint="eastAsia"/>
          <w:i w:val="0"/>
          <w:iCs w:val="0"/>
          <w:color w:val="auto"/>
          <w:sz w:val="24"/>
          <w:szCs w:val="24"/>
        </w:rPr>
      </w:pPr>
      <w:r>
        <w:rPr>
          <w:rFonts w:hint="eastAsia"/>
          <w:i w:val="0"/>
          <w:iCs w:val="0"/>
          <w:color w:val="auto"/>
          <w:sz w:val="24"/>
          <w:szCs w:val="24"/>
        </w:rPr>
        <w:t>（3）建立环境监测体系，‌监测施工过程中的环境污染情况，‌及时采取措施防止环境污染事故的发生。‌</w:t>
      </w:r>
    </w:p>
    <w:p w14:paraId="2E3EFDCC">
      <w:pPr>
        <w:rPr>
          <w:i w:val="0"/>
          <w:iCs w:val="0"/>
          <w:color w:val="auto"/>
          <w:sz w:val="24"/>
          <w:szCs w:val="24"/>
        </w:rPr>
      </w:pPr>
      <w:r>
        <w:rPr>
          <w:rFonts w:hint="eastAsia"/>
          <w:i w:val="0"/>
          <w:iCs w:val="0"/>
          <w:color w:val="auto"/>
          <w:sz w:val="24"/>
          <w:szCs w:val="24"/>
        </w:rPr>
        <w:t>（4）加强与环境保护相关的培训机制，‌提高员工的环保意识，‌增强环保技能。‌</w:t>
      </w:r>
    </w:p>
    <w:p w14:paraId="491F36A5">
      <w:pPr>
        <w:pStyle w:val="11"/>
        <w:rPr>
          <w:rFonts w:hint="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二</w:t>
      </w:r>
      <w:r>
        <w:rPr>
          <w:rFonts w:hint="eastAsia"/>
          <w:i w:val="0"/>
          <w:iCs w:val="0"/>
          <w:color w:val="auto"/>
          <w:sz w:val="24"/>
          <w:szCs w:val="24"/>
          <w:lang w:eastAsia="zh-CN"/>
        </w:rPr>
        <w:t>）对承包人的主要人员要求。</w:t>
      </w:r>
    </w:p>
    <w:p w14:paraId="48D9B27B">
      <w:pPr>
        <w:pStyle w:val="11"/>
        <w:rPr>
          <w:rFonts w:hint="eastAsia"/>
          <w:i w:val="0"/>
          <w:iCs w:val="0"/>
          <w:color w:val="auto"/>
          <w:sz w:val="24"/>
          <w:szCs w:val="24"/>
          <w:lang w:eastAsia="zh-CN"/>
        </w:rPr>
      </w:pPr>
      <w:r>
        <w:rPr>
          <w:rFonts w:hint="eastAsia"/>
          <w:i w:val="0"/>
          <w:iCs w:val="0"/>
          <w:color w:val="auto"/>
          <w:sz w:val="24"/>
          <w:szCs w:val="24"/>
          <w:lang w:eastAsia="zh-CN"/>
        </w:rPr>
        <w:t>按投标文件承诺。承包人人员变更须满足招标文件要求，并经发包人认可后办理相关手续。</w:t>
      </w:r>
    </w:p>
    <w:p w14:paraId="20A81621">
      <w:pPr>
        <w:pStyle w:val="11"/>
        <w:rPr>
          <w:rFonts w:hint="eastAsia"/>
          <w:i w:val="0"/>
          <w:iCs w:val="0"/>
          <w:color w:val="auto"/>
          <w:sz w:val="24"/>
          <w:szCs w:val="24"/>
          <w:lang w:eastAsia="zh-CN"/>
        </w:rPr>
      </w:pPr>
      <w:r>
        <w:rPr>
          <w:rFonts w:hint="eastAsia"/>
          <w:i w:val="0"/>
          <w:iCs w:val="0"/>
          <w:color w:val="auto"/>
          <w:sz w:val="24"/>
          <w:szCs w:val="24"/>
          <w:lang w:val="en-US" w:eastAsia="zh-CN"/>
        </w:rPr>
        <w:t>（三）</w:t>
      </w:r>
      <w:r>
        <w:rPr>
          <w:rFonts w:hint="eastAsia"/>
          <w:i w:val="0"/>
          <w:iCs w:val="0"/>
          <w:color w:val="auto"/>
          <w:sz w:val="24"/>
          <w:szCs w:val="24"/>
          <w:lang w:eastAsia="zh-CN"/>
        </w:rPr>
        <w:t>承包人进场施工，需根据现场实际情况和发包人要求。</w:t>
      </w:r>
    </w:p>
    <w:p w14:paraId="756BC574">
      <w:pPr>
        <w:pStyle w:val="11"/>
        <w:rPr>
          <w:rFonts w:hint="eastAsia"/>
          <w:i w:val="0"/>
          <w:iCs w:val="0"/>
          <w:color w:val="auto"/>
          <w:sz w:val="24"/>
          <w:szCs w:val="24"/>
          <w:lang w:eastAsia="zh-CN"/>
        </w:rPr>
      </w:pPr>
      <w:r>
        <w:rPr>
          <w:rFonts w:hint="eastAsia"/>
          <w:i w:val="0"/>
          <w:iCs w:val="0"/>
          <w:color w:val="auto"/>
          <w:sz w:val="24"/>
          <w:szCs w:val="24"/>
          <w:lang w:val="en-US" w:eastAsia="zh-CN"/>
        </w:rPr>
        <w:t>（四）</w:t>
      </w:r>
      <w:r>
        <w:rPr>
          <w:rFonts w:hint="eastAsia"/>
          <w:i w:val="0"/>
          <w:iCs w:val="0"/>
          <w:color w:val="auto"/>
          <w:sz w:val="24"/>
          <w:szCs w:val="24"/>
          <w:lang w:eastAsia="zh-CN"/>
        </w:rPr>
        <w:t>缺陷责任期的服务要求。</w:t>
      </w:r>
    </w:p>
    <w:p w14:paraId="1F41AD3F">
      <w:pPr>
        <w:pStyle w:val="11"/>
        <w:rPr>
          <w:rFonts w:hint="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1</w:t>
      </w:r>
      <w:r>
        <w:rPr>
          <w:rFonts w:hint="eastAsia"/>
          <w:i w:val="0"/>
          <w:iCs w:val="0"/>
          <w:color w:val="auto"/>
          <w:sz w:val="24"/>
          <w:szCs w:val="24"/>
          <w:lang w:eastAsia="zh-CN"/>
        </w:rPr>
        <w:t>）承包人应在缺陷责任期内对已交付使用的工程承担缺陷责任。</w:t>
      </w:r>
    </w:p>
    <w:p w14:paraId="66F9126F">
      <w:pPr>
        <w:pStyle w:val="11"/>
        <w:rPr>
          <w:rFonts w:hint="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2</w:t>
      </w:r>
      <w:r>
        <w:rPr>
          <w:rFonts w:hint="eastAsia"/>
          <w:i w:val="0"/>
          <w:iCs w:val="0"/>
          <w:color w:val="auto"/>
          <w:sz w:val="24"/>
          <w:szCs w:val="24"/>
          <w:lang w:eastAsia="zh-CN"/>
        </w:rPr>
        <w:t>）缺陷责任期内，发包人对已接收使用的工程负责日常维护工作。发包人在使用过程中，发现已接收的工程存在新的缺陷或已修复的缺陷部位或部件又遭损坏的，承包人应负责修复，直至检验合格为止。</w:t>
      </w:r>
    </w:p>
    <w:p w14:paraId="6720C098">
      <w:pPr>
        <w:pStyle w:val="11"/>
        <w:rPr>
          <w:rFonts w:hint="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3</w:t>
      </w:r>
      <w:r>
        <w:rPr>
          <w:rFonts w:hint="eastAsia"/>
          <w:i w:val="0"/>
          <w:iCs w:val="0"/>
          <w:color w:val="auto"/>
          <w:sz w:val="24"/>
          <w:szCs w:val="24"/>
          <w:lang w:eastAsia="zh-CN"/>
        </w:rPr>
        <w:t>）监理人和承包人应共同查清缺陷和（或）损坏的原因。经查明属承包人原因造成的，应由承包人承担修复和查验的费用。经查验属发包人原因造成的，由发包人承担修复费用。</w:t>
      </w:r>
    </w:p>
    <w:p w14:paraId="7C41001A">
      <w:pPr>
        <w:pStyle w:val="11"/>
        <w:rPr>
          <w:rFonts w:hint="eastAsia"/>
          <w:i w:val="0"/>
          <w:iCs w:val="0"/>
          <w:color w:val="auto"/>
          <w:sz w:val="24"/>
          <w:szCs w:val="24"/>
          <w:lang w:val="en-US" w:eastAsia="zh-CN"/>
        </w:rPr>
      </w:pPr>
      <w:r>
        <w:rPr>
          <w:rFonts w:hint="eastAsia"/>
          <w:i w:val="0"/>
          <w:iCs w:val="0"/>
          <w:color w:val="auto"/>
          <w:sz w:val="24"/>
          <w:szCs w:val="24"/>
          <w:lang w:val="en-US" w:eastAsia="zh-CN"/>
        </w:rPr>
        <w:t>（五）BIM要求：</w:t>
      </w:r>
    </w:p>
    <w:p w14:paraId="66A70EF0">
      <w:pPr>
        <w:pStyle w:val="11"/>
        <w:rPr>
          <w:rFonts w:hint="eastAsia"/>
          <w:i w:val="0"/>
          <w:iCs w:val="0"/>
          <w:color w:val="auto"/>
          <w:sz w:val="24"/>
          <w:szCs w:val="24"/>
          <w:lang w:val="en-US" w:eastAsia="zh-CN"/>
        </w:rPr>
      </w:pPr>
      <w:r>
        <w:rPr>
          <w:rFonts w:hint="eastAsia"/>
          <w:i w:val="0"/>
          <w:iCs w:val="0"/>
          <w:color w:val="auto"/>
          <w:sz w:val="24"/>
          <w:szCs w:val="24"/>
          <w:lang w:val="en-US" w:eastAsia="zh-CN"/>
        </w:rPr>
        <w:t>本次服务实施对象为整个项目，分为三个阶段，具体如下：</w:t>
      </w:r>
    </w:p>
    <w:p w14:paraId="28F177EF">
      <w:pPr>
        <w:pStyle w:val="11"/>
        <w:rPr>
          <w:rFonts w:hint="eastAsia"/>
          <w:i w:val="0"/>
          <w:iCs w:val="0"/>
          <w:color w:val="auto"/>
          <w:sz w:val="24"/>
          <w:szCs w:val="24"/>
          <w:lang w:val="en-US" w:eastAsia="zh-CN"/>
        </w:rPr>
      </w:pPr>
      <w:r>
        <w:rPr>
          <w:rFonts w:hint="eastAsia"/>
          <w:i w:val="0"/>
          <w:iCs w:val="0"/>
          <w:color w:val="auto"/>
          <w:sz w:val="24"/>
          <w:szCs w:val="24"/>
          <w:lang w:val="en-US" w:eastAsia="zh-CN"/>
        </w:rPr>
        <w:t>1、施工前准备工作（包含但不限于）：</w:t>
      </w:r>
    </w:p>
    <w:p w14:paraId="482B923D">
      <w:pPr>
        <w:pStyle w:val="11"/>
        <w:rPr>
          <w:rFonts w:hint="eastAsia"/>
          <w:i w:val="0"/>
          <w:iCs w:val="0"/>
          <w:color w:val="auto"/>
          <w:sz w:val="24"/>
          <w:szCs w:val="24"/>
          <w:lang w:val="en-US" w:eastAsia="zh-CN"/>
        </w:rPr>
      </w:pPr>
      <w:r>
        <w:rPr>
          <w:rFonts w:hint="eastAsia"/>
          <w:i w:val="0"/>
          <w:iCs w:val="0"/>
          <w:color w:val="auto"/>
          <w:sz w:val="24"/>
          <w:szCs w:val="24"/>
          <w:lang w:val="en-US" w:eastAsia="zh-CN"/>
        </w:rPr>
        <w:t>（1）根据项目情况及特点制定本项目《工程总承包BIM应用实施方案》；</w:t>
      </w:r>
    </w:p>
    <w:p w14:paraId="0E294FCC">
      <w:pPr>
        <w:pStyle w:val="11"/>
        <w:rPr>
          <w:rFonts w:hint="eastAsia"/>
          <w:i w:val="0"/>
          <w:iCs w:val="0"/>
          <w:color w:val="auto"/>
          <w:sz w:val="24"/>
          <w:szCs w:val="24"/>
          <w:lang w:val="en-US" w:eastAsia="zh-CN"/>
        </w:rPr>
      </w:pPr>
      <w:r>
        <w:rPr>
          <w:rFonts w:hint="eastAsia"/>
          <w:i w:val="0"/>
          <w:iCs w:val="0"/>
          <w:color w:val="auto"/>
          <w:sz w:val="24"/>
          <w:szCs w:val="24"/>
          <w:lang w:val="en-US" w:eastAsia="zh-CN"/>
        </w:rPr>
        <w:t>（2）组织搭建BIM专业团队，根据实施方案开展BIM工作；</w:t>
      </w:r>
    </w:p>
    <w:p w14:paraId="17FE9037">
      <w:pPr>
        <w:pStyle w:val="11"/>
        <w:rPr>
          <w:rFonts w:hint="eastAsia"/>
          <w:i w:val="0"/>
          <w:iCs w:val="0"/>
          <w:color w:val="auto"/>
          <w:sz w:val="24"/>
          <w:szCs w:val="24"/>
          <w:lang w:val="en-US" w:eastAsia="zh-CN"/>
        </w:rPr>
      </w:pPr>
      <w:r>
        <w:rPr>
          <w:rFonts w:hint="eastAsia"/>
          <w:i w:val="0"/>
          <w:iCs w:val="0"/>
          <w:color w:val="auto"/>
          <w:sz w:val="24"/>
          <w:szCs w:val="24"/>
          <w:lang w:val="en-US" w:eastAsia="zh-CN"/>
        </w:rPr>
        <w:t>（3）与全过程工程咨询公司完成施工图各专业三维信息模型的整合，提前发现图纸问题，在施工前尽量排除设计中存在的设计意图误解问题和错、漏、碰、缺问题，并用于辅助施工技术交底。</w:t>
      </w:r>
    </w:p>
    <w:p w14:paraId="600A229E">
      <w:pPr>
        <w:pStyle w:val="11"/>
        <w:rPr>
          <w:rFonts w:hint="eastAsia"/>
          <w:i w:val="0"/>
          <w:iCs w:val="0"/>
          <w:color w:val="auto"/>
          <w:sz w:val="24"/>
          <w:szCs w:val="24"/>
          <w:lang w:val="en-US" w:eastAsia="zh-CN"/>
        </w:rPr>
      </w:pPr>
      <w:r>
        <w:rPr>
          <w:rFonts w:hint="eastAsia"/>
          <w:i w:val="0"/>
          <w:iCs w:val="0"/>
          <w:color w:val="auto"/>
          <w:sz w:val="24"/>
          <w:szCs w:val="24"/>
          <w:lang w:val="en-US" w:eastAsia="zh-CN"/>
        </w:rPr>
        <w:t>（4）根据已建成的BIM模型，建立施工场地布置措施模型，利用BIM技术进行施工场地的3D模拟，提前查找施工场地的风险源，优化场地布置（施工场地布置措施模型（revit模型）在施工组织设计中附图不少于3张 ）。</w:t>
      </w:r>
    </w:p>
    <w:p w14:paraId="61B8FC23">
      <w:pPr>
        <w:pStyle w:val="11"/>
        <w:rPr>
          <w:rFonts w:hint="eastAsia"/>
          <w:i w:val="0"/>
          <w:iCs w:val="0"/>
          <w:color w:val="auto"/>
          <w:sz w:val="24"/>
          <w:szCs w:val="24"/>
          <w:lang w:val="en-US" w:eastAsia="zh-CN"/>
        </w:rPr>
      </w:pPr>
      <w:r>
        <w:rPr>
          <w:rFonts w:hint="eastAsia"/>
          <w:i w:val="0"/>
          <w:iCs w:val="0"/>
          <w:color w:val="auto"/>
          <w:sz w:val="24"/>
          <w:szCs w:val="24"/>
          <w:lang w:val="en-US" w:eastAsia="zh-CN"/>
        </w:rPr>
        <w:t>2、施工过程BIM工作内容（包含但不限于）：</w:t>
      </w:r>
    </w:p>
    <w:p w14:paraId="30964CB3">
      <w:pPr>
        <w:pStyle w:val="11"/>
        <w:rPr>
          <w:rFonts w:hint="eastAsia"/>
          <w:i w:val="0"/>
          <w:iCs w:val="0"/>
          <w:color w:val="auto"/>
          <w:sz w:val="24"/>
          <w:szCs w:val="24"/>
          <w:lang w:val="en-US" w:eastAsia="zh-CN"/>
        </w:rPr>
      </w:pPr>
      <w:r>
        <w:rPr>
          <w:rFonts w:hint="eastAsia"/>
          <w:i w:val="0"/>
          <w:iCs w:val="0"/>
          <w:color w:val="auto"/>
          <w:sz w:val="24"/>
          <w:szCs w:val="24"/>
          <w:lang w:val="en-US" w:eastAsia="zh-CN"/>
        </w:rPr>
        <w:t>（1）与全过程工程咨询公司完成管综综合深化，完成指定空间室内装修吊顶与机电管线分析，进行吊顶空间优化，为后续的土建施工与机电安装奠定基础；</w:t>
      </w:r>
    </w:p>
    <w:p w14:paraId="63F2559C">
      <w:pPr>
        <w:pStyle w:val="11"/>
        <w:rPr>
          <w:rFonts w:hint="eastAsia"/>
          <w:i w:val="0"/>
          <w:iCs w:val="0"/>
          <w:color w:val="auto"/>
          <w:sz w:val="24"/>
          <w:szCs w:val="24"/>
          <w:lang w:val="en-US" w:eastAsia="zh-CN"/>
        </w:rPr>
      </w:pPr>
      <w:r>
        <w:rPr>
          <w:rFonts w:hint="eastAsia"/>
          <w:i w:val="0"/>
          <w:iCs w:val="0"/>
          <w:color w:val="auto"/>
          <w:sz w:val="24"/>
          <w:szCs w:val="24"/>
          <w:lang w:val="en-US" w:eastAsia="zh-CN"/>
        </w:rPr>
        <w:t>（2）根据已建成的BIM模型，建立施工措施模型及深化模型，完善并达到LOD350标准（河北省《建筑信息模型交付标准》DB13(J)/T8337-2020），指导具体施工；</w:t>
      </w:r>
    </w:p>
    <w:p w14:paraId="13D6BF65">
      <w:pPr>
        <w:pStyle w:val="11"/>
        <w:rPr>
          <w:rFonts w:hint="eastAsia"/>
          <w:i w:val="0"/>
          <w:iCs w:val="0"/>
          <w:color w:val="auto"/>
          <w:sz w:val="24"/>
          <w:szCs w:val="24"/>
          <w:lang w:val="en-US" w:eastAsia="zh-CN"/>
        </w:rPr>
      </w:pPr>
      <w:r>
        <w:rPr>
          <w:rFonts w:hint="eastAsia"/>
          <w:i w:val="0"/>
          <w:iCs w:val="0"/>
          <w:color w:val="auto"/>
          <w:sz w:val="24"/>
          <w:szCs w:val="24"/>
          <w:lang w:val="en-US" w:eastAsia="zh-CN"/>
        </w:rPr>
        <w:t>（3）利用BIM技术模拟复杂节点及施工方案论证，向施工工人做可视化技术交底，减少工人的误操作，提高施工质量与效率（临时场地布置方案模拟、基坑支护方案模拟、机电安装方案模拟等）；</w:t>
      </w:r>
    </w:p>
    <w:p w14:paraId="6D6DB2C0">
      <w:pPr>
        <w:pStyle w:val="11"/>
        <w:rPr>
          <w:rFonts w:hint="eastAsia"/>
          <w:i w:val="0"/>
          <w:iCs w:val="0"/>
          <w:color w:val="auto"/>
          <w:sz w:val="24"/>
          <w:szCs w:val="24"/>
          <w:lang w:val="en-US" w:eastAsia="zh-CN"/>
        </w:rPr>
      </w:pPr>
      <w:r>
        <w:rPr>
          <w:rFonts w:hint="eastAsia"/>
          <w:i w:val="0"/>
          <w:iCs w:val="0"/>
          <w:color w:val="auto"/>
          <w:sz w:val="24"/>
          <w:szCs w:val="24"/>
          <w:lang w:val="en-US" w:eastAsia="zh-CN"/>
        </w:rPr>
        <w:t>（4）利用BIM技术的项目质量安全管理，实时项目质量安全状况全面的可视化和透明化，提高质量、安全工作沟通效率；</w:t>
      </w:r>
    </w:p>
    <w:p w14:paraId="52130D6D">
      <w:pPr>
        <w:pStyle w:val="11"/>
        <w:rPr>
          <w:rFonts w:hint="eastAsia"/>
          <w:i w:val="0"/>
          <w:iCs w:val="0"/>
          <w:color w:val="auto"/>
          <w:sz w:val="24"/>
          <w:szCs w:val="24"/>
          <w:lang w:val="en-US" w:eastAsia="zh-CN"/>
        </w:rPr>
      </w:pPr>
      <w:r>
        <w:rPr>
          <w:rFonts w:hint="eastAsia"/>
          <w:i w:val="0"/>
          <w:iCs w:val="0"/>
          <w:color w:val="auto"/>
          <w:sz w:val="24"/>
          <w:szCs w:val="24"/>
          <w:lang w:val="en-US" w:eastAsia="zh-CN"/>
        </w:rPr>
        <w:t>（5）以BIM模型为载体，二维码为介质，对预制构件及重要设备进行物料跟踪管理；</w:t>
      </w:r>
    </w:p>
    <w:p w14:paraId="224A9373">
      <w:pPr>
        <w:pStyle w:val="11"/>
        <w:rPr>
          <w:rFonts w:hint="eastAsia"/>
          <w:i w:val="0"/>
          <w:iCs w:val="0"/>
          <w:color w:val="auto"/>
          <w:sz w:val="24"/>
          <w:szCs w:val="24"/>
          <w:lang w:val="en-US" w:eastAsia="zh-CN"/>
        </w:rPr>
      </w:pPr>
      <w:r>
        <w:rPr>
          <w:rFonts w:hint="eastAsia"/>
          <w:i w:val="0"/>
          <w:iCs w:val="0"/>
          <w:color w:val="auto"/>
          <w:sz w:val="24"/>
          <w:szCs w:val="24"/>
          <w:lang w:val="en-US" w:eastAsia="zh-CN"/>
        </w:rPr>
        <w:t>（6）利用BIM技术进行进度模拟，结合无人机掌握项目实时施工进度，分析进度问题，及时进行调控；</w:t>
      </w:r>
    </w:p>
    <w:p w14:paraId="5480F683">
      <w:pPr>
        <w:pStyle w:val="11"/>
        <w:rPr>
          <w:rFonts w:hint="eastAsia"/>
          <w:i w:val="0"/>
          <w:iCs w:val="0"/>
          <w:color w:val="auto"/>
          <w:sz w:val="24"/>
          <w:szCs w:val="24"/>
          <w:lang w:val="en-US" w:eastAsia="zh-CN"/>
        </w:rPr>
      </w:pPr>
      <w:r>
        <w:rPr>
          <w:rFonts w:hint="eastAsia"/>
          <w:i w:val="0"/>
          <w:iCs w:val="0"/>
          <w:color w:val="auto"/>
          <w:sz w:val="24"/>
          <w:szCs w:val="24"/>
          <w:lang w:val="en-US" w:eastAsia="zh-CN"/>
        </w:rPr>
        <w:t>（7）根据项目进展及业主要求完善模型并达到LOD400标准（河北省《建筑信息模型交付标准》DB13(J)/T8337-2020）。</w:t>
      </w:r>
    </w:p>
    <w:p w14:paraId="31B3239B">
      <w:pPr>
        <w:pStyle w:val="11"/>
        <w:rPr>
          <w:rFonts w:hint="eastAsia"/>
          <w:i w:val="0"/>
          <w:iCs w:val="0"/>
          <w:color w:val="auto"/>
          <w:sz w:val="24"/>
          <w:szCs w:val="24"/>
          <w:lang w:val="en-US" w:eastAsia="zh-CN"/>
        </w:rPr>
      </w:pPr>
      <w:r>
        <w:rPr>
          <w:rFonts w:hint="eastAsia"/>
          <w:i w:val="0"/>
          <w:iCs w:val="0"/>
          <w:color w:val="auto"/>
          <w:sz w:val="24"/>
          <w:szCs w:val="24"/>
          <w:lang w:val="en-US" w:eastAsia="zh-CN"/>
        </w:rPr>
        <w:t>3、竣工阶段BIM工作内容（包含但不限于）：</w:t>
      </w:r>
    </w:p>
    <w:p w14:paraId="72786B17">
      <w:pPr>
        <w:pStyle w:val="11"/>
        <w:rPr>
          <w:rFonts w:hint="eastAsia"/>
          <w:i w:val="0"/>
          <w:iCs w:val="0"/>
          <w:color w:val="auto"/>
          <w:sz w:val="24"/>
          <w:szCs w:val="24"/>
          <w:lang w:val="en-US" w:eastAsia="zh-CN"/>
        </w:rPr>
      </w:pPr>
      <w:r>
        <w:rPr>
          <w:rFonts w:hint="eastAsia"/>
          <w:i w:val="0"/>
          <w:iCs w:val="0"/>
          <w:color w:val="auto"/>
          <w:sz w:val="24"/>
          <w:szCs w:val="24"/>
          <w:lang w:val="en-US" w:eastAsia="zh-CN"/>
        </w:rPr>
        <w:t>（1）在施工过程模型的基础上，结合竣工验收意见及验收资料，完善整合形成竣工模型并达到LOD500标准（河北省《建筑信息模型交付标准》DB13(J)/T8337-2020），保证竣工模型能反映建成项目的真实状况，同时满足后期运营维护阶段正常使用；</w:t>
      </w:r>
    </w:p>
    <w:p w14:paraId="78A28435">
      <w:pPr>
        <w:pStyle w:val="11"/>
        <w:rPr>
          <w:rFonts w:hint="eastAsia"/>
          <w:i w:val="0"/>
          <w:iCs w:val="0"/>
          <w:color w:val="auto"/>
          <w:sz w:val="24"/>
          <w:szCs w:val="24"/>
          <w:lang w:val="en-US" w:eastAsia="zh-CN"/>
        </w:rPr>
      </w:pPr>
      <w:r>
        <w:rPr>
          <w:rFonts w:hint="eastAsia"/>
          <w:i w:val="0"/>
          <w:iCs w:val="0"/>
          <w:color w:val="auto"/>
          <w:sz w:val="24"/>
          <w:szCs w:val="24"/>
          <w:lang w:val="en-US" w:eastAsia="zh-CN"/>
        </w:rPr>
        <w:t>（2）汇总BIM资料，并进行梳理与分析，形成本项目完整的BIM竣工资料；</w:t>
      </w:r>
    </w:p>
    <w:p w14:paraId="49DC7C35">
      <w:pPr>
        <w:pStyle w:val="11"/>
        <w:rPr>
          <w:rFonts w:hint="eastAsia"/>
          <w:i w:val="0"/>
          <w:iCs w:val="0"/>
          <w:color w:val="auto"/>
          <w:sz w:val="24"/>
          <w:szCs w:val="24"/>
          <w:lang w:val="en-US" w:eastAsia="zh-CN"/>
        </w:rPr>
      </w:pPr>
      <w:r>
        <w:rPr>
          <w:rFonts w:hint="eastAsia"/>
          <w:i w:val="0"/>
          <w:iCs w:val="0"/>
          <w:color w:val="auto"/>
          <w:sz w:val="24"/>
          <w:szCs w:val="24"/>
          <w:lang w:val="en-US" w:eastAsia="zh-CN"/>
        </w:rPr>
        <w:t>（3）对本项目的BIM应用做总结报告，全面分析BIM技术在本项目应用中的价值与不足，总结一套完整的BIM应用经验。</w:t>
      </w:r>
    </w:p>
    <w:p w14:paraId="72D0FC20">
      <w:pPr>
        <w:pStyle w:val="11"/>
        <w:rPr>
          <w:rFonts w:hint="eastAsia"/>
          <w:i w:val="0"/>
          <w:iCs w:val="0"/>
          <w:color w:val="auto"/>
          <w:sz w:val="24"/>
          <w:szCs w:val="24"/>
          <w:lang w:eastAsia="zh-CN"/>
        </w:rPr>
      </w:pPr>
      <w:r>
        <w:rPr>
          <w:rFonts w:hint="eastAsia"/>
          <w:i w:val="0"/>
          <w:iCs w:val="0"/>
          <w:color w:val="auto"/>
          <w:sz w:val="24"/>
          <w:szCs w:val="24"/>
          <w:lang w:val="en-US" w:eastAsia="zh-CN"/>
        </w:rPr>
        <w:t>（六）</w:t>
      </w:r>
      <w:r>
        <w:rPr>
          <w:rFonts w:hint="eastAsia"/>
          <w:i w:val="0"/>
          <w:iCs w:val="0"/>
          <w:color w:val="auto"/>
          <w:sz w:val="24"/>
          <w:szCs w:val="24"/>
          <w:lang w:eastAsia="zh-CN"/>
        </w:rPr>
        <w:t>本招标项目危大工程清单：</w:t>
      </w:r>
    </w:p>
    <w:p w14:paraId="7E0F40FD">
      <w:pPr>
        <w:spacing w:line="36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表1：危险性较大的分部分项工程范围</w:t>
      </w:r>
    </w:p>
    <w:tbl>
      <w:tblPr>
        <w:tblStyle w:val="39"/>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4953"/>
        <w:gridCol w:w="3369"/>
      </w:tblGrid>
      <w:tr w14:paraId="4D76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97" w:type="dxa"/>
            <w:noWrap w:val="0"/>
            <w:vAlign w:val="center"/>
          </w:tcPr>
          <w:p w14:paraId="2DBD84BE">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分部分项</w:t>
            </w:r>
          </w:p>
        </w:tc>
        <w:tc>
          <w:tcPr>
            <w:tcW w:w="4953" w:type="dxa"/>
            <w:noWrap w:val="0"/>
            <w:vAlign w:val="center"/>
          </w:tcPr>
          <w:p w14:paraId="54B87040">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判断依据</w:t>
            </w:r>
          </w:p>
        </w:tc>
        <w:tc>
          <w:tcPr>
            <w:tcW w:w="3369" w:type="dxa"/>
            <w:noWrap w:val="0"/>
            <w:vAlign w:val="center"/>
          </w:tcPr>
          <w:p w14:paraId="540C8E87">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yellow"/>
                <w:lang w:eastAsia="zh-CN"/>
              </w:rPr>
            </w:pPr>
            <w:r>
              <w:rPr>
                <w:rFonts w:hint="eastAsia" w:ascii="宋体" w:hAnsi="宋体" w:eastAsia="宋体" w:cs="宋体"/>
                <w:snapToGrid/>
                <w:color w:val="auto"/>
                <w:sz w:val="24"/>
                <w:szCs w:val="24"/>
                <w:highlight w:val="none"/>
                <w:lang w:eastAsia="zh-CN"/>
              </w:rPr>
              <w:t>内容概述（</w:t>
            </w:r>
            <w:r>
              <w:rPr>
                <w:rFonts w:hint="eastAsia" w:ascii="宋体" w:hAnsi="宋体" w:eastAsia="宋体" w:cs="宋体"/>
                <w:snapToGrid/>
                <w:color w:val="auto"/>
                <w:sz w:val="24"/>
                <w:szCs w:val="24"/>
                <w:highlight w:val="none"/>
                <w:lang w:val="en-US" w:eastAsia="zh-CN"/>
              </w:rPr>
              <w:t>需要设计单位确定</w:t>
            </w:r>
            <w:r>
              <w:rPr>
                <w:rFonts w:hint="eastAsia" w:ascii="宋体" w:hAnsi="宋体" w:eastAsia="宋体" w:cs="宋体"/>
                <w:snapToGrid/>
                <w:color w:val="auto"/>
                <w:sz w:val="24"/>
                <w:szCs w:val="24"/>
                <w:highlight w:val="none"/>
                <w:lang w:eastAsia="zh-CN"/>
              </w:rPr>
              <w:t>）</w:t>
            </w:r>
          </w:p>
        </w:tc>
      </w:tr>
      <w:tr w14:paraId="3336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97" w:type="dxa"/>
            <w:vMerge w:val="restart"/>
            <w:noWrap w:val="0"/>
            <w:vAlign w:val="center"/>
          </w:tcPr>
          <w:p w14:paraId="6E286F03">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基坑工程</w:t>
            </w:r>
          </w:p>
        </w:tc>
        <w:tc>
          <w:tcPr>
            <w:tcW w:w="4953" w:type="dxa"/>
            <w:noWrap w:val="0"/>
            <w:vAlign w:val="center"/>
          </w:tcPr>
          <w:p w14:paraId="4D0BC11C">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1.开挖深度超过3m（含3m）的基坑（槽）的土方开挖、支护、降水工程</w:t>
            </w:r>
          </w:p>
        </w:tc>
        <w:tc>
          <w:tcPr>
            <w:tcW w:w="3369" w:type="dxa"/>
            <w:noWrap w:val="0"/>
            <w:vAlign w:val="center"/>
          </w:tcPr>
          <w:p w14:paraId="34318B05">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62A2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97" w:type="dxa"/>
            <w:vMerge w:val="continue"/>
            <w:noWrap w:val="0"/>
            <w:vAlign w:val="center"/>
          </w:tcPr>
          <w:p w14:paraId="7470FA6D">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lang w:eastAsia="zh-CN"/>
              </w:rPr>
            </w:pPr>
          </w:p>
        </w:tc>
        <w:tc>
          <w:tcPr>
            <w:tcW w:w="4953" w:type="dxa"/>
            <w:noWrap w:val="0"/>
            <w:vAlign w:val="center"/>
          </w:tcPr>
          <w:p w14:paraId="70D222B5">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2.开挖深度虽未超过3m，但地质条件、周围环境和地下管线复杂，或影响毗邻建、构筑物安全的基坑（槽）的土方开挖、支护、降水工程。</w:t>
            </w:r>
          </w:p>
        </w:tc>
        <w:tc>
          <w:tcPr>
            <w:tcW w:w="3369" w:type="dxa"/>
            <w:noWrap w:val="0"/>
            <w:vAlign w:val="center"/>
          </w:tcPr>
          <w:p w14:paraId="7A5AF87B">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lang w:eastAsia="zh-CN"/>
              </w:rPr>
            </w:pPr>
          </w:p>
        </w:tc>
      </w:tr>
      <w:tr w14:paraId="7E4C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97" w:type="dxa"/>
            <w:vMerge w:val="restart"/>
            <w:noWrap w:val="0"/>
            <w:vAlign w:val="center"/>
          </w:tcPr>
          <w:p w14:paraId="18391668">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模板工程及支撑体系</w:t>
            </w:r>
          </w:p>
        </w:tc>
        <w:tc>
          <w:tcPr>
            <w:tcW w:w="4953" w:type="dxa"/>
            <w:noWrap w:val="0"/>
            <w:vAlign w:val="center"/>
          </w:tcPr>
          <w:p w14:paraId="53E10FE8">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1.各类工具式模板工程：包括滑模、爬模、飞模、隧道模等工程。</w:t>
            </w:r>
          </w:p>
        </w:tc>
        <w:tc>
          <w:tcPr>
            <w:tcW w:w="3369" w:type="dxa"/>
            <w:noWrap w:val="0"/>
            <w:vAlign w:val="center"/>
          </w:tcPr>
          <w:p w14:paraId="11E06C89">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1968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297" w:type="dxa"/>
            <w:vMerge w:val="continue"/>
            <w:noWrap w:val="0"/>
            <w:vAlign w:val="center"/>
          </w:tcPr>
          <w:p w14:paraId="5B4B872C">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6F44568E">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3369" w:type="dxa"/>
            <w:noWrap w:val="0"/>
            <w:vAlign w:val="center"/>
          </w:tcPr>
          <w:p w14:paraId="1DBC7CF9">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28E6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97" w:type="dxa"/>
            <w:vMerge w:val="restart"/>
            <w:noWrap w:val="0"/>
            <w:vAlign w:val="center"/>
          </w:tcPr>
          <w:p w14:paraId="07555C54">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起重吊装及起重机械安装拆卸工程</w:t>
            </w:r>
          </w:p>
        </w:tc>
        <w:tc>
          <w:tcPr>
            <w:tcW w:w="4953" w:type="dxa"/>
            <w:noWrap w:val="0"/>
            <w:vAlign w:val="center"/>
          </w:tcPr>
          <w:p w14:paraId="13A60A31">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1.采用非常规起重设备、方法，且单件起吊重量在10kN及以上的起重吊装工程。</w:t>
            </w:r>
          </w:p>
        </w:tc>
        <w:tc>
          <w:tcPr>
            <w:tcW w:w="3369" w:type="dxa"/>
            <w:vMerge w:val="restart"/>
            <w:noWrap w:val="0"/>
            <w:vAlign w:val="center"/>
          </w:tcPr>
          <w:p w14:paraId="346BBA39">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02FB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629E6069">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3E067184">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2.采用起重机械进行安装的工程。</w:t>
            </w:r>
          </w:p>
        </w:tc>
        <w:tc>
          <w:tcPr>
            <w:tcW w:w="3369" w:type="dxa"/>
            <w:vMerge w:val="continue"/>
            <w:noWrap w:val="0"/>
            <w:vAlign w:val="center"/>
          </w:tcPr>
          <w:p w14:paraId="2B7CCA81">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rPr>
            </w:pPr>
          </w:p>
        </w:tc>
      </w:tr>
      <w:tr w14:paraId="582F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97" w:type="dxa"/>
            <w:vMerge w:val="continue"/>
            <w:noWrap w:val="0"/>
            <w:vAlign w:val="center"/>
          </w:tcPr>
          <w:p w14:paraId="6B4E6273">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740E3E61">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3.起重机械安装和拆卸工程。</w:t>
            </w:r>
          </w:p>
        </w:tc>
        <w:tc>
          <w:tcPr>
            <w:tcW w:w="3369" w:type="dxa"/>
            <w:vMerge w:val="continue"/>
            <w:noWrap w:val="0"/>
            <w:vAlign w:val="center"/>
          </w:tcPr>
          <w:p w14:paraId="193AFA9F">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rPr>
            </w:pPr>
          </w:p>
        </w:tc>
      </w:tr>
      <w:tr w14:paraId="3BD0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97" w:type="dxa"/>
            <w:vMerge w:val="restart"/>
            <w:noWrap w:val="0"/>
            <w:vAlign w:val="center"/>
          </w:tcPr>
          <w:p w14:paraId="63A23BEA">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脚手架工程</w:t>
            </w:r>
          </w:p>
        </w:tc>
        <w:tc>
          <w:tcPr>
            <w:tcW w:w="4953" w:type="dxa"/>
            <w:noWrap w:val="0"/>
            <w:vAlign w:val="center"/>
          </w:tcPr>
          <w:p w14:paraId="4C31C7DE">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1.搭设高度24m及以上的落地式钢管脚手架工程（包括采光井、电梯井脚手架）。</w:t>
            </w:r>
          </w:p>
        </w:tc>
        <w:tc>
          <w:tcPr>
            <w:tcW w:w="3369" w:type="dxa"/>
            <w:vMerge w:val="restart"/>
            <w:noWrap w:val="0"/>
            <w:vAlign w:val="center"/>
          </w:tcPr>
          <w:p w14:paraId="008E419B">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557E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7B843A91">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27DBFDA0">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2.附着式升降脚手架工程。</w:t>
            </w:r>
          </w:p>
        </w:tc>
        <w:tc>
          <w:tcPr>
            <w:tcW w:w="3369" w:type="dxa"/>
            <w:vMerge w:val="continue"/>
            <w:noWrap w:val="0"/>
            <w:vAlign w:val="center"/>
          </w:tcPr>
          <w:p w14:paraId="4E9BCD80">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rPr>
            </w:pPr>
          </w:p>
        </w:tc>
      </w:tr>
      <w:tr w14:paraId="0B81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002153AC">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26B4E0B5">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3.悬挑式脚手架工程。</w:t>
            </w:r>
          </w:p>
        </w:tc>
        <w:tc>
          <w:tcPr>
            <w:tcW w:w="3369" w:type="dxa"/>
            <w:vMerge w:val="continue"/>
            <w:noWrap w:val="0"/>
            <w:vAlign w:val="center"/>
          </w:tcPr>
          <w:p w14:paraId="10367B21">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rPr>
            </w:pPr>
          </w:p>
        </w:tc>
      </w:tr>
      <w:tr w14:paraId="456E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58AB4790">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07105077">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4.高处作业吊篮。</w:t>
            </w:r>
          </w:p>
        </w:tc>
        <w:tc>
          <w:tcPr>
            <w:tcW w:w="3369" w:type="dxa"/>
            <w:vMerge w:val="continue"/>
            <w:noWrap w:val="0"/>
            <w:vAlign w:val="center"/>
          </w:tcPr>
          <w:p w14:paraId="7E3CBC10">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lang w:eastAsia="zh-CN"/>
              </w:rPr>
            </w:pPr>
          </w:p>
        </w:tc>
      </w:tr>
      <w:tr w14:paraId="04A2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6536218F">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10C44544">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5.卸料平台、操作平台工程。</w:t>
            </w:r>
          </w:p>
        </w:tc>
        <w:tc>
          <w:tcPr>
            <w:tcW w:w="3369" w:type="dxa"/>
            <w:vMerge w:val="continue"/>
            <w:noWrap w:val="0"/>
            <w:vAlign w:val="center"/>
          </w:tcPr>
          <w:p w14:paraId="00EFE008">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rPr>
            </w:pPr>
          </w:p>
        </w:tc>
      </w:tr>
      <w:tr w14:paraId="410C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0C77FFBF">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17BF888F">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6.异型脚手架工程。</w:t>
            </w:r>
          </w:p>
        </w:tc>
        <w:tc>
          <w:tcPr>
            <w:tcW w:w="3369" w:type="dxa"/>
            <w:vMerge w:val="continue"/>
            <w:noWrap w:val="0"/>
            <w:vAlign w:val="center"/>
          </w:tcPr>
          <w:p w14:paraId="18D830FD">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rPr>
            </w:pPr>
          </w:p>
        </w:tc>
      </w:tr>
      <w:tr w14:paraId="7D66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97" w:type="dxa"/>
            <w:noWrap w:val="0"/>
            <w:vAlign w:val="center"/>
          </w:tcPr>
          <w:p w14:paraId="68CBC5F1">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拆除工程</w:t>
            </w:r>
          </w:p>
        </w:tc>
        <w:tc>
          <w:tcPr>
            <w:tcW w:w="4953" w:type="dxa"/>
            <w:noWrap w:val="0"/>
            <w:vAlign w:val="center"/>
          </w:tcPr>
          <w:p w14:paraId="6A9705AD">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可能影响行人、交通、电力设施、通信设施或其他建、构筑物安全的拆除工程。</w:t>
            </w:r>
          </w:p>
        </w:tc>
        <w:tc>
          <w:tcPr>
            <w:tcW w:w="3369" w:type="dxa"/>
            <w:vMerge w:val="continue"/>
            <w:noWrap w:val="0"/>
            <w:vAlign w:val="center"/>
          </w:tcPr>
          <w:p w14:paraId="56A3A7AF">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lang w:eastAsia="zh-CN"/>
              </w:rPr>
            </w:pPr>
          </w:p>
        </w:tc>
      </w:tr>
      <w:tr w14:paraId="606B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97" w:type="dxa"/>
            <w:vMerge w:val="restart"/>
            <w:noWrap w:val="0"/>
            <w:vAlign w:val="center"/>
          </w:tcPr>
          <w:p w14:paraId="567154A6">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其他</w:t>
            </w:r>
          </w:p>
        </w:tc>
        <w:tc>
          <w:tcPr>
            <w:tcW w:w="4953" w:type="dxa"/>
            <w:noWrap w:val="0"/>
            <w:vAlign w:val="center"/>
          </w:tcPr>
          <w:p w14:paraId="02A7195D">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1.建筑幕墙安装工程。</w:t>
            </w:r>
          </w:p>
        </w:tc>
        <w:tc>
          <w:tcPr>
            <w:tcW w:w="3369" w:type="dxa"/>
            <w:noWrap w:val="0"/>
            <w:vAlign w:val="center"/>
          </w:tcPr>
          <w:p w14:paraId="71FF54B6">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20B6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7B342A25">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none"/>
                <w:lang w:eastAsia="zh-CN"/>
              </w:rPr>
            </w:pPr>
          </w:p>
        </w:tc>
        <w:tc>
          <w:tcPr>
            <w:tcW w:w="4953" w:type="dxa"/>
            <w:noWrap w:val="0"/>
            <w:vAlign w:val="center"/>
          </w:tcPr>
          <w:p w14:paraId="6B6F46A6">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2.钢结构、网架和索膜结构安装工程。</w:t>
            </w:r>
          </w:p>
        </w:tc>
        <w:tc>
          <w:tcPr>
            <w:tcW w:w="3369" w:type="dxa"/>
            <w:noWrap w:val="0"/>
            <w:vAlign w:val="center"/>
          </w:tcPr>
          <w:p w14:paraId="77A21A4F">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4DAC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1A5C65EB">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none"/>
                <w:lang w:eastAsia="zh-CN"/>
              </w:rPr>
            </w:pPr>
          </w:p>
        </w:tc>
        <w:tc>
          <w:tcPr>
            <w:tcW w:w="4953" w:type="dxa"/>
            <w:noWrap w:val="0"/>
            <w:vAlign w:val="center"/>
          </w:tcPr>
          <w:p w14:paraId="458CC7CD">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3.人工挖孔桩工程。</w:t>
            </w:r>
          </w:p>
        </w:tc>
        <w:tc>
          <w:tcPr>
            <w:tcW w:w="3369" w:type="dxa"/>
            <w:noWrap w:val="0"/>
            <w:vAlign w:val="center"/>
          </w:tcPr>
          <w:p w14:paraId="184A565D">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35A5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47421F6B">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none"/>
                <w:lang w:eastAsia="zh-CN"/>
              </w:rPr>
            </w:pPr>
          </w:p>
        </w:tc>
        <w:tc>
          <w:tcPr>
            <w:tcW w:w="4953" w:type="dxa"/>
            <w:noWrap w:val="0"/>
            <w:vAlign w:val="center"/>
          </w:tcPr>
          <w:p w14:paraId="7D4A9241">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4.水下作业工程。</w:t>
            </w:r>
          </w:p>
        </w:tc>
        <w:tc>
          <w:tcPr>
            <w:tcW w:w="3369" w:type="dxa"/>
            <w:noWrap w:val="0"/>
            <w:vAlign w:val="center"/>
          </w:tcPr>
          <w:p w14:paraId="319FC338">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4C79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6AC59CCB">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none"/>
                <w:lang w:eastAsia="zh-CN"/>
              </w:rPr>
            </w:pPr>
          </w:p>
        </w:tc>
        <w:tc>
          <w:tcPr>
            <w:tcW w:w="4953" w:type="dxa"/>
            <w:noWrap w:val="0"/>
            <w:vAlign w:val="center"/>
          </w:tcPr>
          <w:p w14:paraId="4F06E360">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5.装配式建筑混凝土预制构件安装工程。</w:t>
            </w:r>
          </w:p>
        </w:tc>
        <w:tc>
          <w:tcPr>
            <w:tcW w:w="3369" w:type="dxa"/>
            <w:noWrap w:val="0"/>
            <w:vAlign w:val="center"/>
          </w:tcPr>
          <w:p w14:paraId="447723F0">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25C6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97" w:type="dxa"/>
            <w:vMerge w:val="continue"/>
            <w:noWrap w:val="0"/>
            <w:vAlign w:val="center"/>
          </w:tcPr>
          <w:p w14:paraId="58668341">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none"/>
                <w:lang w:eastAsia="zh-CN"/>
              </w:rPr>
            </w:pPr>
          </w:p>
        </w:tc>
        <w:tc>
          <w:tcPr>
            <w:tcW w:w="4953" w:type="dxa"/>
            <w:noWrap w:val="0"/>
            <w:vAlign w:val="center"/>
          </w:tcPr>
          <w:p w14:paraId="3AC78F24">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6.采用新技术、新工艺、新材料、新设备可能影响工程施工安全，尚无国家、行业及地方技术标准的分部分项工程。</w:t>
            </w:r>
          </w:p>
        </w:tc>
        <w:tc>
          <w:tcPr>
            <w:tcW w:w="3369" w:type="dxa"/>
            <w:noWrap w:val="0"/>
            <w:vAlign w:val="center"/>
          </w:tcPr>
          <w:p w14:paraId="30519375">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r>
              <w:rPr>
                <w:rFonts w:hint="eastAsia" w:ascii="宋体" w:hAnsi="宋体" w:eastAsia="宋体" w:cs="宋体"/>
                <w:snapToGrid/>
                <w:color w:val="auto"/>
                <w:sz w:val="24"/>
                <w:szCs w:val="24"/>
                <w:highlight w:val="none"/>
                <w:lang w:eastAsia="zh-CN"/>
              </w:rPr>
              <w:t>施工单位应按本项列表逐一排查，涉及相关危大项目时，施工单位应编制专项施工方案。</w:t>
            </w:r>
          </w:p>
        </w:tc>
      </w:tr>
    </w:tbl>
    <w:p w14:paraId="2D97EE5F">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表2：超过一定规模的危险性较大的分部分项工程范围</w:t>
      </w:r>
    </w:p>
    <w:tbl>
      <w:tblPr>
        <w:tblStyle w:val="39"/>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4746"/>
        <w:gridCol w:w="3383"/>
      </w:tblGrid>
      <w:tr w14:paraId="5169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530" w:type="dxa"/>
            <w:noWrap w:val="0"/>
            <w:vAlign w:val="center"/>
          </w:tcPr>
          <w:p w14:paraId="582246B3">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分部分项</w:t>
            </w:r>
          </w:p>
        </w:tc>
        <w:tc>
          <w:tcPr>
            <w:tcW w:w="4746" w:type="dxa"/>
            <w:noWrap w:val="0"/>
            <w:vAlign w:val="center"/>
          </w:tcPr>
          <w:p w14:paraId="2BF3EC03">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判断依据</w:t>
            </w:r>
          </w:p>
        </w:tc>
        <w:tc>
          <w:tcPr>
            <w:tcW w:w="3383" w:type="dxa"/>
            <w:noWrap w:val="0"/>
            <w:vAlign w:val="center"/>
          </w:tcPr>
          <w:p w14:paraId="542B2625">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yellow"/>
                <w:lang w:eastAsia="zh-CN"/>
              </w:rPr>
            </w:pPr>
            <w:r>
              <w:rPr>
                <w:rFonts w:hint="eastAsia" w:ascii="宋体" w:hAnsi="宋体" w:eastAsia="宋体" w:cs="宋体"/>
                <w:snapToGrid/>
                <w:color w:val="auto"/>
                <w:sz w:val="24"/>
                <w:szCs w:val="24"/>
                <w:highlight w:val="none"/>
                <w:lang w:eastAsia="zh-CN"/>
              </w:rPr>
              <w:t>内容概述（</w:t>
            </w:r>
            <w:r>
              <w:rPr>
                <w:rFonts w:hint="eastAsia" w:ascii="宋体" w:hAnsi="宋体" w:eastAsia="宋体" w:cs="宋体"/>
                <w:snapToGrid/>
                <w:color w:val="auto"/>
                <w:sz w:val="24"/>
                <w:szCs w:val="24"/>
                <w:highlight w:val="none"/>
                <w:lang w:val="en-US" w:eastAsia="zh-CN"/>
              </w:rPr>
              <w:t>需要设计单位确定</w:t>
            </w:r>
            <w:r>
              <w:rPr>
                <w:rFonts w:hint="eastAsia" w:ascii="宋体" w:hAnsi="宋体" w:eastAsia="宋体" w:cs="宋体"/>
                <w:snapToGrid/>
                <w:color w:val="auto"/>
                <w:sz w:val="24"/>
                <w:szCs w:val="24"/>
                <w:highlight w:val="none"/>
                <w:lang w:eastAsia="zh-CN"/>
              </w:rPr>
              <w:t>）</w:t>
            </w:r>
          </w:p>
        </w:tc>
      </w:tr>
      <w:tr w14:paraId="46D4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noWrap w:val="0"/>
            <w:vAlign w:val="center"/>
          </w:tcPr>
          <w:p w14:paraId="24D03EF1">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基坑工程</w:t>
            </w:r>
          </w:p>
        </w:tc>
        <w:tc>
          <w:tcPr>
            <w:tcW w:w="4746" w:type="dxa"/>
            <w:noWrap w:val="0"/>
            <w:vAlign w:val="center"/>
          </w:tcPr>
          <w:p w14:paraId="437739AD">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1.开挖深度超过5m（含5m）的基坑（槽）的土方开挖、支护、降水工程。</w:t>
            </w:r>
          </w:p>
        </w:tc>
        <w:tc>
          <w:tcPr>
            <w:tcW w:w="3383" w:type="dxa"/>
            <w:noWrap w:val="0"/>
            <w:vAlign w:val="center"/>
          </w:tcPr>
          <w:p w14:paraId="4152B663">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29D5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30" w:type="dxa"/>
            <w:vMerge w:val="restart"/>
            <w:noWrap w:val="0"/>
            <w:vAlign w:val="center"/>
          </w:tcPr>
          <w:p w14:paraId="0BF4B523">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模板工程及支撑体系</w:t>
            </w:r>
          </w:p>
        </w:tc>
        <w:tc>
          <w:tcPr>
            <w:tcW w:w="4746" w:type="dxa"/>
            <w:noWrap w:val="0"/>
            <w:vAlign w:val="center"/>
          </w:tcPr>
          <w:p w14:paraId="25FDBC87">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1.各类工具式模板工程：包括滑模、爬模、飞模、隧道模等工程。</w:t>
            </w:r>
          </w:p>
        </w:tc>
        <w:tc>
          <w:tcPr>
            <w:tcW w:w="3383" w:type="dxa"/>
            <w:vMerge w:val="restart"/>
            <w:noWrap w:val="0"/>
            <w:vAlign w:val="center"/>
          </w:tcPr>
          <w:p w14:paraId="2E8FFF54">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20D4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530" w:type="dxa"/>
            <w:vMerge w:val="continue"/>
            <w:noWrap w:val="0"/>
            <w:vAlign w:val="center"/>
          </w:tcPr>
          <w:p w14:paraId="52AD5E23">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ascii="宋体" w:hAnsi="宋体" w:eastAsia="宋体" w:cs="宋体"/>
                <w:snapToGrid/>
                <w:color w:val="auto"/>
                <w:sz w:val="24"/>
                <w:szCs w:val="24"/>
                <w:highlight w:val="none"/>
              </w:rPr>
            </w:pPr>
          </w:p>
        </w:tc>
        <w:tc>
          <w:tcPr>
            <w:tcW w:w="4746" w:type="dxa"/>
            <w:noWrap w:val="0"/>
            <w:vAlign w:val="center"/>
          </w:tcPr>
          <w:p w14:paraId="68EC3BC8">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2.混凝土模板支撑工程：搭设高度8m及以上，或搭设跨度18m及以上，或施工总荷载（设计值）15kN/m2及以上，或集中线荷载（设计值）20kN/m及以上。</w:t>
            </w:r>
          </w:p>
        </w:tc>
        <w:tc>
          <w:tcPr>
            <w:tcW w:w="3383" w:type="dxa"/>
            <w:vMerge w:val="continue"/>
            <w:noWrap w:val="0"/>
            <w:vAlign w:val="center"/>
          </w:tcPr>
          <w:p w14:paraId="58113C12">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yellow"/>
              </w:rPr>
            </w:pPr>
          </w:p>
        </w:tc>
      </w:tr>
      <w:tr w14:paraId="7928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vMerge w:val="restart"/>
            <w:noWrap w:val="0"/>
            <w:vAlign w:val="center"/>
          </w:tcPr>
          <w:p w14:paraId="49F77890">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起重吊装及起重机械安装拆卸工程</w:t>
            </w:r>
          </w:p>
        </w:tc>
        <w:tc>
          <w:tcPr>
            <w:tcW w:w="4746" w:type="dxa"/>
            <w:noWrap w:val="0"/>
            <w:vAlign w:val="center"/>
          </w:tcPr>
          <w:p w14:paraId="58854F5C">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1.采用非常规起重设备、方法，且单件起吊重量在100kN及以上的起重吊装工程。</w:t>
            </w:r>
          </w:p>
        </w:tc>
        <w:tc>
          <w:tcPr>
            <w:tcW w:w="3383" w:type="dxa"/>
            <w:vMerge w:val="restart"/>
            <w:noWrap w:val="0"/>
            <w:vAlign w:val="center"/>
          </w:tcPr>
          <w:p w14:paraId="4368FE0F">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5B6A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530" w:type="dxa"/>
            <w:vMerge w:val="continue"/>
            <w:noWrap w:val="0"/>
            <w:vAlign w:val="center"/>
          </w:tcPr>
          <w:p w14:paraId="0EDEA6CD">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ascii="宋体" w:hAnsi="宋体" w:eastAsia="宋体" w:cs="宋体"/>
                <w:snapToGrid/>
                <w:color w:val="auto"/>
                <w:sz w:val="24"/>
                <w:szCs w:val="24"/>
                <w:highlight w:val="none"/>
              </w:rPr>
            </w:pPr>
          </w:p>
        </w:tc>
        <w:tc>
          <w:tcPr>
            <w:tcW w:w="4746" w:type="dxa"/>
            <w:noWrap w:val="0"/>
            <w:vAlign w:val="center"/>
          </w:tcPr>
          <w:p w14:paraId="37C80C01">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2.起重量300kN及以上，或搭设总高度200m及以上，或搭设基础标高在200m及以上的起重机械安装和拆卸工程。</w:t>
            </w:r>
          </w:p>
        </w:tc>
        <w:tc>
          <w:tcPr>
            <w:tcW w:w="3383" w:type="dxa"/>
            <w:vMerge w:val="continue"/>
            <w:noWrap w:val="0"/>
            <w:vAlign w:val="center"/>
          </w:tcPr>
          <w:p w14:paraId="7CD7B8DD">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yellow"/>
              </w:rPr>
            </w:pPr>
          </w:p>
        </w:tc>
      </w:tr>
      <w:tr w14:paraId="5C3E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vMerge w:val="restart"/>
            <w:noWrap w:val="0"/>
            <w:vAlign w:val="center"/>
          </w:tcPr>
          <w:p w14:paraId="088A313B">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脚手架工程</w:t>
            </w:r>
          </w:p>
        </w:tc>
        <w:tc>
          <w:tcPr>
            <w:tcW w:w="4746" w:type="dxa"/>
            <w:noWrap w:val="0"/>
            <w:vAlign w:val="center"/>
          </w:tcPr>
          <w:p w14:paraId="65BAD29E">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1.搭设高度50m及以上的落地式钢管脚手架工程。</w:t>
            </w:r>
          </w:p>
        </w:tc>
        <w:tc>
          <w:tcPr>
            <w:tcW w:w="3383" w:type="dxa"/>
            <w:noWrap w:val="0"/>
            <w:vAlign w:val="center"/>
          </w:tcPr>
          <w:p w14:paraId="5C1F317E">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2582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30" w:type="dxa"/>
            <w:vMerge w:val="continue"/>
            <w:noWrap w:val="0"/>
            <w:vAlign w:val="center"/>
          </w:tcPr>
          <w:p w14:paraId="469F15DC">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ascii="宋体" w:hAnsi="宋体" w:eastAsia="宋体" w:cs="宋体"/>
                <w:snapToGrid/>
                <w:color w:val="auto"/>
                <w:sz w:val="24"/>
                <w:szCs w:val="24"/>
                <w:highlight w:val="none"/>
              </w:rPr>
            </w:pPr>
          </w:p>
        </w:tc>
        <w:tc>
          <w:tcPr>
            <w:tcW w:w="4746" w:type="dxa"/>
            <w:noWrap w:val="0"/>
            <w:vAlign w:val="center"/>
          </w:tcPr>
          <w:p w14:paraId="0880636A">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2.提升高度在150m及以上的附着式升降脚手架工程或附着式升降操作平台工程。</w:t>
            </w:r>
          </w:p>
        </w:tc>
        <w:tc>
          <w:tcPr>
            <w:tcW w:w="3383" w:type="dxa"/>
            <w:noWrap w:val="0"/>
            <w:vAlign w:val="center"/>
          </w:tcPr>
          <w:p w14:paraId="50CFF713">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7E1C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30" w:type="dxa"/>
            <w:vMerge w:val="continue"/>
            <w:noWrap w:val="0"/>
            <w:vAlign w:val="center"/>
          </w:tcPr>
          <w:p w14:paraId="122F6F26">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ascii="宋体" w:hAnsi="宋体" w:eastAsia="宋体" w:cs="宋体"/>
                <w:snapToGrid/>
                <w:color w:val="auto"/>
                <w:sz w:val="24"/>
                <w:szCs w:val="24"/>
                <w:highlight w:val="none"/>
              </w:rPr>
            </w:pPr>
          </w:p>
        </w:tc>
        <w:tc>
          <w:tcPr>
            <w:tcW w:w="4746" w:type="dxa"/>
            <w:noWrap w:val="0"/>
            <w:vAlign w:val="center"/>
          </w:tcPr>
          <w:p w14:paraId="2DC23ABC">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3.分段架体搭设高度20m及以上的悬挑式脚手架工程。</w:t>
            </w:r>
          </w:p>
        </w:tc>
        <w:tc>
          <w:tcPr>
            <w:tcW w:w="3383" w:type="dxa"/>
            <w:noWrap w:val="0"/>
            <w:vAlign w:val="center"/>
          </w:tcPr>
          <w:p w14:paraId="44B8B3CD">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54E1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530" w:type="dxa"/>
            <w:vMerge w:val="restart"/>
            <w:noWrap w:val="0"/>
            <w:vAlign w:val="center"/>
          </w:tcPr>
          <w:p w14:paraId="1B828DCC">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拆除工程</w:t>
            </w:r>
          </w:p>
        </w:tc>
        <w:tc>
          <w:tcPr>
            <w:tcW w:w="4746" w:type="dxa"/>
            <w:noWrap w:val="0"/>
            <w:vAlign w:val="center"/>
          </w:tcPr>
          <w:p w14:paraId="4A766A4A">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1.码头、桥梁、高架、烟囱、水塔或拆除中容易引起有毒有害气（液）体或粉尘扩散、易燃易爆事故发生的特殊建、构筑物的拆除工程。</w:t>
            </w:r>
          </w:p>
        </w:tc>
        <w:tc>
          <w:tcPr>
            <w:tcW w:w="3383" w:type="dxa"/>
            <w:noWrap w:val="0"/>
            <w:vAlign w:val="center"/>
          </w:tcPr>
          <w:p w14:paraId="1F9B499B">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lang w:eastAsia="zh-CN"/>
              </w:rPr>
            </w:pPr>
          </w:p>
        </w:tc>
      </w:tr>
      <w:tr w14:paraId="14A1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vMerge w:val="continue"/>
            <w:noWrap w:val="0"/>
            <w:vAlign w:val="center"/>
          </w:tcPr>
          <w:p w14:paraId="75AE11DE">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ascii="宋体" w:hAnsi="宋体" w:eastAsia="宋体" w:cs="宋体"/>
                <w:snapToGrid/>
                <w:color w:val="auto"/>
                <w:sz w:val="24"/>
                <w:szCs w:val="24"/>
                <w:highlight w:val="none"/>
                <w:lang w:eastAsia="zh-CN"/>
              </w:rPr>
            </w:pPr>
          </w:p>
        </w:tc>
        <w:tc>
          <w:tcPr>
            <w:tcW w:w="4746" w:type="dxa"/>
            <w:noWrap w:val="0"/>
            <w:vAlign w:val="center"/>
          </w:tcPr>
          <w:p w14:paraId="03B998FC">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2.文物保护建筑、优秀历史建筑或历史文化风貌区影响范围内的拆除工程。</w:t>
            </w:r>
          </w:p>
        </w:tc>
        <w:tc>
          <w:tcPr>
            <w:tcW w:w="3383" w:type="dxa"/>
            <w:noWrap w:val="0"/>
            <w:vAlign w:val="center"/>
          </w:tcPr>
          <w:p w14:paraId="39669CDE">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lang w:eastAsia="zh-CN"/>
              </w:rPr>
            </w:pPr>
          </w:p>
        </w:tc>
      </w:tr>
      <w:tr w14:paraId="30D3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vMerge w:val="restart"/>
            <w:noWrap w:val="0"/>
            <w:vAlign w:val="center"/>
          </w:tcPr>
          <w:p w14:paraId="11247AFA">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其他</w:t>
            </w:r>
          </w:p>
        </w:tc>
        <w:tc>
          <w:tcPr>
            <w:tcW w:w="4746" w:type="dxa"/>
            <w:noWrap w:val="0"/>
            <w:vAlign w:val="center"/>
          </w:tcPr>
          <w:p w14:paraId="56C169D0">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1.施工高度50m及以上的建筑幕墙安装工程。</w:t>
            </w:r>
          </w:p>
        </w:tc>
        <w:tc>
          <w:tcPr>
            <w:tcW w:w="3383" w:type="dxa"/>
            <w:noWrap w:val="0"/>
            <w:vAlign w:val="center"/>
          </w:tcPr>
          <w:p w14:paraId="1013A2EE">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5D88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vMerge w:val="continue"/>
            <w:noWrap w:val="0"/>
            <w:vAlign w:val="center"/>
          </w:tcPr>
          <w:p w14:paraId="52574C2A">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none"/>
                <w:lang w:eastAsia="zh-CN"/>
              </w:rPr>
            </w:pPr>
          </w:p>
        </w:tc>
        <w:tc>
          <w:tcPr>
            <w:tcW w:w="4746" w:type="dxa"/>
            <w:noWrap w:val="0"/>
            <w:vAlign w:val="center"/>
          </w:tcPr>
          <w:p w14:paraId="4CCB9442">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2.跨度36m及以上的钢结构安装工程，或跨度60m及以上的网架和索膜结构安装工程。</w:t>
            </w:r>
          </w:p>
        </w:tc>
        <w:tc>
          <w:tcPr>
            <w:tcW w:w="3383" w:type="dxa"/>
            <w:noWrap w:val="0"/>
            <w:vAlign w:val="center"/>
          </w:tcPr>
          <w:p w14:paraId="28CD26C1">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430B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30" w:type="dxa"/>
            <w:vMerge w:val="continue"/>
            <w:noWrap w:val="0"/>
            <w:vAlign w:val="center"/>
          </w:tcPr>
          <w:p w14:paraId="54B54B08">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none"/>
                <w:lang w:eastAsia="zh-CN"/>
              </w:rPr>
            </w:pPr>
          </w:p>
        </w:tc>
        <w:tc>
          <w:tcPr>
            <w:tcW w:w="4746" w:type="dxa"/>
            <w:noWrap w:val="0"/>
            <w:vAlign w:val="center"/>
          </w:tcPr>
          <w:p w14:paraId="557FE3F9">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3.开挖深度16m及以上的人工挖孔桩工程。</w:t>
            </w:r>
          </w:p>
        </w:tc>
        <w:tc>
          <w:tcPr>
            <w:tcW w:w="3383" w:type="dxa"/>
            <w:noWrap w:val="0"/>
            <w:vAlign w:val="center"/>
          </w:tcPr>
          <w:p w14:paraId="664A9F5B">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4248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530" w:type="dxa"/>
            <w:vMerge w:val="continue"/>
            <w:noWrap w:val="0"/>
            <w:vAlign w:val="center"/>
          </w:tcPr>
          <w:p w14:paraId="584261EB">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none"/>
                <w:lang w:eastAsia="zh-CN"/>
              </w:rPr>
            </w:pPr>
          </w:p>
        </w:tc>
        <w:tc>
          <w:tcPr>
            <w:tcW w:w="4746" w:type="dxa"/>
            <w:noWrap w:val="0"/>
            <w:vAlign w:val="center"/>
          </w:tcPr>
          <w:p w14:paraId="1292DA3E">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4.水下作业工程。</w:t>
            </w:r>
          </w:p>
        </w:tc>
        <w:tc>
          <w:tcPr>
            <w:tcW w:w="3383" w:type="dxa"/>
            <w:noWrap w:val="0"/>
            <w:vAlign w:val="center"/>
          </w:tcPr>
          <w:p w14:paraId="396A782D">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32CA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vMerge w:val="continue"/>
            <w:noWrap w:val="0"/>
            <w:vAlign w:val="center"/>
          </w:tcPr>
          <w:p w14:paraId="6CB7A8B4">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none"/>
                <w:lang w:eastAsia="zh-CN"/>
              </w:rPr>
            </w:pPr>
          </w:p>
        </w:tc>
        <w:tc>
          <w:tcPr>
            <w:tcW w:w="4746" w:type="dxa"/>
            <w:noWrap w:val="0"/>
            <w:vAlign w:val="center"/>
          </w:tcPr>
          <w:p w14:paraId="25424A1B">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5.重量1000kN及以上大型结构整体顶升、平移、转体等施工工艺。</w:t>
            </w:r>
          </w:p>
        </w:tc>
        <w:tc>
          <w:tcPr>
            <w:tcW w:w="3383" w:type="dxa"/>
            <w:noWrap w:val="0"/>
            <w:vAlign w:val="center"/>
          </w:tcPr>
          <w:p w14:paraId="56350C70">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2E83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30" w:type="dxa"/>
            <w:vMerge w:val="continue"/>
            <w:noWrap w:val="0"/>
            <w:vAlign w:val="center"/>
          </w:tcPr>
          <w:p w14:paraId="61D16C39">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none"/>
                <w:lang w:eastAsia="zh-CN"/>
              </w:rPr>
            </w:pPr>
          </w:p>
        </w:tc>
        <w:tc>
          <w:tcPr>
            <w:tcW w:w="4746" w:type="dxa"/>
            <w:noWrap w:val="0"/>
            <w:vAlign w:val="center"/>
          </w:tcPr>
          <w:p w14:paraId="1B732E69">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6.采用新技术、新工艺、新材料、新设备可能影响工程施工安全，尚无国家、行业及地方技术标准的分部分项工程。</w:t>
            </w:r>
          </w:p>
        </w:tc>
        <w:tc>
          <w:tcPr>
            <w:tcW w:w="3383" w:type="dxa"/>
            <w:noWrap w:val="0"/>
            <w:vAlign w:val="center"/>
          </w:tcPr>
          <w:p w14:paraId="2215EF24">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r>
              <w:rPr>
                <w:rFonts w:hint="eastAsia" w:ascii="宋体" w:hAnsi="宋体" w:eastAsia="宋体" w:cs="宋体"/>
                <w:snapToGrid/>
                <w:color w:val="auto"/>
                <w:sz w:val="24"/>
                <w:szCs w:val="24"/>
                <w:highlight w:val="none"/>
                <w:lang w:eastAsia="zh-CN"/>
              </w:rPr>
              <w:t>施工单位应按本项列表逐一排查，涉及相关危大项目时，施工单位应编制专项施工方案。</w:t>
            </w:r>
          </w:p>
        </w:tc>
      </w:tr>
    </w:tbl>
    <w:p w14:paraId="1E4A6213">
      <w:pPr>
        <w:ind w:firstLine="480"/>
        <w:rPr>
          <w:color w:val="auto"/>
          <w:sz w:val="24"/>
          <w:highlight w:val="none"/>
        </w:rPr>
      </w:pPr>
      <w:r>
        <w:rPr>
          <w:rFonts w:hint="eastAsia" w:ascii="宋体" w:hAnsi="宋体" w:eastAsia="宋体" w:cs="宋体"/>
          <w:bCs/>
          <w:color w:val="auto"/>
          <w:sz w:val="24"/>
          <w:szCs w:val="24"/>
          <w:highlight w:val="none"/>
        </w:rPr>
        <w:t>注：投标人在投标时补充完善危大工程清单并明确相应的安全管理措施。</w:t>
      </w:r>
    </w:p>
    <w:p w14:paraId="791FA8F3">
      <w:pPr>
        <w:pageBreakBefore w:val="0"/>
        <w:kinsoku/>
        <w:wordWrap w:val="0"/>
        <w:overflowPunct/>
        <w:bidi w:val="0"/>
        <w:spacing w:line="400" w:lineRule="exact"/>
        <w:jc w:val="center"/>
        <w:outlineLvl w:val="1"/>
        <w:rPr>
          <w:b/>
          <w:color w:val="auto"/>
          <w:sz w:val="32"/>
          <w:szCs w:val="32"/>
        </w:rPr>
      </w:pPr>
      <w:r>
        <w:rPr>
          <w:color w:val="auto"/>
          <w:szCs w:val="21"/>
        </w:rPr>
        <w:br w:type="page"/>
      </w:r>
      <w:bookmarkStart w:id="3097" w:name="_Toc21333"/>
      <w:bookmarkStart w:id="3098" w:name="_Toc29272"/>
      <w:bookmarkStart w:id="3099" w:name="_Toc27911"/>
      <w:bookmarkStart w:id="3100" w:name="_Toc21242"/>
      <w:bookmarkStart w:id="3101" w:name="_Toc12405"/>
      <w:bookmarkStart w:id="3102" w:name="_Toc1326260386"/>
      <w:bookmarkStart w:id="3103" w:name="_Toc28534"/>
      <w:bookmarkStart w:id="3104" w:name="_Toc23824"/>
      <w:r>
        <w:rPr>
          <w:b/>
          <w:color w:val="auto"/>
          <w:sz w:val="32"/>
          <w:szCs w:val="32"/>
        </w:rPr>
        <w:t>发包人要求附件清单</w:t>
      </w:r>
      <w:bookmarkEnd w:id="3097"/>
      <w:bookmarkEnd w:id="3098"/>
      <w:bookmarkEnd w:id="3099"/>
      <w:bookmarkEnd w:id="3100"/>
      <w:bookmarkEnd w:id="3101"/>
      <w:bookmarkEnd w:id="3102"/>
      <w:bookmarkEnd w:id="3103"/>
      <w:bookmarkEnd w:id="3104"/>
    </w:p>
    <w:p w14:paraId="63E4E359">
      <w:pPr>
        <w:pageBreakBefore w:val="0"/>
        <w:kinsoku/>
        <w:wordWrap w:val="0"/>
        <w:overflowPunct/>
        <w:bidi w:val="0"/>
        <w:spacing w:line="400" w:lineRule="exact"/>
        <w:jc w:val="center"/>
        <w:rPr>
          <w:color w:val="auto"/>
        </w:rPr>
      </w:pPr>
    </w:p>
    <w:p w14:paraId="5FD31603">
      <w:pPr>
        <w:keepNext/>
        <w:keepLines/>
        <w:pageBreakBefore w:val="0"/>
        <w:widowControl w:val="0"/>
        <w:kinsoku/>
        <w:wordWrap w:val="0"/>
        <w:overflowPunct/>
        <w:topLinePunct w:val="0"/>
        <w:autoSpaceDE/>
        <w:autoSpaceDN/>
        <w:bidi w:val="0"/>
        <w:adjustRightInd/>
        <w:snapToGrid/>
        <w:spacing w:beforeLines="0" w:afterLines="0" w:line="240" w:lineRule="auto"/>
        <w:ind w:right="0" w:rightChars="0"/>
        <w:jc w:val="both"/>
        <w:textAlignment w:val="auto"/>
        <w:outlineLvl w:val="9"/>
        <w:rPr>
          <w:rFonts w:hint="eastAsia" w:eastAsia="黑体"/>
          <w:i w:val="0"/>
          <w:iCs w:val="0"/>
          <w:color w:val="auto"/>
          <w:sz w:val="24"/>
          <w:lang w:val="en-US" w:eastAsia="zh-CN"/>
        </w:rPr>
      </w:pPr>
      <w:r>
        <w:rPr>
          <w:rFonts w:hint="eastAsia" w:eastAsia="黑体"/>
          <w:i w:val="0"/>
          <w:iCs w:val="0"/>
          <w:color w:val="auto"/>
          <w:sz w:val="24"/>
          <w:lang w:val="en-US" w:eastAsia="zh-CN"/>
        </w:rPr>
        <w:t>无</w:t>
      </w:r>
    </w:p>
    <w:p w14:paraId="7B0C6796">
      <w:pPr>
        <w:rPr>
          <w:color w:val="auto"/>
        </w:rPr>
      </w:pPr>
    </w:p>
    <w:p w14:paraId="2A4FEBC6">
      <w:pPr>
        <w:keepNext/>
        <w:keepLines/>
        <w:pageBreakBefore w:val="0"/>
        <w:widowControl w:val="0"/>
        <w:kinsoku/>
        <w:wordWrap w:val="0"/>
        <w:overflowPunct/>
        <w:topLinePunct w:val="0"/>
        <w:autoSpaceDE/>
        <w:autoSpaceDN/>
        <w:bidi w:val="0"/>
        <w:adjustRightInd/>
        <w:snapToGrid/>
        <w:spacing w:before="200" w:after="200" w:line="240" w:lineRule="auto"/>
        <w:ind w:left="0" w:leftChars="0" w:right="0" w:rightChars="0" w:firstLine="0" w:firstLineChars="0"/>
        <w:jc w:val="both"/>
        <w:textAlignment w:val="auto"/>
        <w:outlineLvl w:val="9"/>
        <w:rPr>
          <w:rFonts w:eastAsia="黑体"/>
          <w:color w:val="auto"/>
          <w:sz w:val="24"/>
        </w:rPr>
      </w:pPr>
      <w:bookmarkStart w:id="3105" w:name="_Toc14296"/>
      <w:bookmarkStart w:id="3106" w:name="_Toc5963"/>
      <w:r>
        <w:rPr>
          <w:rFonts w:eastAsia="黑体"/>
          <w:color w:val="auto"/>
          <w:sz w:val="24"/>
        </w:rPr>
        <w:br w:type="page"/>
      </w:r>
    </w:p>
    <w:p w14:paraId="3F30DADF">
      <w:pPr>
        <w:keepNext/>
        <w:keepLines/>
        <w:pageBreakBefore w:val="0"/>
        <w:widowControl w:val="0"/>
        <w:kinsoku/>
        <w:wordWrap w:val="0"/>
        <w:overflowPunct/>
        <w:topLinePunct w:val="0"/>
        <w:autoSpaceDE/>
        <w:autoSpaceDN/>
        <w:bidi w:val="0"/>
        <w:adjustRightInd/>
        <w:snapToGrid/>
        <w:spacing w:before="200" w:after="200" w:line="240" w:lineRule="auto"/>
        <w:ind w:left="0" w:leftChars="0" w:right="0" w:rightChars="0" w:firstLine="0" w:firstLineChars="0"/>
        <w:jc w:val="center"/>
        <w:textAlignment w:val="auto"/>
        <w:outlineLvl w:val="0"/>
        <w:rPr>
          <w:rStyle w:val="47"/>
          <w:color w:val="auto"/>
        </w:rPr>
      </w:pPr>
      <w:bookmarkStart w:id="3107" w:name="_Toc2679"/>
      <w:bookmarkStart w:id="3108" w:name="_Toc17079"/>
      <w:r>
        <w:rPr>
          <w:rStyle w:val="47"/>
          <w:color w:val="auto"/>
        </w:rPr>
        <w:t>第六章 发包人提供的资料</w:t>
      </w:r>
      <w:bookmarkEnd w:id="3105"/>
      <w:bookmarkEnd w:id="3106"/>
      <w:bookmarkEnd w:id="3107"/>
      <w:bookmarkEnd w:id="3108"/>
    </w:p>
    <w:p w14:paraId="083DDFD6">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1.项目建议书及批复；</w:t>
      </w:r>
    </w:p>
    <w:p w14:paraId="16EA22F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.可行性研究报告</w:t>
      </w:r>
      <w:r>
        <w:rPr>
          <w:rFonts w:hint="eastAsia" w:ascii="宋体" w:hAnsi="宋体"/>
          <w:color w:val="auto"/>
          <w:sz w:val="24"/>
          <w:szCs w:val="24"/>
          <w:highlight w:val="none"/>
          <w:lang w:eastAsia="zh-CN"/>
        </w:rPr>
        <w:t>及批复；</w:t>
      </w:r>
    </w:p>
    <w:p w14:paraId="02ED7EDA">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r>
        <w:rPr>
          <w:rFonts w:hint="eastAsia"/>
          <w:color w:val="auto"/>
          <w:sz w:val="24"/>
          <w:szCs w:val="24"/>
          <w:highlight w:val="none"/>
        </w:rPr>
        <w:t>初步设计文件</w:t>
      </w:r>
      <w:r>
        <w:rPr>
          <w:rFonts w:hint="eastAsia"/>
          <w:color w:val="auto"/>
          <w:sz w:val="24"/>
          <w:szCs w:val="24"/>
          <w:highlight w:val="none"/>
          <w:lang w:eastAsia="zh-CN"/>
        </w:rPr>
        <w:t>及批复</w:t>
      </w:r>
      <w:r>
        <w:rPr>
          <w:rFonts w:hint="eastAsia" w:ascii="宋体" w:hAnsi="宋体"/>
          <w:color w:val="auto"/>
          <w:sz w:val="24"/>
          <w:szCs w:val="24"/>
          <w:highlight w:val="none"/>
          <w:lang w:eastAsia="zh-CN"/>
        </w:rPr>
        <w:t>；</w:t>
      </w:r>
    </w:p>
    <w:p w14:paraId="0E4F15B6">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r>
        <w:rPr>
          <w:rFonts w:hint="eastAsia" w:ascii="宋体" w:hAnsi="宋体"/>
          <w:color w:val="auto"/>
          <w:sz w:val="24"/>
          <w:szCs w:val="24"/>
          <w:highlight w:val="none"/>
          <w:lang w:eastAsia="zh-CN"/>
        </w:rPr>
        <w:t>勘察报告；</w:t>
      </w:r>
    </w:p>
    <w:p w14:paraId="6C5F076A">
      <w:pPr>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5.同档次品牌材料设备表。</w:t>
      </w:r>
    </w:p>
    <w:p w14:paraId="526EADE1">
      <w:pPr>
        <w:pageBreakBefore w:val="0"/>
        <w:kinsoku/>
        <w:wordWrap w:val="0"/>
        <w:overflowPunct/>
        <w:bidi w:val="0"/>
        <w:spacing w:line="400" w:lineRule="exact"/>
        <w:jc w:val="center"/>
        <w:rPr>
          <w:color w:val="auto"/>
        </w:rPr>
      </w:pPr>
      <w:r>
        <w:rPr>
          <w:color w:val="auto"/>
        </w:rPr>
        <w:br w:type="page"/>
      </w:r>
      <w:bookmarkStart w:id="3109" w:name="_Toc15003"/>
      <w:bookmarkStart w:id="3110" w:name="_Toc152045786"/>
      <w:bookmarkStart w:id="3111" w:name="_Toc247514245"/>
      <w:bookmarkStart w:id="3112" w:name="_Toc30299"/>
      <w:bookmarkStart w:id="3113" w:name="_Toc144974855"/>
      <w:bookmarkStart w:id="3114" w:name="_Toc247527826"/>
      <w:bookmarkStart w:id="3115" w:name="_Toc152042575"/>
      <w:bookmarkStart w:id="3116" w:name="_Toc30391"/>
    </w:p>
    <w:p w14:paraId="517E00A4">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b/>
          <w:bCs/>
          <w:color w:val="auto"/>
          <w:sz w:val="44"/>
          <w:szCs w:val="44"/>
        </w:rPr>
      </w:pPr>
    </w:p>
    <w:p w14:paraId="1654B1B6">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outlineLvl w:val="0"/>
        <w:rPr>
          <w:b/>
          <w:bCs/>
          <w:color w:val="auto"/>
          <w:sz w:val="44"/>
          <w:szCs w:val="44"/>
        </w:rPr>
      </w:pPr>
      <w:bookmarkStart w:id="3117" w:name="_Toc9645"/>
      <w:r>
        <w:rPr>
          <w:b/>
          <w:bCs/>
          <w:color w:val="auto"/>
          <w:sz w:val="44"/>
          <w:szCs w:val="44"/>
        </w:rPr>
        <w:t>第七章 投标文件格式</w:t>
      </w:r>
      <w:bookmarkEnd w:id="3109"/>
      <w:bookmarkEnd w:id="3110"/>
      <w:bookmarkEnd w:id="3111"/>
      <w:bookmarkEnd w:id="3112"/>
      <w:bookmarkEnd w:id="3113"/>
      <w:bookmarkEnd w:id="3114"/>
      <w:bookmarkEnd w:id="3115"/>
      <w:bookmarkEnd w:id="3116"/>
      <w:bookmarkEnd w:id="3117"/>
    </w:p>
    <w:p w14:paraId="2CFD26BD">
      <w:pPr>
        <w:pageBreakBefore w:val="0"/>
        <w:kinsoku/>
        <w:wordWrap w:val="0"/>
        <w:overflowPunct/>
        <w:bidi w:val="0"/>
        <w:spacing w:line="400" w:lineRule="exact"/>
        <w:rPr>
          <w:color w:val="auto"/>
        </w:rPr>
      </w:pPr>
    </w:p>
    <w:p w14:paraId="272BA1C0">
      <w:pPr>
        <w:pageBreakBefore w:val="0"/>
        <w:kinsoku/>
        <w:wordWrap w:val="0"/>
        <w:overflowPunct/>
        <w:bidi w:val="0"/>
        <w:spacing w:line="400" w:lineRule="exact"/>
        <w:jc w:val="center"/>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目    录</w:t>
      </w:r>
    </w:p>
    <w:p w14:paraId="4D9E88C4">
      <w:pPr>
        <w:pageBreakBefore w:val="0"/>
        <w:kinsoku/>
        <w:wordWrap w:val="0"/>
        <w:overflowPunct/>
        <w:bidi w:val="0"/>
        <w:spacing w:line="400" w:lineRule="exact"/>
        <w:jc w:val="center"/>
        <w:rPr>
          <w:rFonts w:hint="eastAsia" w:ascii="宋体" w:hAnsi="宋体" w:eastAsia="宋体" w:cs="宋体"/>
          <w:b w:val="0"/>
          <w:bCs w:val="0"/>
          <w:color w:val="auto"/>
          <w:sz w:val="30"/>
          <w:szCs w:val="30"/>
        </w:rPr>
      </w:pPr>
    </w:p>
    <w:p w14:paraId="72B9D2EE">
      <w:pPr>
        <w:pageBreakBefore w:val="0"/>
        <w:kinsoku/>
        <w:wordWrap w:val="0"/>
        <w:overflowPunct/>
        <w:bidi w:val="0"/>
        <w:spacing w:line="400" w:lineRule="exact"/>
        <w:jc w:val="center"/>
        <w:rPr>
          <w:rFonts w:hint="eastAsia" w:ascii="宋体" w:hAnsi="宋体" w:eastAsia="宋体" w:cs="宋体"/>
          <w:b w:val="0"/>
          <w:bCs w:val="0"/>
          <w:color w:val="auto"/>
          <w:sz w:val="30"/>
          <w:szCs w:val="30"/>
        </w:rPr>
      </w:pPr>
    </w:p>
    <w:p w14:paraId="63CD51A6">
      <w:pPr>
        <w:pageBreakBefore w:val="0"/>
        <w:kinsoku/>
        <w:wordWrap w:val="0"/>
        <w:overflowPunct/>
        <w:bidi w:val="0"/>
        <w:spacing w:line="400" w:lineRule="exact"/>
        <w:jc w:val="center"/>
        <w:rPr>
          <w:rFonts w:hint="eastAsia" w:ascii="宋体" w:hAnsi="宋体" w:eastAsia="宋体" w:cs="宋体"/>
          <w:b w:val="0"/>
          <w:bCs w:val="0"/>
          <w:color w:val="auto"/>
          <w:sz w:val="30"/>
          <w:szCs w:val="30"/>
        </w:rPr>
      </w:pPr>
    </w:p>
    <w:p w14:paraId="1380F20F">
      <w:pPr>
        <w:pageBreakBefore w:val="0"/>
        <w:kinsoku/>
        <w:wordWrap w:val="0"/>
        <w:overflowPunct/>
        <w:bidi w:val="0"/>
        <w:spacing w:line="400" w:lineRule="exact"/>
        <w:jc w:val="center"/>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1.投标文件</w:t>
      </w:r>
      <w:r>
        <w:rPr>
          <w:rFonts w:hint="eastAsia" w:ascii="宋体" w:hAnsi="宋体" w:eastAsia="宋体" w:cs="宋体"/>
          <w:b w:val="0"/>
          <w:bCs w:val="0"/>
          <w:color w:val="auto"/>
          <w:sz w:val="30"/>
          <w:szCs w:val="30"/>
          <w:lang w:eastAsia="zh-CN"/>
        </w:rPr>
        <w:t>商务标</w:t>
      </w:r>
      <w:r>
        <w:rPr>
          <w:rFonts w:hint="eastAsia" w:ascii="宋体" w:hAnsi="宋体" w:eastAsia="宋体" w:cs="宋体"/>
          <w:b w:val="0"/>
          <w:bCs w:val="0"/>
          <w:color w:val="auto"/>
          <w:sz w:val="30"/>
          <w:szCs w:val="30"/>
        </w:rPr>
        <w:t>格式</w:t>
      </w:r>
    </w:p>
    <w:p w14:paraId="6070A687">
      <w:pPr>
        <w:pageBreakBefore w:val="0"/>
        <w:kinsoku/>
        <w:wordWrap w:val="0"/>
        <w:overflowPunct/>
        <w:bidi w:val="0"/>
        <w:spacing w:line="400" w:lineRule="exact"/>
        <w:jc w:val="center"/>
        <w:rPr>
          <w:rFonts w:hint="eastAsia" w:ascii="宋体" w:hAnsi="宋体" w:eastAsia="宋体" w:cs="宋体"/>
          <w:b w:val="0"/>
          <w:bCs w:val="0"/>
          <w:color w:val="auto"/>
          <w:sz w:val="30"/>
          <w:szCs w:val="30"/>
        </w:rPr>
      </w:pPr>
    </w:p>
    <w:p w14:paraId="624318FB">
      <w:pPr>
        <w:pageBreakBefore w:val="0"/>
        <w:kinsoku/>
        <w:wordWrap w:val="0"/>
        <w:overflowPunct/>
        <w:bidi w:val="0"/>
        <w:spacing w:line="400" w:lineRule="exact"/>
        <w:jc w:val="center"/>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2.投标文件技术标格式</w:t>
      </w:r>
    </w:p>
    <w:p w14:paraId="211A56DB">
      <w:pPr>
        <w:pageBreakBefore w:val="0"/>
        <w:kinsoku/>
        <w:wordWrap w:val="0"/>
        <w:overflowPunct/>
        <w:bidi w:val="0"/>
        <w:spacing w:line="400" w:lineRule="exact"/>
        <w:jc w:val="center"/>
        <w:rPr>
          <w:rFonts w:hint="eastAsia" w:ascii="宋体" w:hAnsi="宋体" w:eastAsia="宋体" w:cs="宋体"/>
          <w:b w:val="0"/>
          <w:bCs w:val="0"/>
          <w:color w:val="auto"/>
          <w:sz w:val="30"/>
          <w:szCs w:val="30"/>
        </w:rPr>
        <w:sectPr>
          <w:headerReference r:id="rId18" w:type="default"/>
          <w:footerReference r:id="rId19"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550F91EC">
      <w:pPr>
        <w:pageBreakBefore w:val="0"/>
        <w:kinsoku/>
        <w:wordWrap w:val="0"/>
        <w:overflowPunct/>
        <w:bidi w:val="0"/>
        <w:spacing w:line="400" w:lineRule="exact"/>
        <w:rPr>
          <w:color w:val="auto"/>
        </w:rPr>
      </w:pPr>
    </w:p>
    <w:p w14:paraId="3A96990B">
      <w:pPr>
        <w:pageBreakBefore w:val="0"/>
        <w:kinsoku/>
        <w:wordWrap w:val="0"/>
        <w:overflowPunct/>
        <w:bidi w:val="0"/>
        <w:spacing w:line="440" w:lineRule="exact"/>
        <w:rPr>
          <w:rFonts w:eastAsia="黑体"/>
          <w:color w:val="auto"/>
          <w:sz w:val="20"/>
          <w:szCs w:val="20"/>
        </w:rPr>
      </w:pPr>
    </w:p>
    <w:p w14:paraId="2B9025D1">
      <w:pPr>
        <w:pageBreakBefore w:val="0"/>
        <w:kinsoku/>
        <w:wordWrap w:val="0"/>
        <w:overflowPunct/>
        <w:bidi w:val="0"/>
        <w:spacing w:line="440" w:lineRule="exact"/>
        <w:rPr>
          <w:rFonts w:eastAsia="黑体"/>
          <w:color w:val="auto"/>
          <w:sz w:val="20"/>
          <w:szCs w:val="20"/>
        </w:rPr>
      </w:pPr>
    </w:p>
    <w:p w14:paraId="3E722F5A">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eastAsia="黑体"/>
          <w:color w:val="auto"/>
          <w:sz w:val="44"/>
          <w:szCs w:val="44"/>
        </w:rPr>
      </w:pPr>
      <w:bookmarkStart w:id="3118" w:name="_Toc15958"/>
      <w:r>
        <w:rPr>
          <w:rFonts w:eastAsia="黑体"/>
          <w:i/>
          <w:iCs/>
          <w:color w:val="auto"/>
          <w:sz w:val="44"/>
          <w:szCs w:val="44"/>
          <w:u w:val="single"/>
        </w:rPr>
        <w:t>（</w:t>
      </w:r>
      <w:r>
        <w:rPr>
          <w:rFonts w:hint="eastAsia" w:eastAsia="黑体"/>
          <w:i/>
          <w:iCs/>
          <w:color w:val="auto"/>
          <w:sz w:val="44"/>
          <w:szCs w:val="44"/>
          <w:u w:val="single"/>
          <w:lang w:eastAsia="zh-CN"/>
        </w:rPr>
        <w:t>工程</w:t>
      </w:r>
      <w:r>
        <w:rPr>
          <w:rFonts w:eastAsia="黑体"/>
          <w:i/>
          <w:iCs/>
          <w:color w:val="auto"/>
          <w:sz w:val="44"/>
          <w:szCs w:val="44"/>
          <w:u w:val="single"/>
        </w:rPr>
        <w:t>名称）</w:t>
      </w:r>
      <w:r>
        <w:rPr>
          <w:rFonts w:hint="eastAsia" w:eastAsia="黑体"/>
          <w:color w:val="auto"/>
          <w:sz w:val="44"/>
          <w:szCs w:val="44"/>
          <w:lang w:eastAsia="zh-CN"/>
        </w:rPr>
        <w:t>工程总承包</w:t>
      </w:r>
      <w:r>
        <w:rPr>
          <w:rFonts w:hint="eastAsia" w:eastAsia="黑体"/>
          <w:color w:val="auto"/>
          <w:sz w:val="44"/>
          <w:szCs w:val="44"/>
          <w:u w:val="single"/>
          <w:lang w:val="en-US" w:eastAsia="zh-CN"/>
        </w:rPr>
        <w:t xml:space="preserve">   </w:t>
      </w:r>
      <w:r>
        <w:rPr>
          <w:rFonts w:hint="eastAsia" w:eastAsia="黑体"/>
          <w:color w:val="auto"/>
          <w:sz w:val="44"/>
          <w:szCs w:val="44"/>
          <w:lang w:val="en-US" w:eastAsia="zh-CN"/>
        </w:rPr>
        <w:t>标段</w:t>
      </w:r>
      <w:r>
        <w:rPr>
          <w:rFonts w:eastAsia="黑体"/>
          <w:color w:val="auto"/>
          <w:sz w:val="44"/>
          <w:szCs w:val="44"/>
        </w:rPr>
        <w:t>招标</w:t>
      </w:r>
      <w:bookmarkEnd w:id="3118"/>
    </w:p>
    <w:p w14:paraId="42AB7908">
      <w:pPr>
        <w:pageBreakBefore w:val="0"/>
        <w:kinsoku/>
        <w:wordWrap w:val="0"/>
        <w:overflowPunct/>
        <w:bidi w:val="0"/>
        <w:rPr>
          <w:rFonts w:eastAsia="黑体"/>
          <w:color w:val="auto"/>
          <w:sz w:val="20"/>
          <w:szCs w:val="20"/>
        </w:rPr>
      </w:pPr>
    </w:p>
    <w:p w14:paraId="70AC9AEC">
      <w:pPr>
        <w:pageBreakBefore w:val="0"/>
        <w:kinsoku/>
        <w:wordWrap w:val="0"/>
        <w:overflowPunct/>
        <w:bidi w:val="0"/>
        <w:rPr>
          <w:rFonts w:eastAsia="黑体"/>
          <w:color w:val="auto"/>
          <w:sz w:val="20"/>
          <w:szCs w:val="20"/>
        </w:rPr>
      </w:pPr>
    </w:p>
    <w:p w14:paraId="70CBC882">
      <w:pPr>
        <w:pageBreakBefore w:val="0"/>
        <w:kinsoku/>
        <w:wordWrap w:val="0"/>
        <w:overflowPunct/>
        <w:bidi w:val="0"/>
        <w:spacing w:before="312" w:beforeLines="100"/>
        <w:jc w:val="center"/>
        <w:rPr>
          <w:rFonts w:eastAsia="方正小标宋简体"/>
          <w:color w:val="auto"/>
          <w:sz w:val="52"/>
          <w:szCs w:val="52"/>
        </w:rPr>
      </w:pPr>
      <w:bookmarkStart w:id="3119" w:name="_Toc28095"/>
      <w:r>
        <w:rPr>
          <w:rFonts w:eastAsia="方正小标宋简体"/>
          <w:color w:val="auto"/>
          <w:sz w:val="52"/>
          <w:szCs w:val="52"/>
        </w:rPr>
        <w:t>投  标  文  件</w:t>
      </w:r>
      <w:bookmarkEnd w:id="3119"/>
    </w:p>
    <w:p w14:paraId="263C185E">
      <w:pPr>
        <w:pageBreakBefore w:val="0"/>
        <w:kinsoku/>
        <w:wordWrap w:val="0"/>
        <w:overflowPunct/>
        <w:bidi w:val="0"/>
        <w:rPr>
          <w:rFonts w:eastAsia="黑体"/>
          <w:color w:val="auto"/>
          <w:sz w:val="28"/>
          <w:szCs w:val="28"/>
        </w:rPr>
      </w:pPr>
    </w:p>
    <w:p w14:paraId="50F32A39">
      <w:pPr>
        <w:pageBreakBefore w:val="0"/>
        <w:kinsoku/>
        <w:wordWrap w:val="0"/>
        <w:overflowPunct/>
        <w:bidi w:val="0"/>
        <w:rPr>
          <w:rFonts w:eastAsia="黑体"/>
          <w:color w:val="auto"/>
          <w:sz w:val="28"/>
          <w:szCs w:val="28"/>
        </w:rPr>
      </w:pPr>
    </w:p>
    <w:p w14:paraId="119533A0">
      <w:pPr>
        <w:pageBreakBefore w:val="0"/>
        <w:kinsoku/>
        <w:wordWrap w:val="0"/>
        <w:overflowPunct/>
        <w:bidi w:val="0"/>
        <w:rPr>
          <w:rFonts w:eastAsia="黑体"/>
          <w:color w:val="auto"/>
          <w:sz w:val="28"/>
          <w:szCs w:val="28"/>
        </w:rPr>
      </w:pPr>
    </w:p>
    <w:p w14:paraId="5FBFC2B5">
      <w:pPr>
        <w:pageBreakBefore w:val="0"/>
        <w:kinsoku/>
        <w:wordWrap w:val="0"/>
        <w:overflowPunct/>
        <w:bidi w:val="0"/>
        <w:rPr>
          <w:rFonts w:eastAsia="黑体"/>
          <w:color w:val="auto"/>
          <w:sz w:val="28"/>
          <w:szCs w:val="28"/>
        </w:rPr>
      </w:pPr>
    </w:p>
    <w:p w14:paraId="7A2C24F2">
      <w:pPr>
        <w:pageBreakBefore w:val="0"/>
        <w:kinsoku/>
        <w:wordWrap w:val="0"/>
        <w:overflowPunct/>
        <w:bidi w:val="0"/>
        <w:rPr>
          <w:rFonts w:eastAsia="黑体"/>
          <w:color w:val="auto"/>
          <w:sz w:val="28"/>
          <w:szCs w:val="28"/>
        </w:rPr>
      </w:pPr>
    </w:p>
    <w:p w14:paraId="0E0DE265">
      <w:pPr>
        <w:pageBreakBefore w:val="0"/>
        <w:kinsoku/>
        <w:wordWrap w:val="0"/>
        <w:overflowPunct/>
        <w:bidi w:val="0"/>
        <w:rPr>
          <w:rFonts w:eastAsia="黑体"/>
          <w:color w:val="auto"/>
          <w:sz w:val="28"/>
          <w:szCs w:val="28"/>
        </w:rPr>
      </w:pPr>
    </w:p>
    <w:p w14:paraId="14CD71BC">
      <w:pPr>
        <w:pageBreakBefore w:val="0"/>
        <w:kinsoku/>
        <w:wordWrap w:val="0"/>
        <w:overflowPunct/>
        <w:bidi w:val="0"/>
        <w:rPr>
          <w:rFonts w:eastAsia="黑体"/>
          <w:color w:val="auto"/>
          <w:sz w:val="28"/>
          <w:szCs w:val="28"/>
        </w:rPr>
      </w:pPr>
    </w:p>
    <w:p w14:paraId="02297BFC">
      <w:pPr>
        <w:pageBreakBefore w:val="0"/>
        <w:kinsoku/>
        <w:wordWrap w:val="0"/>
        <w:overflowPunct/>
        <w:bidi w:val="0"/>
        <w:rPr>
          <w:rFonts w:eastAsia="黑体"/>
          <w:color w:val="auto"/>
          <w:sz w:val="28"/>
          <w:szCs w:val="28"/>
        </w:rPr>
      </w:pPr>
    </w:p>
    <w:p w14:paraId="5571ECFA">
      <w:pPr>
        <w:pageBreakBefore w:val="0"/>
        <w:kinsoku/>
        <w:wordWrap w:val="0"/>
        <w:overflowPunct/>
        <w:bidi w:val="0"/>
        <w:rPr>
          <w:rFonts w:eastAsia="黑体"/>
          <w:color w:val="auto"/>
          <w:sz w:val="28"/>
          <w:szCs w:val="28"/>
        </w:rPr>
      </w:pPr>
    </w:p>
    <w:p w14:paraId="58DA5FC5">
      <w:pPr>
        <w:pageBreakBefore w:val="0"/>
        <w:kinsoku/>
        <w:wordWrap w:val="0"/>
        <w:overflowPunct/>
        <w:bidi w:val="0"/>
        <w:rPr>
          <w:rFonts w:eastAsia="黑体"/>
          <w:color w:val="auto"/>
          <w:sz w:val="28"/>
          <w:szCs w:val="28"/>
        </w:rPr>
      </w:pPr>
    </w:p>
    <w:p w14:paraId="0A0D42BA">
      <w:pPr>
        <w:pageBreakBefore w:val="0"/>
        <w:kinsoku/>
        <w:wordWrap w:val="0"/>
        <w:overflowPunct/>
        <w:bidi w:val="0"/>
        <w:ind w:firstLine="1080" w:firstLineChars="300"/>
        <w:jc w:val="left"/>
        <w:rPr>
          <w:rFonts w:hint="default" w:eastAsia="黑体"/>
          <w:color w:val="auto"/>
          <w:sz w:val="36"/>
          <w:szCs w:val="36"/>
          <w:u w:val="single"/>
          <w:lang w:val="en-US" w:eastAsia="zh-CN"/>
        </w:rPr>
      </w:pPr>
      <w:r>
        <w:rPr>
          <w:rFonts w:hint="eastAsia" w:eastAsia="黑体"/>
          <w:color w:val="auto"/>
          <w:sz w:val="36"/>
          <w:szCs w:val="36"/>
          <w:lang w:val="en-US" w:eastAsia="zh-CN"/>
        </w:rPr>
        <w:t>投标文件内容：</w:t>
      </w:r>
      <w:r>
        <w:rPr>
          <w:rFonts w:hint="eastAsia" w:eastAsia="黑体"/>
          <w:color w:val="auto"/>
          <w:sz w:val="36"/>
          <w:szCs w:val="36"/>
          <w:u w:val="none"/>
          <w:lang w:val="en-US" w:eastAsia="zh-CN"/>
        </w:rPr>
        <w:t xml:space="preserve"> </w:t>
      </w:r>
      <w:r>
        <w:rPr>
          <w:rFonts w:hint="eastAsia" w:eastAsia="黑体"/>
          <w:color w:val="auto"/>
          <w:sz w:val="36"/>
          <w:szCs w:val="36"/>
          <w:u w:val="single"/>
          <w:lang w:val="en-US" w:eastAsia="zh-CN"/>
        </w:rPr>
        <w:t xml:space="preserve">  投标文件商务标   </w:t>
      </w:r>
    </w:p>
    <w:p w14:paraId="120E3250">
      <w:pPr>
        <w:pageBreakBefore w:val="0"/>
        <w:kinsoku/>
        <w:wordWrap w:val="0"/>
        <w:overflowPunct/>
        <w:bidi w:val="0"/>
        <w:jc w:val="left"/>
        <w:rPr>
          <w:rFonts w:eastAsia="黑体"/>
          <w:color w:val="auto"/>
          <w:sz w:val="36"/>
          <w:szCs w:val="36"/>
        </w:rPr>
      </w:pPr>
      <w:bookmarkStart w:id="3120" w:name="_Toc15334"/>
    </w:p>
    <w:p w14:paraId="5B8DA2C7">
      <w:pPr>
        <w:pageBreakBefore w:val="0"/>
        <w:kinsoku/>
        <w:wordWrap w:val="0"/>
        <w:overflowPunct/>
        <w:bidi w:val="0"/>
        <w:ind w:firstLine="1080" w:firstLineChars="300"/>
        <w:jc w:val="left"/>
        <w:rPr>
          <w:rFonts w:eastAsia="黑体"/>
          <w:color w:val="auto"/>
          <w:sz w:val="36"/>
          <w:szCs w:val="36"/>
          <w:u w:val="single"/>
        </w:rPr>
      </w:pPr>
      <w:r>
        <w:rPr>
          <w:rFonts w:eastAsia="黑体"/>
          <w:color w:val="auto"/>
          <w:sz w:val="36"/>
          <w:szCs w:val="36"/>
        </w:rPr>
        <w:t>投标人：</w:t>
      </w:r>
      <w:r>
        <w:rPr>
          <w:rFonts w:eastAsia="黑体"/>
          <w:color w:val="auto"/>
          <w:sz w:val="36"/>
          <w:szCs w:val="36"/>
          <w:u w:val="single"/>
        </w:rPr>
        <w:t xml:space="preserve">                          </w:t>
      </w:r>
      <w:r>
        <w:rPr>
          <w:rFonts w:eastAsia="黑体"/>
          <w:color w:val="auto"/>
          <w:sz w:val="36"/>
          <w:szCs w:val="36"/>
        </w:rPr>
        <w:t>（盖章）</w:t>
      </w:r>
      <w:bookmarkEnd w:id="3120"/>
    </w:p>
    <w:p w14:paraId="55939E0A">
      <w:pPr>
        <w:pageBreakBefore w:val="0"/>
        <w:kinsoku/>
        <w:wordWrap w:val="0"/>
        <w:overflowPunct/>
        <w:bidi w:val="0"/>
        <w:jc w:val="left"/>
        <w:rPr>
          <w:rFonts w:eastAsia="黑体"/>
          <w:color w:val="auto"/>
          <w:sz w:val="36"/>
          <w:szCs w:val="36"/>
        </w:rPr>
      </w:pPr>
      <w:bookmarkStart w:id="3121" w:name="_Toc9465"/>
    </w:p>
    <w:p w14:paraId="12E61558">
      <w:pPr>
        <w:pageBreakBefore w:val="0"/>
        <w:kinsoku/>
        <w:wordWrap w:val="0"/>
        <w:overflowPunct/>
        <w:bidi w:val="0"/>
        <w:ind w:firstLine="1080" w:firstLineChars="300"/>
        <w:jc w:val="left"/>
        <w:rPr>
          <w:rFonts w:eastAsia="黑体"/>
          <w:color w:val="auto"/>
          <w:sz w:val="36"/>
          <w:szCs w:val="36"/>
        </w:rPr>
      </w:pPr>
      <w:r>
        <w:rPr>
          <w:rFonts w:eastAsia="黑体"/>
          <w:color w:val="auto"/>
          <w:sz w:val="36"/>
          <w:szCs w:val="36"/>
        </w:rPr>
        <w:t>法定代表人或其委托代理人：</w:t>
      </w:r>
      <w:r>
        <w:rPr>
          <w:rFonts w:eastAsia="黑体"/>
          <w:color w:val="auto"/>
          <w:sz w:val="36"/>
          <w:szCs w:val="36"/>
          <w:u w:val="single"/>
        </w:rPr>
        <w:t xml:space="preserve">          </w:t>
      </w:r>
      <w:r>
        <w:rPr>
          <w:rFonts w:eastAsia="黑体"/>
          <w:color w:val="auto"/>
          <w:sz w:val="36"/>
          <w:szCs w:val="36"/>
        </w:rPr>
        <w:t>（签字</w:t>
      </w:r>
      <w:r>
        <w:rPr>
          <w:rFonts w:hint="eastAsia" w:eastAsia="黑体"/>
          <w:color w:val="auto"/>
          <w:sz w:val="36"/>
          <w:szCs w:val="36"/>
          <w:lang w:eastAsia="zh-CN"/>
        </w:rPr>
        <w:t>或盖章</w:t>
      </w:r>
      <w:r>
        <w:rPr>
          <w:rFonts w:eastAsia="黑体"/>
          <w:color w:val="auto"/>
          <w:sz w:val="36"/>
          <w:szCs w:val="36"/>
        </w:rPr>
        <w:t>）</w:t>
      </w:r>
      <w:bookmarkEnd w:id="3121"/>
    </w:p>
    <w:p w14:paraId="00D2A30A">
      <w:pPr>
        <w:pageBreakBefore w:val="0"/>
        <w:kinsoku/>
        <w:wordWrap w:val="0"/>
        <w:overflowPunct/>
        <w:bidi w:val="0"/>
        <w:jc w:val="left"/>
        <w:rPr>
          <w:rFonts w:eastAsia="黑体"/>
          <w:color w:val="auto"/>
          <w:sz w:val="36"/>
          <w:szCs w:val="36"/>
          <w:u w:val="single"/>
        </w:rPr>
      </w:pPr>
    </w:p>
    <w:p w14:paraId="72D1E44D">
      <w:pPr>
        <w:pageBreakBefore w:val="0"/>
        <w:kinsoku/>
        <w:wordWrap w:val="0"/>
        <w:overflowPunct/>
        <w:bidi w:val="0"/>
        <w:jc w:val="center"/>
        <w:rPr>
          <w:rFonts w:eastAsia="黑体"/>
          <w:color w:val="auto"/>
          <w:sz w:val="36"/>
          <w:szCs w:val="36"/>
          <w:u w:val="single"/>
        </w:rPr>
      </w:pPr>
    </w:p>
    <w:p w14:paraId="59EE8B46">
      <w:pPr>
        <w:pageBreakBefore w:val="0"/>
        <w:kinsoku/>
        <w:wordWrap w:val="0"/>
        <w:overflowPunct/>
        <w:bidi w:val="0"/>
        <w:jc w:val="center"/>
        <w:rPr>
          <w:rFonts w:eastAsia="黑体"/>
          <w:color w:val="auto"/>
          <w:sz w:val="36"/>
          <w:szCs w:val="36"/>
          <w:u w:val="single"/>
        </w:rPr>
      </w:pPr>
    </w:p>
    <w:p w14:paraId="27019DB5">
      <w:pPr>
        <w:pageBreakBefore w:val="0"/>
        <w:kinsoku/>
        <w:wordWrap w:val="0"/>
        <w:overflowPunct/>
        <w:bidi w:val="0"/>
        <w:jc w:val="center"/>
        <w:rPr>
          <w:rFonts w:eastAsia="黑体"/>
          <w:color w:val="auto"/>
          <w:sz w:val="36"/>
          <w:szCs w:val="36"/>
        </w:rPr>
      </w:pPr>
      <w:r>
        <w:rPr>
          <w:rFonts w:eastAsia="黑体"/>
          <w:color w:val="auto"/>
          <w:sz w:val="36"/>
          <w:szCs w:val="36"/>
          <w:u w:val="single"/>
        </w:rPr>
        <w:t xml:space="preserve">        </w:t>
      </w:r>
      <w:bookmarkStart w:id="3122" w:name="_Toc29976"/>
      <w:r>
        <w:rPr>
          <w:rFonts w:eastAsia="黑体"/>
          <w:color w:val="auto"/>
          <w:sz w:val="36"/>
          <w:szCs w:val="36"/>
        </w:rPr>
        <w:t>年</w:t>
      </w:r>
      <w:r>
        <w:rPr>
          <w:rFonts w:eastAsia="黑体"/>
          <w:color w:val="auto"/>
          <w:sz w:val="36"/>
          <w:szCs w:val="36"/>
          <w:u w:val="single"/>
        </w:rPr>
        <w:t xml:space="preserve">        </w:t>
      </w:r>
      <w:r>
        <w:rPr>
          <w:rFonts w:eastAsia="黑体"/>
          <w:color w:val="auto"/>
          <w:sz w:val="36"/>
          <w:szCs w:val="36"/>
        </w:rPr>
        <w:t>月</w:t>
      </w:r>
      <w:r>
        <w:rPr>
          <w:rFonts w:eastAsia="黑体"/>
          <w:color w:val="auto"/>
          <w:sz w:val="36"/>
          <w:szCs w:val="36"/>
          <w:u w:val="single"/>
        </w:rPr>
        <w:t xml:space="preserve">         </w:t>
      </w:r>
      <w:r>
        <w:rPr>
          <w:rFonts w:eastAsia="黑体"/>
          <w:color w:val="auto"/>
          <w:sz w:val="36"/>
          <w:szCs w:val="36"/>
        </w:rPr>
        <w:t>日</w:t>
      </w:r>
      <w:bookmarkEnd w:id="3122"/>
    </w:p>
    <w:p w14:paraId="69FB0F2D">
      <w:pPr>
        <w:pageBreakBefore w:val="0"/>
        <w:kinsoku/>
        <w:wordWrap w:val="0"/>
        <w:overflowPunct/>
        <w:bidi w:val="0"/>
        <w:spacing w:line="440" w:lineRule="exact"/>
        <w:rPr>
          <w:rFonts w:eastAsia="黑体"/>
          <w:color w:val="auto"/>
          <w:sz w:val="20"/>
          <w:szCs w:val="20"/>
        </w:rPr>
      </w:pPr>
    </w:p>
    <w:p w14:paraId="16F08EC2">
      <w:pPr>
        <w:pageBreakBefore w:val="0"/>
        <w:kinsoku/>
        <w:wordWrap w:val="0"/>
        <w:overflowPunct/>
        <w:bidi w:val="0"/>
        <w:spacing w:line="400" w:lineRule="exact"/>
        <w:rPr>
          <w:color w:val="auto"/>
        </w:rPr>
      </w:pPr>
      <w:r>
        <w:rPr>
          <w:color w:val="auto"/>
        </w:rPr>
        <w:br w:type="page"/>
      </w:r>
    </w:p>
    <w:p w14:paraId="269ABBDC">
      <w:pPr>
        <w:pStyle w:val="3"/>
        <w:pageBreakBefore w:val="0"/>
        <w:kinsoku/>
        <w:wordWrap w:val="0"/>
        <w:overflowPunct/>
        <w:bidi w:val="0"/>
        <w:jc w:val="center"/>
        <w:rPr>
          <w:rFonts w:ascii="Times New Roman" w:hAnsi="Times New Roman"/>
          <w:b/>
          <w:bCs w:val="0"/>
          <w:i w:val="0"/>
          <w:iCs w:val="0"/>
          <w:color w:val="auto"/>
          <w:sz w:val="28"/>
          <w:szCs w:val="28"/>
        </w:rPr>
      </w:pPr>
      <w:bookmarkStart w:id="3123" w:name="_Toc144974856"/>
      <w:bookmarkStart w:id="3124" w:name="_Toc152045787"/>
      <w:bookmarkStart w:id="3125" w:name="_Toc4858"/>
      <w:bookmarkStart w:id="3126" w:name="_Toc247514246"/>
      <w:bookmarkStart w:id="3127" w:name="_Toc6807"/>
      <w:bookmarkStart w:id="3128" w:name="_Toc4330"/>
      <w:bookmarkStart w:id="3129" w:name="_Toc15098"/>
      <w:bookmarkStart w:id="3130" w:name="_Toc247527827"/>
      <w:bookmarkStart w:id="3131" w:name="_Toc30542"/>
      <w:bookmarkStart w:id="3132" w:name="_Toc152042576"/>
      <w:bookmarkStart w:id="3133" w:name="_Toc10831"/>
      <w:r>
        <w:rPr>
          <w:rFonts w:ascii="Times New Roman" w:hAnsi="Times New Roman"/>
          <w:b/>
          <w:bCs w:val="0"/>
          <w:i w:val="0"/>
          <w:iCs w:val="0"/>
          <w:color w:val="auto"/>
          <w:sz w:val="28"/>
          <w:szCs w:val="28"/>
        </w:rPr>
        <w:t>目    录</w:t>
      </w:r>
      <w:bookmarkEnd w:id="3123"/>
      <w:bookmarkEnd w:id="3124"/>
      <w:bookmarkEnd w:id="3125"/>
      <w:bookmarkEnd w:id="3126"/>
      <w:bookmarkEnd w:id="3127"/>
      <w:bookmarkEnd w:id="3128"/>
      <w:bookmarkEnd w:id="3129"/>
      <w:bookmarkEnd w:id="3130"/>
      <w:bookmarkEnd w:id="3131"/>
      <w:bookmarkEnd w:id="3132"/>
      <w:bookmarkEnd w:id="3133"/>
    </w:p>
    <w:p w14:paraId="66EC0D99">
      <w:pPr>
        <w:pageBreakBefore w:val="0"/>
        <w:kinsoku/>
        <w:wordWrap w:val="0"/>
        <w:overflowPunct/>
        <w:bidi w:val="0"/>
        <w:spacing w:line="540" w:lineRule="exact"/>
        <w:rPr>
          <w:i w:val="0"/>
          <w:iCs w:val="0"/>
          <w:color w:val="auto"/>
        </w:rPr>
      </w:pPr>
    </w:p>
    <w:p w14:paraId="3743CB1F">
      <w:pPr>
        <w:pageBreakBefore w:val="0"/>
        <w:kinsoku/>
        <w:wordWrap w:val="0"/>
        <w:overflowPunct/>
        <w:bidi w:val="0"/>
        <w:spacing w:line="540" w:lineRule="exact"/>
        <w:rPr>
          <w:i w:val="0"/>
          <w:iCs w:val="0"/>
          <w:color w:val="auto"/>
          <w:sz w:val="24"/>
          <w:szCs w:val="24"/>
        </w:rPr>
      </w:pPr>
      <w:bookmarkStart w:id="3134" w:name="_Toc20054"/>
      <w:r>
        <w:rPr>
          <w:i w:val="0"/>
          <w:iCs w:val="0"/>
          <w:color w:val="auto"/>
          <w:sz w:val="24"/>
          <w:szCs w:val="24"/>
        </w:rPr>
        <w:t>一、投标函及投标函附录</w:t>
      </w:r>
      <w:bookmarkEnd w:id="3134"/>
    </w:p>
    <w:p w14:paraId="6AB272A3">
      <w:pPr>
        <w:pageBreakBefore w:val="0"/>
        <w:kinsoku/>
        <w:wordWrap w:val="0"/>
        <w:overflowPunct/>
        <w:bidi w:val="0"/>
        <w:spacing w:line="540" w:lineRule="exact"/>
        <w:rPr>
          <w:i w:val="0"/>
          <w:iCs w:val="0"/>
          <w:color w:val="auto"/>
          <w:sz w:val="24"/>
          <w:szCs w:val="24"/>
        </w:rPr>
      </w:pPr>
      <w:bookmarkStart w:id="3135" w:name="_Toc790"/>
      <w:r>
        <w:rPr>
          <w:i w:val="0"/>
          <w:iCs w:val="0"/>
          <w:color w:val="auto"/>
          <w:sz w:val="24"/>
          <w:szCs w:val="24"/>
        </w:rPr>
        <w:t>二、法定代表人身份证明或授权委托书</w:t>
      </w:r>
      <w:bookmarkEnd w:id="3135"/>
    </w:p>
    <w:p w14:paraId="10F2DEEB">
      <w:pPr>
        <w:pageBreakBefore w:val="0"/>
        <w:kinsoku/>
        <w:wordWrap w:val="0"/>
        <w:overflowPunct/>
        <w:bidi w:val="0"/>
        <w:spacing w:line="540" w:lineRule="exact"/>
        <w:rPr>
          <w:i w:val="0"/>
          <w:iCs w:val="0"/>
          <w:color w:val="auto"/>
          <w:sz w:val="24"/>
          <w:szCs w:val="24"/>
        </w:rPr>
      </w:pPr>
      <w:bookmarkStart w:id="3136" w:name="_Toc32445"/>
      <w:r>
        <w:rPr>
          <w:i w:val="0"/>
          <w:iCs w:val="0"/>
          <w:color w:val="auto"/>
          <w:sz w:val="24"/>
          <w:szCs w:val="24"/>
        </w:rPr>
        <w:t>三、联合体协议书</w:t>
      </w:r>
      <w:bookmarkEnd w:id="3136"/>
    </w:p>
    <w:p w14:paraId="6BDCE5B8">
      <w:pPr>
        <w:pageBreakBefore w:val="0"/>
        <w:kinsoku/>
        <w:wordWrap w:val="0"/>
        <w:overflowPunct/>
        <w:bidi w:val="0"/>
        <w:spacing w:line="540" w:lineRule="exact"/>
        <w:rPr>
          <w:i w:val="0"/>
          <w:iCs w:val="0"/>
          <w:color w:val="auto"/>
          <w:sz w:val="24"/>
          <w:szCs w:val="24"/>
        </w:rPr>
      </w:pPr>
      <w:bookmarkStart w:id="3137" w:name="_Toc23365"/>
      <w:r>
        <w:rPr>
          <w:i w:val="0"/>
          <w:iCs w:val="0"/>
          <w:color w:val="auto"/>
          <w:sz w:val="24"/>
          <w:szCs w:val="24"/>
        </w:rPr>
        <w:t>四、投标保证金</w:t>
      </w:r>
      <w:bookmarkEnd w:id="3137"/>
    </w:p>
    <w:p w14:paraId="2892FB8C">
      <w:pPr>
        <w:pageBreakBefore w:val="0"/>
        <w:kinsoku/>
        <w:wordWrap w:val="0"/>
        <w:overflowPunct/>
        <w:bidi w:val="0"/>
        <w:spacing w:line="540" w:lineRule="exact"/>
        <w:rPr>
          <w:i w:val="0"/>
          <w:iCs w:val="0"/>
          <w:color w:val="auto"/>
          <w:sz w:val="24"/>
          <w:szCs w:val="24"/>
        </w:rPr>
      </w:pPr>
      <w:bookmarkStart w:id="3138" w:name="_Toc16287"/>
      <w:r>
        <w:rPr>
          <w:i w:val="0"/>
          <w:iCs w:val="0"/>
          <w:color w:val="auto"/>
          <w:sz w:val="24"/>
          <w:szCs w:val="24"/>
        </w:rPr>
        <w:t>五、价格清单</w:t>
      </w:r>
      <w:bookmarkEnd w:id="3138"/>
    </w:p>
    <w:p w14:paraId="45909265">
      <w:pPr>
        <w:pageBreakBefore w:val="0"/>
        <w:kinsoku/>
        <w:wordWrap w:val="0"/>
        <w:overflowPunct/>
        <w:bidi w:val="0"/>
        <w:spacing w:line="540" w:lineRule="exact"/>
        <w:rPr>
          <w:i w:val="0"/>
          <w:iCs w:val="0"/>
          <w:color w:val="auto"/>
          <w:sz w:val="24"/>
          <w:szCs w:val="24"/>
        </w:rPr>
      </w:pPr>
      <w:bookmarkStart w:id="3139" w:name="_Toc1927"/>
      <w:r>
        <w:rPr>
          <w:rFonts w:hint="eastAsia"/>
          <w:i w:val="0"/>
          <w:iCs w:val="0"/>
          <w:color w:val="auto"/>
          <w:sz w:val="24"/>
          <w:szCs w:val="24"/>
          <w:lang w:eastAsia="zh-CN"/>
        </w:rPr>
        <w:t>六</w:t>
      </w:r>
      <w:r>
        <w:rPr>
          <w:i w:val="0"/>
          <w:iCs w:val="0"/>
          <w:color w:val="auto"/>
          <w:sz w:val="24"/>
          <w:szCs w:val="24"/>
        </w:rPr>
        <w:t>、资格审查资料</w:t>
      </w:r>
      <w:bookmarkEnd w:id="3139"/>
    </w:p>
    <w:p w14:paraId="03609860">
      <w:pPr>
        <w:pageBreakBefore w:val="0"/>
        <w:kinsoku/>
        <w:wordWrap w:val="0"/>
        <w:overflowPunct/>
        <w:bidi w:val="0"/>
        <w:spacing w:line="540" w:lineRule="exact"/>
        <w:rPr>
          <w:i w:val="0"/>
          <w:iCs w:val="0"/>
          <w:color w:val="auto"/>
          <w:sz w:val="24"/>
          <w:szCs w:val="24"/>
        </w:rPr>
      </w:pPr>
      <w:bookmarkStart w:id="3140" w:name="_Toc4207"/>
      <w:r>
        <w:rPr>
          <w:rFonts w:hint="eastAsia"/>
          <w:i w:val="0"/>
          <w:iCs w:val="0"/>
          <w:color w:val="auto"/>
          <w:sz w:val="24"/>
          <w:szCs w:val="24"/>
          <w:lang w:eastAsia="zh-CN"/>
        </w:rPr>
        <w:t>七</w:t>
      </w:r>
      <w:r>
        <w:rPr>
          <w:i w:val="0"/>
          <w:iCs w:val="0"/>
          <w:color w:val="auto"/>
          <w:sz w:val="24"/>
          <w:szCs w:val="24"/>
        </w:rPr>
        <w:t>、其他资料</w:t>
      </w:r>
      <w:bookmarkEnd w:id="3140"/>
    </w:p>
    <w:p w14:paraId="4C59365F">
      <w:pPr>
        <w:pageBreakBefore w:val="0"/>
        <w:kinsoku/>
        <w:wordWrap w:val="0"/>
        <w:overflowPunct/>
        <w:bidi w:val="0"/>
        <w:spacing w:line="540" w:lineRule="exact"/>
        <w:rPr>
          <w:i/>
          <w:iCs/>
          <w:color w:val="auto"/>
        </w:rPr>
      </w:pPr>
      <w:r>
        <w:rPr>
          <w:i/>
          <w:iCs/>
          <w:color w:val="auto"/>
        </w:rPr>
        <w:t xml:space="preserve"> </w:t>
      </w:r>
    </w:p>
    <w:p w14:paraId="4D235B29">
      <w:pPr>
        <w:pageBreakBefore w:val="0"/>
        <w:kinsoku/>
        <w:wordWrap w:val="0"/>
        <w:overflowPunct/>
        <w:bidi w:val="0"/>
        <w:spacing w:line="540" w:lineRule="exact"/>
        <w:rPr>
          <w:rFonts w:eastAsia="黑体"/>
          <w:i/>
          <w:iCs/>
          <w:color w:val="auto"/>
          <w:sz w:val="20"/>
          <w:szCs w:val="20"/>
        </w:rPr>
      </w:pPr>
      <w:r>
        <w:rPr>
          <w:i/>
          <w:iCs/>
          <w:color w:val="auto"/>
        </w:rPr>
        <w:br w:type="page"/>
      </w:r>
    </w:p>
    <w:p w14:paraId="149997FE">
      <w:pPr>
        <w:pStyle w:val="3"/>
        <w:pageBreakBefore w:val="0"/>
        <w:kinsoku/>
        <w:wordWrap w:val="0"/>
        <w:overflowPunct/>
        <w:bidi w:val="0"/>
        <w:jc w:val="center"/>
        <w:rPr>
          <w:rFonts w:hint="eastAsia" w:ascii="宋体" w:hAnsi="宋体" w:eastAsia="宋体" w:cs="宋体"/>
          <w:b/>
          <w:bCs w:val="0"/>
          <w:i w:val="0"/>
          <w:iCs w:val="0"/>
          <w:color w:val="auto"/>
          <w:sz w:val="28"/>
          <w:szCs w:val="28"/>
        </w:rPr>
      </w:pPr>
      <w:bookmarkStart w:id="3141" w:name="_Toc152042577"/>
      <w:bookmarkStart w:id="3142" w:name="_Toc247527828"/>
      <w:bookmarkStart w:id="3143" w:name="_Toc15095"/>
      <w:bookmarkStart w:id="3144" w:name="_Toc18819"/>
      <w:bookmarkStart w:id="3145" w:name="_Toc20756"/>
      <w:bookmarkStart w:id="3146" w:name="_Toc152045788"/>
      <w:bookmarkStart w:id="3147" w:name="_Toc144974857"/>
      <w:bookmarkStart w:id="3148" w:name="_Toc8399"/>
      <w:bookmarkStart w:id="3149" w:name="_Toc247514247"/>
      <w:bookmarkStart w:id="3150" w:name="_Toc22865"/>
      <w:r>
        <w:rPr>
          <w:rFonts w:hint="eastAsia" w:ascii="宋体" w:hAnsi="宋体" w:eastAsia="宋体" w:cs="宋体"/>
          <w:b/>
          <w:bCs w:val="0"/>
          <w:i w:val="0"/>
          <w:iCs w:val="0"/>
          <w:color w:val="auto"/>
          <w:sz w:val="28"/>
          <w:szCs w:val="28"/>
        </w:rPr>
        <w:t>一、投标函及投标函附录</w:t>
      </w:r>
      <w:bookmarkEnd w:id="3141"/>
      <w:bookmarkEnd w:id="3142"/>
      <w:bookmarkEnd w:id="3143"/>
      <w:bookmarkEnd w:id="3144"/>
      <w:bookmarkEnd w:id="3145"/>
      <w:bookmarkEnd w:id="3146"/>
      <w:bookmarkEnd w:id="3147"/>
      <w:bookmarkEnd w:id="3148"/>
      <w:bookmarkEnd w:id="3149"/>
      <w:bookmarkEnd w:id="3150"/>
    </w:p>
    <w:p w14:paraId="37B29158">
      <w:pPr>
        <w:pStyle w:val="4"/>
        <w:pageBreakBefore w:val="0"/>
        <w:kinsoku/>
        <w:wordWrap w:val="0"/>
        <w:overflowPunct/>
        <w:bidi w:val="0"/>
        <w:rPr>
          <w:rFonts w:ascii="Times New Roman" w:hAnsi="Times New Roman"/>
          <w:i w:val="0"/>
          <w:iCs w:val="0"/>
          <w:color w:val="auto"/>
          <w:sz w:val="24"/>
          <w:szCs w:val="24"/>
        </w:rPr>
      </w:pPr>
      <w:bookmarkStart w:id="3151" w:name="_Toc2507"/>
      <w:bookmarkStart w:id="3152" w:name="_Toc28818"/>
      <w:bookmarkStart w:id="3153" w:name="_Toc25767"/>
      <w:bookmarkStart w:id="3154" w:name="_Toc9438"/>
      <w:bookmarkStart w:id="3155" w:name="_Toc247514248"/>
      <w:bookmarkStart w:id="3156" w:name="_Toc247527829"/>
      <w:bookmarkStart w:id="3157" w:name="_Toc17625"/>
      <w:bookmarkStart w:id="3158" w:name="_Toc152042578"/>
      <w:bookmarkStart w:id="3159" w:name="_Toc152045789"/>
      <w:bookmarkStart w:id="3160" w:name="_Toc144974858"/>
      <w:bookmarkStart w:id="3161" w:name="_Toc2511"/>
      <w:r>
        <w:rPr>
          <w:rFonts w:ascii="Times New Roman" w:hAnsi="Times New Roman"/>
          <w:i w:val="0"/>
          <w:iCs w:val="0"/>
          <w:color w:val="auto"/>
          <w:sz w:val="24"/>
          <w:szCs w:val="24"/>
        </w:rPr>
        <w:t>（一）投标函</w:t>
      </w:r>
      <w:bookmarkEnd w:id="3151"/>
      <w:bookmarkEnd w:id="3152"/>
      <w:bookmarkEnd w:id="3153"/>
      <w:bookmarkEnd w:id="3154"/>
      <w:bookmarkEnd w:id="3155"/>
      <w:bookmarkEnd w:id="3156"/>
      <w:bookmarkEnd w:id="3157"/>
      <w:bookmarkEnd w:id="3158"/>
      <w:bookmarkEnd w:id="3159"/>
      <w:bookmarkEnd w:id="3160"/>
      <w:bookmarkEnd w:id="3161"/>
    </w:p>
    <w:p w14:paraId="6C38BE2C">
      <w:pPr>
        <w:pageBreakBefore w:val="0"/>
        <w:kinsoku/>
        <w:wordWrap w:val="0"/>
        <w:overflowPunct/>
        <w:bidi w:val="0"/>
        <w:spacing w:line="440" w:lineRule="exact"/>
        <w:ind w:left="0" w:leftChars="0" w:firstLine="0" w:firstLineChars="0"/>
        <w:rPr>
          <w:i w:val="0"/>
          <w:iCs w:val="0"/>
          <w:color w:val="auto"/>
          <w:sz w:val="24"/>
          <w:szCs w:val="24"/>
        </w:rPr>
      </w:pPr>
      <w:r>
        <w:rPr>
          <w:i w:val="0"/>
          <w:iCs w:val="0"/>
          <w:color w:val="auto"/>
          <w:sz w:val="24"/>
          <w:szCs w:val="24"/>
          <w:u w:val="single"/>
        </w:rPr>
        <w:t>（招标人名称）</w:t>
      </w:r>
      <w:r>
        <w:rPr>
          <w:i w:val="0"/>
          <w:iCs w:val="0"/>
          <w:color w:val="auto"/>
          <w:sz w:val="24"/>
          <w:szCs w:val="24"/>
        </w:rPr>
        <w:t>：</w:t>
      </w:r>
    </w:p>
    <w:p w14:paraId="4D335248">
      <w:pPr>
        <w:rPr>
          <w:i w:val="0"/>
          <w:iCs w:val="0"/>
          <w:color w:val="auto"/>
          <w:sz w:val="24"/>
          <w:szCs w:val="24"/>
        </w:rPr>
      </w:pPr>
      <w:r>
        <w:rPr>
          <w:i w:val="0"/>
          <w:iCs w:val="0"/>
          <w:color w:val="auto"/>
          <w:sz w:val="24"/>
          <w:szCs w:val="24"/>
        </w:rPr>
        <w:t>1．我方已仔细研究了</w:t>
      </w:r>
      <w:r>
        <w:rPr>
          <w:i/>
          <w:iCs/>
          <w:color w:val="auto"/>
          <w:sz w:val="24"/>
          <w:szCs w:val="24"/>
          <w:u w:val="single"/>
        </w:rPr>
        <w:t xml:space="preserve">         （</w:t>
      </w:r>
      <w:r>
        <w:rPr>
          <w:rFonts w:hint="eastAsia"/>
          <w:i/>
          <w:iCs/>
          <w:color w:val="auto"/>
          <w:sz w:val="24"/>
          <w:szCs w:val="24"/>
          <w:u w:val="single"/>
          <w:lang w:val="en-US" w:eastAsia="zh-CN"/>
        </w:rPr>
        <w:t>项目</w:t>
      </w:r>
      <w:r>
        <w:rPr>
          <w:i/>
          <w:iCs/>
          <w:color w:val="auto"/>
          <w:sz w:val="24"/>
          <w:szCs w:val="24"/>
          <w:u w:val="single"/>
        </w:rPr>
        <w:t xml:space="preserve">名称）      </w:t>
      </w:r>
      <w:r>
        <w:rPr>
          <w:rFonts w:hint="eastAsia"/>
          <w:i/>
          <w:iCs/>
          <w:color w:val="auto"/>
          <w:sz w:val="24"/>
          <w:szCs w:val="24"/>
          <w:u w:val="single"/>
          <w:lang w:val="en-US" w:eastAsia="zh-CN"/>
        </w:rPr>
        <w:t xml:space="preserve">  </w:t>
      </w:r>
      <w:r>
        <w:rPr>
          <w:rFonts w:hint="eastAsia"/>
          <w:i w:val="0"/>
          <w:iCs w:val="0"/>
          <w:color w:val="auto"/>
          <w:sz w:val="24"/>
          <w:szCs w:val="24"/>
          <w:u w:val="single"/>
          <w:lang w:val="en-US" w:eastAsia="zh-CN"/>
        </w:rPr>
        <w:t>工程总承包   标段</w:t>
      </w:r>
      <w:r>
        <w:rPr>
          <w:i w:val="0"/>
          <w:iCs w:val="0"/>
          <w:color w:val="auto"/>
          <w:sz w:val="24"/>
          <w:szCs w:val="24"/>
        </w:rPr>
        <w:t>招标文件的全部内容，愿意以人民币（大写）</w:t>
      </w:r>
      <w:r>
        <w:rPr>
          <w:i w:val="0"/>
          <w:iCs w:val="0"/>
          <w:color w:val="auto"/>
          <w:sz w:val="24"/>
          <w:szCs w:val="24"/>
          <w:u w:val="single"/>
        </w:rPr>
        <w:t xml:space="preserve">         </w:t>
      </w:r>
      <w:r>
        <w:rPr>
          <w:i w:val="0"/>
          <w:iCs w:val="0"/>
          <w:color w:val="auto"/>
          <w:sz w:val="24"/>
          <w:szCs w:val="24"/>
        </w:rPr>
        <w:t>（¥</w:t>
      </w:r>
      <w:r>
        <w:rPr>
          <w:i w:val="0"/>
          <w:iCs w:val="0"/>
          <w:color w:val="auto"/>
          <w:sz w:val="24"/>
          <w:szCs w:val="24"/>
          <w:u w:val="single"/>
        </w:rPr>
        <w:t xml:space="preserve">           </w:t>
      </w:r>
      <w:r>
        <w:rPr>
          <w:i w:val="0"/>
          <w:iCs w:val="0"/>
          <w:color w:val="auto"/>
          <w:sz w:val="24"/>
          <w:szCs w:val="24"/>
        </w:rPr>
        <w:t>）的投标总报价</w:t>
      </w:r>
      <w:r>
        <w:rPr>
          <w:rFonts w:hint="eastAsia"/>
          <w:i w:val="0"/>
          <w:iCs w:val="0"/>
          <w:color w:val="auto"/>
          <w:sz w:val="24"/>
          <w:szCs w:val="24"/>
          <w:lang w:eastAsia="zh-CN"/>
        </w:rPr>
        <w:t>（其中：设计费</w:t>
      </w:r>
      <w:r>
        <w:rPr>
          <w:i w:val="0"/>
          <w:iCs w:val="0"/>
          <w:color w:val="auto"/>
          <w:sz w:val="24"/>
          <w:szCs w:val="24"/>
        </w:rPr>
        <w:t>¥</w:t>
      </w:r>
      <w:r>
        <w:rPr>
          <w:i w:val="0"/>
          <w:iCs w:val="0"/>
          <w:color w:val="auto"/>
          <w:sz w:val="24"/>
          <w:szCs w:val="24"/>
          <w:u w:val="single"/>
        </w:rPr>
        <w:t xml:space="preserve">           </w:t>
      </w:r>
      <w:r>
        <w:rPr>
          <w:rFonts w:hint="eastAsia"/>
          <w:i w:val="0"/>
          <w:iCs w:val="0"/>
          <w:color w:val="auto"/>
          <w:sz w:val="24"/>
          <w:szCs w:val="24"/>
          <w:u w:val="none"/>
          <w:lang w:eastAsia="zh-CN"/>
        </w:rPr>
        <w:t>、建安工程费</w:t>
      </w:r>
      <w:r>
        <w:rPr>
          <w:i w:val="0"/>
          <w:iCs w:val="0"/>
          <w:color w:val="auto"/>
          <w:sz w:val="24"/>
          <w:szCs w:val="24"/>
        </w:rPr>
        <w:t>¥</w:t>
      </w:r>
      <w:r>
        <w:rPr>
          <w:i w:val="0"/>
          <w:iCs w:val="0"/>
          <w:color w:val="auto"/>
          <w:sz w:val="24"/>
          <w:szCs w:val="24"/>
          <w:u w:val="single"/>
        </w:rPr>
        <w:t xml:space="preserve">           </w:t>
      </w:r>
      <w:r>
        <w:rPr>
          <w:rFonts w:hint="eastAsia"/>
          <w:i w:val="0"/>
          <w:iCs w:val="0"/>
          <w:color w:val="auto"/>
          <w:sz w:val="24"/>
          <w:szCs w:val="24"/>
          <w:u w:val="none"/>
          <w:lang w:eastAsia="zh-CN"/>
        </w:rPr>
        <w:t>、建设项目场地准备及建设单位临时设施费</w:t>
      </w:r>
      <w:r>
        <w:rPr>
          <w:i w:val="0"/>
          <w:iCs w:val="0"/>
          <w:color w:val="auto"/>
          <w:sz w:val="24"/>
          <w:szCs w:val="24"/>
        </w:rPr>
        <w:t>¥</w:t>
      </w:r>
      <w:r>
        <w:rPr>
          <w:i w:val="0"/>
          <w:iCs w:val="0"/>
          <w:color w:val="auto"/>
          <w:sz w:val="24"/>
          <w:szCs w:val="24"/>
          <w:u w:val="single"/>
        </w:rPr>
        <w:t xml:space="preserve"> </w:t>
      </w:r>
      <w:r>
        <w:rPr>
          <w:rFonts w:hint="eastAsia"/>
          <w:i w:val="0"/>
          <w:iCs w:val="0"/>
          <w:color w:val="auto"/>
          <w:sz w:val="24"/>
          <w:szCs w:val="24"/>
          <w:u w:val="single"/>
          <w:lang w:val="en-US" w:eastAsia="zh-CN"/>
        </w:rPr>
        <w:t xml:space="preserve">        </w:t>
      </w:r>
      <w:r>
        <w:rPr>
          <w:i w:val="0"/>
          <w:iCs w:val="0"/>
          <w:color w:val="auto"/>
          <w:sz w:val="24"/>
          <w:szCs w:val="24"/>
          <w:u w:val="single"/>
        </w:rPr>
        <w:t xml:space="preserve"> </w:t>
      </w:r>
      <w:r>
        <w:rPr>
          <w:rFonts w:hint="eastAsia"/>
          <w:i w:val="0"/>
          <w:iCs w:val="0"/>
          <w:color w:val="auto"/>
          <w:sz w:val="24"/>
          <w:szCs w:val="24"/>
          <w:u w:val="single"/>
          <w:lang w:val="en-US" w:eastAsia="zh-CN"/>
        </w:rPr>
        <w:t xml:space="preserve"> </w:t>
      </w:r>
      <w:r>
        <w:rPr>
          <w:rFonts w:hint="eastAsia"/>
          <w:i w:val="0"/>
          <w:iCs w:val="0"/>
          <w:color w:val="auto"/>
          <w:sz w:val="24"/>
          <w:szCs w:val="24"/>
          <w:lang w:eastAsia="zh-CN"/>
        </w:rPr>
        <w:t>）</w:t>
      </w:r>
      <w:r>
        <w:rPr>
          <w:i w:val="0"/>
          <w:iCs w:val="0"/>
          <w:color w:val="auto"/>
          <w:sz w:val="24"/>
          <w:szCs w:val="24"/>
        </w:rPr>
        <w:t>，工期</w:t>
      </w:r>
      <w:r>
        <w:rPr>
          <w:i w:val="0"/>
          <w:iCs w:val="0"/>
          <w:color w:val="auto"/>
          <w:sz w:val="24"/>
          <w:szCs w:val="24"/>
          <w:u w:val="single"/>
        </w:rPr>
        <w:t xml:space="preserve">     </w:t>
      </w:r>
      <w:r>
        <w:rPr>
          <w:i w:val="0"/>
          <w:iCs w:val="0"/>
          <w:color w:val="auto"/>
          <w:sz w:val="24"/>
          <w:szCs w:val="24"/>
        </w:rPr>
        <w:t>日历天，按合同约定进行设计、实施和竣工承包工程，修补工程中的任何缺陷，实现工程目的。</w:t>
      </w:r>
    </w:p>
    <w:p w14:paraId="79B6E348">
      <w:pPr>
        <w:rPr>
          <w:i w:val="0"/>
          <w:iCs w:val="0"/>
          <w:color w:val="auto"/>
          <w:sz w:val="24"/>
          <w:szCs w:val="24"/>
        </w:rPr>
      </w:pPr>
      <w:r>
        <w:rPr>
          <w:i w:val="0"/>
          <w:iCs w:val="0"/>
          <w:color w:val="auto"/>
          <w:sz w:val="24"/>
          <w:szCs w:val="24"/>
        </w:rPr>
        <w:t>2．我方承诺在招标文件规定的投标有效期内不修改、撤销投标文件。</w:t>
      </w:r>
    </w:p>
    <w:p w14:paraId="38AC370C">
      <w:pPr>
        <w:rPr>
          <w:i w:val="0"/>
          <w:iCs w:val="0"/>
          <w:color w:val="auto"/>
          <w:sz w:val="24"/>
          <w:szCs w:val="24"/>
        </w:rPr>
      </w:pPr>
      <w:r>
        <w:rPr>
          <w:i w:val="0"/>
          <w:iCs w:val="0"/>
          <w:color w:val="auto"/>
          <w:sz w:val="24"/>
          <w:szCs w:val="24"/>
        </w:rPr>
        <w:t>3．随同本投标函提交投标保证金一份，金额为人民币（大写）</w:t>
      </w:r>
      <w:r>
        <w:rPr>
          <w:i w:val="0"/>
          <w:iCs w:val="0"/>
          <w:color w:val="auto"/>
          <w:sz w:val="24"/>
          <w:szCs w:val="24"/>
          <w:u w:val="single"/>
        </w:rPr>
        <w:t xml:space="preserve">        </w:t>
      </w:r>
      <w:r>
        <w:rPr>
          <w:i w:val="0"/>
          <w:iCs w:val="0"/>
          <w:color w:val="auto"/>
          <w:sz w:val="24"/>
          <w:szCs w:val="24"/>
        </w:rPr>
        <w:t>（¥</w:t>
      </w:r>
      <w:r>
        <w:rPr>
          <w:i w:val="0"/>
          <w:iCs w:val="0"/>
          <w:color w:val="auto"/>
          <w:sz w:val="24"/>
          <w:szCs w:val="24"/>
          <w:u w:val="single"/>
        </w:rPr>
        <w:t xml:space="preserve">       </w:t>
      </w:r>
      <w:r>
        <w:rPr>
          <w:i w:val="0"/>
          <w:iCs w:val="0"/>
          <w:color w:val="auto"/>
          <w:sz w:val="24"/>
          <w:szCs w:val="24"/>
        </w:rPr>
        <w:t>）。</w:t>
      </w:r>
    </w:p>
    <w:p w14:paraId="3562D6FE">
      <w:pPr>
        <w:rPr>
          <w:i w:val="0"/>
          <w:iCs w:val="0"/>
          <w:color w:val="auto"/>
          <w:sz w:val="24"/>
          <w:szCs w:val="24"/>
        </w:rPr>
      </w:pPr>
      <w:r>
        <w:rPr>
          <w:i w:val="0"/>
          <w:iCs w:val="0"/>
          <w:color w:val="auto"/>
          <w:sz w:val="24"/>
          <w:szCs w:val="24"/>
        </w:rPr>
        <w:t>4．如我方中标：</w:t>
      </w:r>
    </w:p>
    <w:p w14:paraId="1039EFA1">
      <w:pPr>
        <w:rPr>
          <w:i w:val="0"/>
          <w:iCs w:val="0"/>
          <w:color w:val="auto"/>
          <w:sz w:val="24"/>
          <w:szCs w:val="24"/>
        </w:rPr>
      </w:pPr>
      <w:r>
        <w:rPr>
          <w:i w:val="0"/>
          <w:iCs w:val="0"/>
          <w:color w:val="auto"/>
          <w:sz w:val="24"/>
          <w:szCs w:val="24"/>
        </w:rPr>
        <w:t>（1）我方承诺在收到中标通知书后，在中标通知书规定的期限内与你方签订合同。</w:t>
      </w:r>
    </w:p>
    <w:p w14:paraId="3082691A">
      <w:pPr>
        <w:rPr>
          <w:i w:val="0"/>
          <w:iCs w:val="0"/>
          <w:color w:val="auto"/>
          <w:sz w:val="24"/>
          <w:szCs w:val="24"/>
        </w:rPr>
      </w:pPr>
      <w:r>
        <w:rPr>
          <w:i w:val="0"/>
          <w:iCs w:val="0"/>
          <w:color w:val="auto"/>
          <w:sz w:val="24"/>
          <w:szCs w:val="24"/>
        </w:rPr>
        <w:t>（2）随同本投标函递交的投标函附录属于合同文件的组成部分。</w:t>
      </w:r>
    </w:p>
    <w:p w14:paraId="0E8B967B">
      <w:pPr>
        <w:rPr>
          <w:i w:val="0"/>
          <w:iCs w:val="0"/>
          <w:color w:val="auto"/>
          <w:sz w:val="24"/>
          <w:szCs w:val="24"/>
        </w:rPr>
      </w:pPr>
      <w:r>
        <w:rPr>
          <w:i w:val="0"/>
          <w:iCs w:val="0"/>
          <w:color w:val="auto"/>
          <w:sz w:val="24"/>
          <w:szCs w:val="24"/>
        </w:rPr>
        <w:t>（3）我方承诺按照招标文件规定向你方递交履约担保。</w:t>
      </w:r>
    </w:p>
    <w:p w14:paraId="1ADCB334">
      <w:pPr>
        <w:rPr>
          <w:i w:val="0"/>
          <w:iCs w:val="0"/>
          <w:color w:val="auto"/>
          <w:sz w:val="24"/>
          <w:szCs w:val="24"/>
        </w:rPr>
      </w:pPr>
      <w:r>
        <w:rPr>
          <w:i w:val="0"/>
          <w:iCs w:val="0"/>
          <w:color w:val="auto"/>
          <w:sz w:val="24"/>
          <w:szCs w:val="24"/>
        </w:rPr>
        <w:t>（4）我方承诺在合同约定的期限内完成并移交全部合同工程。</w:t>
      </w:r>
    </w:p>
    <w:p w14:paraId="0F836387">
      <w:pPr>
        <w:rPr>
          <w:i w:val="0"/>
          <w:iCs w:val="0"/>
          <w:color w:val="auto"/>
          <w:sz w:val="24"/>
          <w:szCs w:val="24"/>
        </w:rPr>
      </w:pPr>
      <w:r>
        <w:rPr>
          <w:i w:val="0"/>
          <w:iCs w:val="0"/>
          <w:color w:val="auto"/>
          <w:sz w:val="24"/>
          <w:szCs w:val="24"/>
        </w:rPr>
        <w:t>5．我方在此声明，所递交的投标文件及有关资料内容完整、真实和准确，且不存在第二章“投标人须知”第1.4.3项规定的任何一种情形。</w:t>
      </w:r>
    </w:p>
    <w:p w14:paraId="22294FD4">
      <w:pPr>
        <w:rPr>
          <w:i w:val="0"/>
          <w:iCs w:val="0"/>
          <w:color w:val="auto"/>
          <w:sz w:val="24"/>
          <w:szCs w:val="24"/>
        </w:rPr>
      </w:pPr>
      <w:r>
        <w:rPr>
          <w:i w:val="0"/>
          <w:iCs w:val="0"/>
          <w:color w:val="auto"/>
          <w:sz w:val="24"/>
          <w:szCs w:val="24"/>
        </w:rPr>
        <w:t>6．</w:t>
      </w:r>
      <w:r>
        <w:rPr>
          <w:i/>
          <w:iCs/>
          <w:color w:val="auto"/>
          <w:sz w:val="24"/>
          <w:szCs w:val="24"/>
          <w:u w:val="single"/>
        </w:rPr>
        <w:t>（其他补充说明）</w:t>
      </w:r>
      <w:r>
        <w:rPr>
          <w:i w:val="0"/>
          <w:iCs w:val="0"/>
          <w:color w:val="auto"/>
          <w:sz w:val="24"/>
          <w:szCs w:val="24"/>
        </w:rPr>
        <w:t>。</w:t>
      </w:r>
    </w:p>
    <w:p w14:paraId="3EA5E65D">
      <w:pPr>
        <w:pageBreakBefore w:val="0"/>
        <w:kinsoku/>
        <w:wordWrap w:val="0"/>
        <w:overflowPunct/>
        <w:bidi w:val="0"/>
        <w:spacing w:line="440" w:lineRule="exact"/>
        <w:ind w:firstLine="4200" w:firstLineChars="1750"/>
        <w:rPr>
          <w:i w:val="0"/>
          <w:iCs w:val="0"/>
          <w:color w:val="auto"/>
          <w:sz w:val="24"/>
          <w:szCs w:val="24"/>
        </w:rPr>
      </w:pPr>
      <w:r>
        <w:rPr>
          <w:i w:val="0"/>
          <w:iCs w:val="0"/>
          <w:color w:val="auto"/>
          <w:sz w:val="24"/>
          <w:szCs w:val="24"/>
        </w:rPr>
        <w:t>投 标 人：</w:t>
      </w:r>
      <w:r>
        <w:rPr>
          <w:i w:val="0"/>
          <w:iCs w:val="0"/>
          <w:color w:val="auto"/>
          <w:sz w:val="24"/>
          <w:szCs w:val="24"/>
          <w:u w:val="single"/>
        </w:rPr>
        <w:t xml:space="preserve">                      </w:t>
      </w:r>
      <w:r>
        <w:rPr>
          <w:i w:val="0"/>
          <w:iCs w:val="0"/>
          <w:color w:val="auto"/>
          <w:sz w:val="24"/>
          <w:szCs w:val="24"/>
        </w:rPr>
        <w:t>（盖章）</w:t>
      </w:r>
    </w:p>
    <w:p w14:paraId="7246F69E">
      <w:pPr>
        <w:pageBreakBefore w:val="0"/>
        <w:kinsoku/>
        <w:wordWrap w:val="0"/>
        <w:overflowPunct/>
        <w:bidi w:val="0"/>
        <w:spacing w:line="440" w:lineRule="exact"/>
        <w:ind w:firstLine="4200" w:firstLineChars="1750"/>
        <w:rPr>
          <w:i w:val="0"/>
          <w:iCs w:val="0"/>
          <w:color w:val="auto"/>
          <w:sz w:val="24"/>
          <w:szCs w:val="24"/>
        </w:rPr>
      </w:pPr>
      <w:r>
        <w:rPr>
          <w:i w:val="0"/>
          <w:iCs w:val="0"/>
          <w:color w:val="auto"/>
          <w:sz w:val="24"/>
          <w:szCs w:val="24"/>
        </w:rPr>
        <w:t>法定代表人或其委托代理人：</w:t>
      </w:r>
      <w:r>
        <w:rPr>
          <w:i w:val="0"/>
          <w:iCs w:val="0"/>
          <w:color w:val="auto"/>
          <w:sz w:val="24"/>
          <w:szCs w:val="24"/>
          <w:u w:val="single"/>
        </w:rPr>
        <w:t xml:space="preserve">        </w:t>
      </w:r>
      <w:r>
        <w:rPr>
          <w:i w:val="0"/>
          <w:iCs w:val="0"/>
          <w:color w:val="auto"/>
          <w:sz w:val="24"/>
          <w:szCs w:val="24"/>
        </w:rPr>
        <w:t>（签字</w:t>
      </w:r>
      <w:r>
        <w:rPr>
          <w:rFonts w:hint="eastAsia"/>
          <w:i w:val="0"/>
          <w:iCs w:val="0"/>
          <w:color w:val="auto"/>
          <w:sz w:val="24"/>
          <w:szCs w:val="24"/>
          <w:lang w:eastAsia="zh-CN"/>
        </w:rPr>
        <w:t>或盖章</w:t>
      </w:r>
      <w:r>
        <w:rPr>
          <w:i w:val="0"/>
          <w:iCs w:val="0"/>
          <w:color w:val="auto"/>
          <w:sz w:val="24"/>
          <w:szCs w:val="24"/>
        </w:rPr>
        <w:t>）</w:t>
      </w:r>
    </w:p>
    <w:p w14:paraId="1BF31024">
      <w:pPr>
        <w:pageBreakBefore w:val="0"/>
        <w:kinsoku/>
        <w:wordWrap w:val="0"/>
        <w:overflowPunct/>
        <w:bidi w:val="0"/>
        <w:spacing w:line="440" w:lineRule="exact"/>
        <w:ind w:firstLine="4200" w:firstLineChars="1750"/>
        <w:rPr>
          <w:i w:val="0"/>
          <w:iCs w:val="0"/>
          <w:color w:val="auto"/>
          <w:sz w:val="24"/>
          <w:szCs w:val="24"/>
        </w:rPr>
      </w:pPr>
      <w:r>
        <w:rPr>
          <w:i w:val="0"/>
          <w:iCs w:val="0"/>
          <w:color w:val="auto"/>
          <w:sz w:val="24"/>
          <w:szCs w:val="24"/>
        </w:rPr>
        <w:t>地址：</w:t>
      </w:r>
      <w:r>
        <w:rPr>
          <w:i w:val="0"/>
          <w:iCs w:val="0"/>
          <w:color w:val="auto"/>
          <w:sz w:val="24"/>
          <w:szCs w:val="24"/>
          <w:u w:val="single"/>
        </w:rPr>
        <w:t xml:space="preserve">                                     </w:t>
      </w:r>
    </w:p>
    <w:p w14:paraId="1EB6DA9E">
      <w:pPr>
        <w:pageBreakBefore w:val="0"/>
        <w:kinsoku/>
        <w:wordWrap w:val="0"/>
        <w:overflowPunct/>
        <w:bidi w:val="0"/>
        <w:spacing w:line="440" w:lineRule="exact"/>
        <w:ind w:firstLine="4200" w:firstLineChars="1750"/>
        <w:rPr>
          <w:i w:val="0"/>
          <w:iCs w:val="0"/>
          <w:color w:val="auto"/>
          <w:sz w:val="24"/>
          <w:szCs w:val="24"/>
        </w:rPr>
      </w:pPr>
      <w:r>
        <w:rPr>
          <w:i w:val="0"/>
          <w:iCs w:val="0"/>
          <w:color w:val="auto"/>
          <w:sz w:val="24"/>
          <w:szCs w:val="24"/>
        </w:rPr>
        <w:t>电话：</w:t>
      </w:r>
      <w:r>
        <w:rPr>
          <w:i w:val="0"/>
          <w:iCs w:val="0"/>
          <w:color w:val="auto"/>
          <w:sz w:val="24"/>
          <w:szCs w:val="24"/>
          <w:u w:val="single"/>
        </w:rPr>
        <w:t xml:space="preserve">                                     </w:t>
      </w:r>
    </w:p>
    <w:p w14:paraId="6247FEF1">
      <w:pPr>
        <w:pageBreakBefore w:val="0"/>
        <w:kinsoku/>
        <w:wordWrap w:val="0"/>
        <w:overflowPunct/>
        <w:bidi w:val="0"/>
        <w:spacing w:line="440" w:lineRule="exact"/>
        <w:ind w:firstLine="4200" w:firstLineChars="1750"/>
        <w:rPr>
          <w:i w:val="0"/>
          <w:iCs w:val="0"/>
          <w:color w:val="auto"/>
          <w:sz w:val="24"/>
          <w:szCs w:val="24"/>
        </w:rPr>
      </w:pPr>
      <w:r>
        <w:rPr>
          <w:i w:val="0"/>
          <w:iCs w:val="0"/>
          <w:color w:val="auto"/>
          <w:sz w:val="24"/>
          <w:szCs w:val="24"/>
        </w:rPr>
        <w:t>传真：</w:t>
      </w:r>
      <w:r>
        <w:rPr>
          <w:i w:val="0"/>
          <w:iCs w:val="0"/>
          <w:color w:val="auto"/>
          <w:sz w:val="24"/>
          <w:szCs w:val="24"/>
          <w:u w:val="single"/>
        </w:rPr>
        <w:t xml:space="preserve">                                     </w:t>
      </w:r>
    </w:p>
    <w:p w14:paraId="0A8F7D4D">
      <w:pPr>
        <w:pageBreakBefore w:val="0"/>
        <w:kinsoku/>
        <w:wordWrap w:val="0"/>
        <w:overflowPunct/>
        <w:bidi w:val="0"/>
        <w:spacing w:line="440" w:lineRule="exact"/>
        <w:ind w:firstLine="4200" w:firstLineChars="1750"/>
        <w:rPr>
          <w:i w:val="0"/>
          <w:iCs w:val="0"/>
          <w:color w:val="auto"/>
          <w:sz w:val="24"/>
          <w:szCs w:val="24"/>
        </w:rPr>
      </w:pPr>
      <w:r>
        <w:rPr>
          <w:i w:val="0"/>
          <w:iCs w:val="0"/>
          <w:color w:val="auto"/>
          <w:sz w:val="24"/>
          <w:szCs w:val="24"/>
        </w:rPr>
        <w:t>邮政编码：</w:t>
      </w:r>
      <w:r>
        <w:rPr>
          <w:i w:val="0"/>
          <w:iCs w:val="0"/>
          <w:color w:val="auto"/>
          <w:sz w:val="24"/>
          <w:szCs w:val="24"/>
          <w:u w:val="single"/>
        </w:rPr>
        <w:t xml:space="preserve">                                 </w:t>
      </w:r>
    </w:p>
    <w:p w14:paraId="55AB7034">
      <w:pPr>
        <w:pageBreakBefore w:val="0"/>
        <w:kinsoku/>
        <w:wordWrap w:val="0"/>
        <w:overflowPunct/>
        <w:bidi w:val="0"/>
        <w:spacing w:line="440" w:lineRule="exact"/>
        <w:ind w:firstLine="5400" w:firstLineChars="2250"/>
        <w:rPr>
          <w:i w:val="0"/>
          <w:iCs w:val="0"/>
          <w:color w:val="auto"/>
          <w:szCs w:val="21"/>
        </w:rPr>
      </w:pP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日</w:t>
      </w:r>
    </w:p>
    <w:p w14:paraId="604814CE">
      <w:pPr>
        <w:pStyle w:val="4"/>
        <w:pageBreakBefore w:val="0"/>
        <w:kinsoku/>
        <w:wordWrap w:val="0"/>
        <w:overflowPunct/>
        <w:bidi w:val="0"/>
        <w:rPr>
          <w:i w:val="0"/>
          <w:iCs w:val="0"/>
          <w:color w:val="auto"/>
        </w:rPr>
      </w:pPr>
      <w:r>
        <w:rPr>
          <w:i/>
          <w:iCs/>
          <w:color w:val="auto"/>
          <w:szCs w:val="21"/>
        </w:rPr>
        <w:br w:type="page"/>
      </w:r>
      <w:bookmarkStart w:id="3162" w:name="_Toc25239"/>
      <w:bookmarkStart w:id="3163" w:name="_Toc22220"/>
      <w:bookmarkStart w:id="3164" w:name="_Toc2753"/>
      <w:bookmarkStart w:id="3165" w:name="_Toc247514249"/>
      <w:bookmarkStart w:id="3166" w:name="_Toc152042579"/>
      <w:bookmarkStart w:id="3167" w:name="_Toc144974859"/>
      <w:bookmarkStart w:id="3168" w:name="_Toc247527830"/>
      <w:bookmarkStart w:id="3169" w:name="_Toc152045790"/>
      <w:bookmarkStart w:id="3170" w:name="_Toc26149"/>
      <w:bookmarkStart w:id="3171" w:name="_Toc4480"/>
      <w:bookmarkStart w:id="3172" w:name="_Toc8705"/>
      <w:r>
        <w:rPr>
          <w:i w:val="0"/>
          <w:iCs w:val="0"/>
          <w:color w:val="auto"/>
        </w:rPr>
        <w:t>（二）投标函附录</w:t>
      </w:r>
      <w:bookmarkEnd w:id="3162"/>
      <w:bookmarkEnd w:id="3163"/>
      <w:bookmarkEnd w:id="3164"/>
      <w:bookmarkEnd w:id="3165"/>
      <w:bookmarkEnd w:id="3166"/>
      <w:bookmarkEnd w:id="3167"/>
      <w:bookmarkEnd w:id="3168"/>
      <w:bookmarkEnd w:id="3169"/>
      <w:bookmarkEnd w:id="3170"/>
      <w:bookmarkEnd w:id="3171"/>
      <w:bookmarkEnd w:id="3172"/>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169"/>
        <w:gridCol w:w="1992"/>
        <w:gridCol w:w="2535"/>
        <w:gridCol w:w="746"/>
      </w:tblGrid>
      <w:tr w14:paraId="1317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58" w:type="dxa"/>
            <w:noWrap w:val="0"/>
            <w:vAlign w:val="center"/>
          </w:tcPr>
          <w:p w14:paraId="45CEA637">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序号</w:t>
            </w:r>
          </w:p>
        </w:tc>
        <w:tc>
          <w:tcPr>
            <w:tcW w:w="2169" w:type="dxa"/>
            <w:noWrap w:val="0"/>
            <w:vAlign w:val="center"/>
          </w:tcPr>
          <w:p w14:paraId="617F69B9">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条款名称</w:t>
            </w:r>
          </w:p>
        </w:tc>
        <w:tc>
          <w:tcPr>
            <w:tcW w:w="1992" w:type="dxa"/>
            <w:noWrap w:val="0"/>
            <w:vAlign w:val="center"/>
          </w:tcPr>
          <w:p w14:paraId="796FE6EF">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合同条款号</w:t>
            </w:r>
          </w:p>
        </w:tc>
        <w:tc>
          <w:tcPr>
            <w:tcW w:w="2535" w:type="dxa"/>
            <w:noWrap w:val="0"/>
            <w:vAlign w:val="center"/>
          </w:tcPr>
          <w:p w14:paraId="3F11294C">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约定内容</w:t>
            </w:r>
          </w:p>
        </w:tc>
        <w:tc>
          <w:tcPr>
            <w:tcW w:w="746" w:type="dxa"/>
            <w:noWrap w:val="0"/>
            <w:vAlign w:val="center"/>
          </w:tcPr>
          <w:p w14:paraId="226293F0">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备注</w:t>
            </w:r>
          </w:p>
        </w:tc>
      </w:tr>
      <w:tr w14:paraId="6E22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58" w:type="dxa"/>
            <w:noWrap w:val="0"/>
            <w:vAlign w:val="center"/>
          </w:tcPr>
          <w:p w14:paraId="4992B535">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1</w:t>
            </w:r>
          </w:p>
        </w:tc>
        <w:tc>
          <w:tcPr>
            <w:tcW w:w="2169" w:type="dxa"/>
            <w:noWrap w:val="0"/>
            <w:vAlign w:val="center"/>
          </w:tcPr>
          <w:p w14:paraId="3B73E5E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项目经理</w:t>
            </w:r>
          </w:p>
        </w:tc>
        <w:tc>
          <w:tcPr>
            <w:tcW w:w="1992" w:type="dxa"/>
            <w:noWrap w:val="0"/>
            <w:vAlign w:val="center"/>
          </w:tcPr>
          <w:p w14:paraId="0880431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eastAsia="宋体"/>
                <w:i w:val="0"/>
                <w:iCs w:val="0"/>
                <w:color w:val="auto"/>
                <w:sz w:val="24"/>
                <w:szCs w:val="24"/>
                <w:lang w:eastAsia="zh-CN"/>
              </w:rPr>
            </w:pPr>
            <w:r>
              <w:rPr>
                <w:i w:val="0"/>
                <w:iCs w:val="0"/>
                <w:color w:val="auto"/>
                <w:sz w:val="24"/>
                <w:szCs w:val="24"/>
              </w:rPr>
              <w:t>1.1.2.</w:t>
            </w:r>
            <w:r>
              <w:rPr>
                <w:rFonts w:hint="eastAsia"/>
                <w:i w:val="0"/>
                <w:iCs w:val="0"/>
                <w:color w:val="auto"/>
                <w:sz w:val="24"/>
                <w:szCs w:val="24"/>
                <w:lang w:val="en-US" w:eastAsia="zh-CN"/>
              </w:rPr>
              <w:t>7</w:t>
            </w:r>
          </w:p>
        </w:tc>
        <w:tc>
          <w:tcPr>
            <w:tcW w:w="2535" w:type="dxa"/>
            <w:noWrap w:val="0"/>
            <w:vAlign w:val="center"/>
          </w:tcPr>
          <w:p w14:paraId="30A6199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r>
              <w:rPr>
                <w:i w:val="0"/>
                <w:iCs w:val="0"/>
                <w:color w:val="auto"/>
                <w:sz w:val="24"/>
                <w:szCs w:val="24"/>
              </w:rPr>
              <w:t xml:space="preserve">姓名：           </w:t>
            </w:r>
          </w:p>
        </w:tc>
        <w:tc>
          <w:tcPr>
            <w:tcW w:w="746" w:type="dxa"/>
            <w:noWrap w:val="0"/>
            <w:vAlign w:val="center"/>
          </w:tcPr>
          <w:p w14:paraId="583565F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0D26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58" w:type="dxa"/>
            <w:noWrap w:val="0"/>
            <w:vAlign w:val="center"/>
          </w:tcPr>
          <w:p w14:paraId="20236315">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2</w:t>
            </w:r>
          </w:p>
        </w:tc>
        <w:tc>
          <w:tcPr>
            <w:tcW w:w="2169" w:type="dxa"/>
            <w:noWrap w:val="0"/>
            <w:vAlign w:val="center"/>
          </w:tcPr>
          <w:p w14:paraId="13BC4E3D">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工期</w:t>
            </w:r>
          </w:p>
        </w:tc>
        <w:tc>
          <w:tcPr>
            <w:tcW w:w="1992" w:type="dxa"/>
            <w:noWrap w:val="0"/>
            <w:vAlign w:val="center"/>
          </w:tcPr>
          <w:p w14:paraId="18BB8602">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rFonts w:hint="eastAsia" w:eastAsia="宋体"/>
                <w:i w:val="0"/>
                <w:iCs w:val="0"/>
                <w:color w:val="auto"/>
                <w:sz w:val="24"/>
                <w:szCs w:val="24"/>
                <w:lang w:eastAsia="zh-CN"/>
              </w:rPr>
            </w:pPr>
            <w:r>
              <w:rPr>
                <w:i w:val="0"/>
                <w:iCs w:val="0"/>
                <w:color w:val="auto"/>
                <w:sz w:val="24"/>
                <w:szCs w:val="24"/>
              </w:rPr>
              <w:t>1.1.4.</w:t>
            </w:r>
            <w:r>
              <w:rPr>
                <w:rFonts w:hint="eastAsia"/>
                <w:i w:val="0"/>
                <w:iCs w:val="0"/>
                <w:color w:val="auto"/>
                <w:sz w:val="24"/>
                <w:szCs w:val="24"/>
                <w:lang w:val="en-US" w:eastAsia="zh-CN"/>
              </w:rPr>
              <w:t>5</w:t>
            </w:r>
          </w:p>
        </w:tc>
        <w:tc>
          <w:tcPr>
            <w:tcW w:w="2535" w:type="dxa"/>
            <w:noWrap w:val="0"/>
            <w:vAlign w:val="center"/>
          </w:tcPr>
          <w:p w14:paraId="5F436F8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r>
              <w:rPr>
                <w:i w:val="0"/>
                <w:iCs w:val="0"/>
                <w:color w:val="auto"/>
                <w:sz w:val="24"/>
                <w:szCs w:val="24"/>
              </w:rPr>
              <w:t>天数：        日历天</w:t>
            </w:r>
          </w:p>
        </w:tc>
        <w:tc>
          <w:tcPr>
            <w:tcW w:w="746" w:type="dxa"/>
            <w:noWrap w:val="0"/>
            <w:vAlign w:val="center"/>
          </w:tcPr>
          <w:p w14:paraId="4FB5E9F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55A6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58" w:type="dxa"/>
            <w:noWrap w:val="0"/>
            <w:vAlign w:val="center"/>
          </w:tcPr>
          <w:p w14:paraId="511E729F">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3</w:t>
            </w:r>
          </w:p>
        </w:tc>
        <w:tc>
          <w:tcPr>
            <w:tcW w:w="2169" w:type="dxa"/>
            <w:noWrap w:val="0"/>
            <w:vAlign w:val="center"/>
          </w:tcPr>
          <w:p w14:paraId="5FFFA1D7">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缺陷责任期</w:t>
            </w:r>
          </w:p>
        </w:tc>
        <w:tc>
          <w:tcPr>
            <w:tcW w:w="1992" w:type="dxa"/>
            <w:noWrap w:val="0"/>
            <w:vAlign w:val="center"/>
          </w:tcPr>
          <w:p w14:paraId="516154AF">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rFonts w:hint="eastAsia" w:eastAsia="宋体"/>
                <w:i w:val="0"/>
                <w:iCs w:val="0"/>
                <w:color w:val="auto"/>
                <w:sz w:val="24"/>
                <w:szCs w:val="24"/>
                <w:lang w:eastAsia="zh-CN"/>
              </w:rPr>
            </w:pPr>
            <w:r>
              <w:rPr>
                <w:i w:val="0"/>
                <w:iCs w:val="0"/>
                <w:color w:val="auto"/>
                <w:sz w:val="24"/>
                <w:szCs w:val="24"/>
              </w:rPr>
              <w:t>1.1.4.</w:t>
            </w:r>
            <w:r>
              <w:rPr>
                <w:rFonts w:hint="eastAsia"/>
                <w:i w:val="0"/>
                <w:iCs w:val="0"/>
                <w:color w:val="auto"/>
                <w:sz w:val="24"/>
                <w:szCs w:val="24"/>
                <w:lang w:val="en-US" w:eastAsia="zh-CN"/>
              </w:rPr>
              <w:t>6</w:t>
            </w:r>
          </w:p>
        </w:tc>
        <w:tc>
          <w:tcPr>
            <w:tcW w:w="2535" w:type="dxa"/>
            <w:noWrap w:val="0"/>
            <w:vAlign w:val="center"/>
          </w:tcPr>
          <w:p w14:paraId="50B3BFE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746" w:type="dxa"/>
            <w:noWrap w:val="0"/>
            <w:vAlign w:val="center"/>
          </w:tcPr>
          <w:p w14:paraId="10192F5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58BB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58" w:type="dxa"/>
            <w:noWrap w:val="0"/>
            <w:vAlign w:val="center"/>
          </w:tcPr>
          <w:p w14:paraId="5D8922ED">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4</w:t>
            </w:r>
          </w:p>
        </w:tc>
        <w:tc>
          <w:tcPr>
            <w:tcW w:w="2169" w:type="dxa"/>
            <w:noWrap w:val="0"/>
            <w:vAlign w:val="center"/>
          </w:tcPr>
          <w:p w14:paraId="0C49B9B4">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分包</w:t>
            </w:r>
          </w:p>
        </w:tc>
        <w:tc>
          <w:tcPr>
            <w:tcW w:w="1992" w:type="dxa"/>
            <w:noWrap w:val="0"/>
            <w:vAlign w:val="center"/>
          </w:tcPr>
          <w:p w14:paraId="0E0E0CBA">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rFonts w:hint="eastAsia" w:eastAsia="宋体"/>
                <w:i w:val="0"/>
                <w:iCs w:val="0"/>
                <w:color w:val="auto"/>
                <w:sz w:val="24"/>
                <w:szCs w:val="24"/>
                <w:lang w:eastAsia="zh-CN"/>
              </w:rPr>
            </w:pPr>
            <w:r>
              <w:rPr>
                <w:i w:val="0"/>
                <w:iCs w:val="0"/>
                <w:color w:val="auto"/>
                <w:sz w:val="24"/>
                <w:szCs w:val="24"/>
              </w:rPr>
              <w:t>4.</w:t>
            </w:r>
            <w:r>
              <w:rPr>
                <w:rFonts w:hint="eastAsia"/>
                <w:i w:val="0"/>
                <w:iCs w:val="0"/>
                <w:color w:val="auto"/>
                <w:sz w:val="24"/>
                <w:szCs w:val="24"/>
                <w:lang w:val="en-US" w:eastAsia="zh-CN"/>
              </w:rPr>
              <w:t>5</w:t>
            </w:r>
          </w:p>
        </w:tc>
        <w:tc>
          <w:tcPr>
            <w:tcW w:w="2535" w:type="dxa"/>
            <w:noWrap w:val="0"/>
            <w:vAlign w:val="center"/>
          </w:tcPr>
          <w:p w14:paraId="658AEBC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746" w:type="dxa"/>
            <w:noWrap w:val="0"/>
            <w:vAlign w:val="center"/>
          </w:tcPr>
          <w:p w14:paraId="7F7126D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410B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58" w:type="dxa"/>
            <w:noWrap w:val="0"/>
            <w:vAlign w:val="top"/>
          </w:tcPr>
          <w:p w14:paraId="5CAC0057">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rFonts w:hint="eastAsia" w:eastAsia="宋体"/>
                <w:i w:val="0"/>
                <w:iCs w:val="0"/>
                <w:color w:val="auto"/>
                <w:sz w:val="24"/>
                <w:szCs w:val="24"/>
                <w:lang w:val="en-US" w:eastAsia="zh-CN"/>
              </w:rPr>
            </w:pPr>
          </w:p>
        </w:tc>
        <w:tc>
          <w:tcPr>
            <w:tcW w:w="2169" w:type="dxa"/>
            <w:noWrap w:val="0"/>
            <w:vAlign w:val="center"/>
          </w:tcPr>
          <w:p w14:paraId="43D331A2">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rFonts w:hint="default" w:eastAsia="宋体"/>
                <w:i w:val="0"/>
                <w:iCs w:val="0"/>
                <w:color w:val="auto"/>
                <w:sz w:val="24"/>
                <w:szCs w:val="24"/>
                <w:lang w:val="en-US" w:eastAsia="zh-CN"/>
              </w:rPr>
            </w:pPr>
          </w:p>
        </w:tc>
        <w:tc>
          <w:tcPr>
            <w:tcW w:w="1992" w:type="dxa"/>
            <w:noWrap w:val="0"/>
            <w:vAlign w:val="center"/>
          </w:tcPr>
          <w:p w14:paraId="5AAAE83D">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rFonts w:hint="default" w:eastAsia="宋体"/>
                <w:i w:val="0"/>
                <w:iCs w:val="0"/>
                <w:color w:val="auto"/>
                <w:sz w:val="24"/>
                <w:szCs w:val="24"/>
                <w:lang w:val="en-US" w:eastAsia="zh-CN"/>
              </w:rPr>
            </w:pPr>
          </w:p>
        </w:tc>
        <w:tc>
          <w:tcPr>
            <w:tcW w:w="2535" w:type="dxa"/>
            <w:noWrap w:val="0"/>
            <w:vAlign w:val="center"/>
          </w:tcPr>
          <w:p w14:paraId="4C901BB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746" w:type="dxa"/>
            <w:noWrap w:val="0"/>
            <w:vAlign w:val="center"/>
          </w:tcPr>
          <w:p w14:paraId="725F6C2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5B13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58" w:type="dxa"/>
            <w:noWrap w:val="0"/>
            <w:vAlign w:val="top"/>
          </w:tcPr>
          <w:p w14:paraId="38FCE039">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p>
        </w:tc>
        <w:tc>
          <w:tcPr>
            <w:tcW w:w="2169" w:type="dxa"/>
            <w:noWrap w:val="0"/>
            <w:vAlign w:val="center"/>
          </w:tcPr>
          <w:p w14:paraId="2C643387">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p>
        </w:tc>
        <w:tc>
          <w:tcPr>
            <w:tcW w:w="1992" w:type="dxa"/>
            <w:noWrap w:val="0"/>
            <w:vAlign w:val="center"/>
          </w:tcPr>
          <w:p w14:paraId="5DF495BB">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p>
        </w:tc>
        <w:tc>
          <w:tcPr>
            <w:tcW w:w="2535" w:type="dxa"/>
            <w:noWrap w:val="0"/>
            <w:vAlign w:val="center"/>
          </w:tcPr>
          <w:p w14:paraId="0EADFDD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746" w:type="dxa"/>
            <w:noWrap w:val="0"/>
            <w:vAlign w:val="center"/>
          </w:tcPr>
          <w:p w14:paraId="29106F7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6189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58" w:type="dxa"/>
            <w:noWrap w:val="0"/>
            <w:vAlign w:val="top"/>
          </w:tcPr>
          <w:p w14:paraId="0910A230">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w:t>
            </w:r>
          </w:p>
        </w:tc>
        <w:tc>
          <w:tcPr>
            <w:tcW w:w="2169" w:type="dxa"/>
            <w:noWrap w:val="0"/>
            <w:vAlign w:val="center"/>
          </w:tcPr>
          <w:p w14:paraId="26BA88D5">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w:t>
            </w:r>
          </w:p>
        </w:tc>
        <w:tc>
          <w:tcPr>
            <w:tcW w:w="1992" w:type="dxa"/>
            <w:noWrap w:val="0"/>
            <w:vAlign w:val="center"/>
          </w:tcPr>
          <w:p w14:paraId="05881E29">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w:t>
            </w:r>
          </w:p>
        </w:tc>
        <w:tc>
          <w:tcPr>
            <w:tcW w:w="2535" w:type="dxa"/>
            <w:noWrap w:val="0"/>
            <w:vAlign w:val="center"/>
          </w:tcPr>
          <w:p w14:paraId="634E992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w:t>
            </w:r>
          </w:p>
        </w:tc>
        <w:tc>
          <w:tcPr>
            <w:tcW w:w="746" w:type="dxa"/>
            <w:noWrap w:val="0"/>
            <w:vAlign w:val="center"/>
          </w:tcPr>
          <w:p w14:paraId="502F2A3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bl>
    <w:p w14:paraId="58D21CF2">
      <w:pPr>
        <w:pageBreakBefore w:val="0"/>
        <w:kinsoku/>
        <w:wordWrap w:val="0"/>
        <w:overflowPunct/>
        <w:bidi w:val="0"/>
        <w:spacing w:line="440" w:lineRule="exact"/>
        <w:ind w:left="840" w:leftChars="400" w:firstLine="2200" w:firstLineChars="1100"/>
        <w:rPr>
          <w:rFonts w:eastAsia="黑体"/>
          <w:i/>
          <w:iCs/>
          <w:color w:val="auto"/>
          <w:sz w:val="20"/>
          <w:szCs w:val="20"/>
        </w:rPr>
        <w:sectPr>
          <w:footerReference r:id="rId20"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177C69A2">
      <w:pPr>
        <w:keepNext w:val="0"/>
        <w:keepLines w:val="0"/>
        <w:pageBreakBefore w:val="0"/>
        <w:widowControl/>
        <w:tabs>
          <w:tab w:val="left" w:pos="136"/>
        </w:tabs>
        <w:kinsoku w:val="0"/>
        <w:wordWrap/>
        <w:overflowPunct/>
        <w:topLinePunct w:val="0"/>
        <w:autoSpaceDE w:val="0"/>
        <w:autoSpaceDN w:val="0"/>
        <w:bidi w:val="0"/>
        <w:adjustRightInd w:val="0"/>
        <w:snapToGrid w:val="0"/>
        <w:spacing w:line="400" w:lineRule="exact"/>
        <w:ind w:right="0"/>
        <w:jc w:val="center"/>
        <w:textAlignment w:val="baseline"/>
        <w:outlineLvl w:val="2"/>
        <w:rPr>
          <w:rFonts w:hint="eastAsia" w:ascii="宋体" w:hAnsi="宋体" w:eastAsia="宋体" w:cs="宋体"/>
          <w:b/>
          <w:bCs/>
          <w:i w:val="0"/>
          <w:iCs w:val="0"/>
          <w:color w:val="auto"/>
          <w:spacing w:val="8"/>
          <w:sz w:val="28"/>
          <w:szCs w:val="28"/>
        </w:rPr>
      </w:pPr>
      <w:bookmarkStart w:id="3173" w:name="_Toc14793"/>
      <w:r>
        <w:rPr>
          <w:rFonts w:hint="eastAsia" w:ascii="宋体" w:hAnsi="宋体" w:eastAsia="宋体" w:cs="宋体"/>
          <w:b/>
          <w:bCs/>
          <w:i w:val="0"/>
          <w:iCs w:val="0"/>
          <w:color w:val="auto"/>
          <w:spacing w:val="8"/>
          <w:sz w:val="28"/>
          <w:szCs w:val="28"/>
        </w:rPr>
        <w:t>投标承诺书</w:t>
      </w:r>
      <w:bookmarkEnd w:id="3173"/>
    </w:p>
    <w:p w14:paraId="0F495F88">
      <w:pPr>
        <w:keepNext w:val="0"/>
        <w:keepLines w:val="0"/>
        <w:pageBreakBefore w:val="0"/>
        <w:widowControl/>
        <w:tabs>
          <w:tab w:val="left" w:pos="136"/>
        </w:tabs>
        <w:kinsoku w:val="0"/>
        <w:wordWrap/>
        <w:overflowPunct/>
        <w:topLinePunct w:val="0"/>
        <w:autoSpaceDE w:val="0"/>
        <w:autoSpaceDN w:val="0"/>
        <w:bidi w:val="0"/>
        <w:adjustRightInd w:val="0"/>
        <w:snapToGrid w:val="0"/>
        <w:spacing w:before="60" w:line="400" w:lineRule="exact"/>
        <w:ind w:left="0" w:leftChars="0" w:right="3662" w:firstLine="0" w:firstLineChars="0"/>
        <w:jc w:val="both"/>
        <w:textAlignment w:val="baseline"/>
        <w:rPr>
          <w:rFonts w:hint="eastAsia" w:ascii="宋体" w:hAnsi="宋体" w:eastAsia="宋体" w:cs="宋体"/>
          <w:i w:val="0"/>
          <w:iCs w:val="0"/>
          <w:color w:val="auto"/>
          <w:sz w:val="24"/>
          <w:szCs w:val="24"/>
        </w:rPr>
      </w:pPr>
      <w:r>
        <w:rPr>
          <w:rFonts w:hint="eastAsia" w:ascii="宋体" w:hAnsi="宋体" w:eastAsia="宋体" w:cs="宋体"/>
          <w:i/>
          <w:iCs/>
          <w:color w:val="auto"/>
          <w:spacing w:val="-2"/>
          <w:sz w:val="24"/>
          <w:szCs w:val="24"/>
          <w:u w:val="single" w:color="auto"/>
        </w:rPr>
        <w:t>（招标人名称）</w:t>
      </w:r>
      <w:r>
        <w:rPr>
          <w:rFonts w:hint="eastAsia" w:ascii="宋体" w:hAnsi="宋体" w:eastAsia="宋体" w:cs="宋体"/>
          <w:i w:val="0"/>
          <w:iCs w:val="0"/>
          <w:color w:val="auto"/>
          <w:sz w:val="24"/>
          <w:szCs w:val="24"/>
        </w:rPr>
        <w:t>：</w:t>
      </w:r>
    </w:p>
    <w:p w14:paraId="4004F56A">
      <w:pPr>
        <w:keepNext w:val="0"/>
        <w:keepLines w:val="0"/>
        <w:pageBreakBefore w:val="0"/>
        <w:widowControl/>
        <w:kinsoku w:val="0"/>
        <w:wordWrap/>
        <w:overflowPunct/>
        <w:topLinePunct w:val="0"/>
        <w:autoSpaceDE w:val="0"/>
        <w:autoSpaceDN w:val="0"/>
        <w:bidi w:val="0"/>
        <w:adjustRightInd w:val="0"/>
        <w:snapToGrid w:val="0"/>
        <w:spacing w:line="400" w:lineRule="exact"/>
        <w:ind w:left="11" w:right="235" w:firstLine="472" w:firstLineChars="200"/>
        <w:jc w:val="both"/>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2"/>
          <w:sz w:val="24"/>
          <w:szCs w:val="24"/>
        </w:rPr>
        <w:t>本公司已详细阅读</w:t>
      </w:r>
      <w:r>
        <w:rPr>
          <w:rFonts w:hint="eastAsia" w:ascii="宋体" w:hAnsi="宋体" w:eastAsia="宋体" w:cs="宋体"/>
          <w:i/>
          <w:iCs/>
          <w:color w:val="auto"/>
          <w:spacing w:val="-2"/>
          <w:sz w:val="24"/>
          <w:szCs w:val="24"/>
          <w:u w:val="single" w:color="auto"/>
        </w:rPr>
        <w:t>（项目名称及招标编号）</w:t>
      </w:r>
      <w:r>
        <w:rPr>
          <w:rFonts w:hint="eastAsia" w:ascii="宋体" w:hAnsi="宋体" w:eastAsia="宋体" w:cs="宋体"/>
          <w:i w:val="0"/>
          <w:iCs w:val="0"/>
          <w:color w:val="auto"/>
          <w:spacing w:val="-2"/>
          <w:sz w:val="24"/>
          <w:szCs w:val="24"/>
        </w:rPr>
        <w:t>招标文件，自觉遵守</w:t>
      </w:r>
      <w:r>
        <w:rPr>
          <w:rFonts w:hint="eastAsia" w:ascii="宋体" w:hAnsi="宋体" w:eastAsia="宋体" w:cs="宋体"/>
          <w:i w:val="0"/>
          <w:iCs w:val="0"/>
          <w:color w:val="auto"/>
          <w:sz w:val="24"/>
          <w:szCs w:val="24"/>
        </w:rPr>
        <w:t>招标投标的</w:t>
      </w:r>
      <w:r>
        <w:rPr>
          <w:rFonts w:hint="eastAsia" w:ascii="宋体" w:hAnsi="宋体" w:eastAsia="宋体" w:cs="宋体"/>
          <w:i w:val="0"/>
          <w:iCs w:val="0"/>
          <w:color w:val="auto"/>
          <w:spacing w:val="-2"/>
          <w:sz w:val="24"/>
          <w:szCs w:val="24"/>
          <w:lang w:eastAsia="zh-CN"/>
        </w:rPr>
        <w:t>相</w:t>
      </w:r>
      <w:r>
        <w:rPr>
          <w:rFonts w:hint="eastAsia" w:ascii="宋体" w:hAnsi="宋体" w:eastAsia="宋体" w:cs="宋体"/>
          <w:i w:val="0"/>
          <w:iCs w:val="0"/>
          <w:color w:val="auto"/>
          <w:sz w:val="24"/>
          <w:szCs w:val="24"/>
        </w:rPr>
        <w:t>关法律</w:t>
      </w:r>
      <w:r>
        <w:rPr>
          <w:rFonts w:hint="eastAsia" w:ascii="宋体" w:hAnsi="宋体" w:eastAsia="宋体" w:cs="宋体"/>
          <w:i w:val="0"/>
          <w:iCs w:val="0"/>
          <w:color w:val="auto"/>
          <w:spacing w:val="-1"/>
          <w:sz w:val="24"/>
          <w:szCs w:val="24"/>
        </w:rPr>
        <w:t>法规规定，自觉维护建筑市场正常秩序，现自愿就参加该工程投标有关事项郑重承诺如下：</w:t>
      </w:r>
    </w:p>
    <w:p w14:paraId="2B5AE12A">
      <w:pPr>
        <w:keepNext w:val="0"/>
        <w:keepLines w:val="0"/>
        <w:pageBreakBefore w:val="0"/>
        <w:widowControl/>
        <w:kinsoku w:val="0"/>
        <w:wordWrap/>
        <w:overflowPunct/>
        <w:topLinePunct w:val="0"/>
        <w:autoSpaceDE w:val="0"/>
        <w:autoSpaceDN w:val="0"/>
        <w:bidi w:val="0"/>
        <w:adjustRightInd w:val="0"/>
        <w:snapToGrid w:val="0"/>
        <w:spacing w:before="34" w:line="400" w:lineRule="exact"/>
        <w:ind w:left="33" w:right="173" w:firstLine="448"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8"/>
          <w:sz w:val="24"/>
          <w:szCs w:val="24"/>
        </w:rPr>
        <w:t>1.承诺投标文件无虚假、伪造的内容。若投标文件中存在虚假、伪造的内容，</w:t>
      </w:r>
      <w:r>
        <w:rPr>
          <w:rFonts w:hint="eastAsia" w:ascii="宋体" w:hAnsi="宋体" w:eastAsia="宋体" w:cs="宋体"/>
          <w:i w:val="0"/>
          <w:iCs w:val="0"/>
          <w:color w:val="auto"/>
          <w:spacing w:val="-4"/>
          <w:sz w:val="24"/>
          <w:szCs w:val="24"/>
        </w:rPr>
        <w:t>同意作无效投标处理。</w:t>
      </w:r>
    </w:p>
    <w:p w14:paraId="2B9B3F8E">
      <w:pPr>
        <w:keepNext w:val="0"/>
        <w:keepLines w:val="0"/>
        <w:pageBreakBefore w:val="0"/>
        <w:widowControl/>
        <w:kinsoku w:val="0"/>
        <w:wordWrap/>
        <w:overflowPunct/>
        <w:topLinePunct w:val="0"/>
        <w:autoSpaceDE w:val="0"/>
        <w:autoSpaceDN w:val="0"/>
        <w:bidi w:val="0"/>
        <w:adjustRightInd w:val="0"/>
        <w:snapToGrid w:val="0"/>
        <w:spacing w:before="31" w:line="400" w:lineRule="exact"/>
        <w:ind w:left="10" w:right="237" w:firstLine="484"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2.承诺我单位法定代表人、拟派</w:t>
      </w:r>
      <w:r>
        <w:rPr>
          <w:rFonts w:hint="eastAsia" w:ascii="宋体" w:hAnsi="宋体" w:eastAsia="宋体" w:cs="宋体"/>
          <w:i w:val="0"/>
          <w:iCs w:val="0"/>
          <w:color w:val="auto"/>
          <w:spacing w:val="1"/>
          <w:sz w:val="24"/>
          <w:szCs w:val="24"/>
          <w:lang w:eastAsia="zh-CN"/>
        </w:rPr>
        <w:t>项目经理</w:t>
      </w:r>
      <w:r>
        <w:rPr>
          <w:rFonts w:hint="eastAsia" w:ascii="宋体" w:hAnsi="宋体" w:eastAsia="宋体" w:cs="宋体"/>
          <w:i w:val="0"/>
          <w:iCs w:val="0"/>
          <w:color w:val="auto"/>
          <w:spacing w:val="1"/>
          <w:sz w:val="24"/>
          <w:szCs w:val="24"/>
        </w:rPr>
        <w:t>、授权代表等主要责任人诚</w:t>
      </w:r>
      <w:r>
        <w:rPr>
          <w:rFonts w:hint="eastAsia" w:ascii="宋体" w:hAnsi="宋体" w:eastAsia="宋体" w:cs="宋体"/>
          <w:i w:val="0"/>
          <w:iCs w:val="0"/>
          <w:color w:val="auto"/>
          <w:sz w:val="24"/>
          <w:szCs w:val="24"/>
        </w:rPr>
        <w:t>信投</w:t>
      </w:r>
      <w:r>
        <w:rPr>
          <w:rFonts w:hint="eastAsia" w:ascii="宋体" w:hAnsi="宋体" w:eastAsia="宋体" w:cs="宋体"/>
          <w:i w:val="0"/>
          <w:iCs w:val="0"/>
          <w:color w:val="auto"/>
          <w:spacing w:val="-6"/>
          <w:sz w:val="24"/>
          <w:szCs w:val="24"/>
        </w:rPr>
        <w:t>标</w:t>
      </w:r>
      <w:r>
        <w:rPr>
          <w:rFonts w:hint="eastAsia" w:ascii="宋体" w:hAnsi="宋体" w:eastAsia="宋体" w:cs="宋体"/>
          <w:i w:val="0"/>
          <w:iCs w:val="0"/>
          <w:color w:val="auto"/>
          <w:spacing w:val="-6"/>
          <w:sz w:val="24"/>
          <w:szCs w:val="24"/>
          <w:lang w:eastAsia="zh-CN"/>
        </w:rPr>
        <w:t>。</w:t>
      </w:r>
    </w:p>
    <w:p w14:paraId="0A6FEC8E">
      <w:pPr>
        <w:keepNext w:val="0"/>
        <w:keepLines w:val="0"/>
        <w:pageBreakBefore w:val="0"/>
        <w:widowControl/>
        <w:kinsoku w:val="0"/>
        <w:wordWrap/>
        <w:overflowPunct/>
        <w:topLinePunct w:val="0"/>
        <w:autoSpaceDE w:val="0"/>
        <w:autoSpaceDN w:val="0"/>
        <w:bidi w:val="0"/>
        <w:adjustRightInd w:val="0"/>
        <w:snapToGrid w:val="0"/>
        <w:spacing w:before="35" w:line="400" w:lineRule="exact"/>
        <w:ind w:left="10" w:right="235" w:firstLine="484" w:firstLineChars="200"/>
        <w:jc w:val="both"/>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3.承诺无串通投标行为，若与其他投标人存在投标文件异常一致、内容</w:t>
      </w:r>
      <w:r>
        <w:rPr>
          <w:rFonts w:hint="eastAsia" w:ascii="宋体" w:hAnsi="宋体" w:eastAsia="宋体" w:cs="宋体"/>
          <w:i w:val="0"/>
          <w:iCs w:val="0"/>
          <w:color w:val="auto"/>
          <w:sz w:val="24"/>
          <w:szCs w:val="24"/>
        </w:rPr>
        <w:t>多处</w:t>
      </w:r>
      <w:r>
        <w:rPr>
          <w:rFonts w:hint="eastAsia" w:ascii="宋体" w:hAnsi="宋体" w:eastAsia="宋体" w:cs="宋体"/>
          <w:i w:val="0"/>
          <w:iCs w:val="0"/>
          <w:color w:val="auto"/>
          <w:spacing w:val="-1"/>
          <w:sz w:val="24"/>
          <w:szCs w:val="24"/>
        </w:rPr>
        <w:t>雷同</w:t>
      </w:r>
      <w:r>
        <w:rPr>
          <w:rFonts w:hint="eastAsia" w:ascii="宋体" w:hAnsi="宋体" w:eastAsia="宋体" w:cs="宋体"/>
          <w:i w:val="0"/>
          <w:iCs w:val="0"/>
          <w:color w:val="auto"/>
          <w:spacing w:val="-1"/>
          <w:sz w:val="24"/>
          <w:szCs w:val="24"/>
          <w:lang w:eastAsia="zh-CN"/>
        </w:rPr>
        <w:t>、文件制作机器码或创建标识码相同的</w:t>
      </w:r>
      <w:r>
        <w:rPr>
          <w:rFonts w:hint="eastAsia" w:ascii="宋体" w:hAnsi="宋体" w:eastAsia="宋体" w:cs="宋体"/>
          <w:i w:val="0"/>
          <w:iCs w:val="0"/>
          <w:color w:val="auto"/>
          <w:spacing w:val="-1"/>
          <w:sz w:val="24"/>
          <w:szCs w:val="24"/>
        </w:rPr>
        <w:t>情况，同意作无</w:t>
      </w:r>
      <w:r>
        <w:rPr>
          <w:rFonts w:hint="eastAsia" w:ascii="宋体" w:hAnsi="宋体" w:eastAsia="宋体" w:cs="宋体"/>
          <w:i w:val="0"/>
          <w:iCs w:val="0"/>
          <w:color w:val="auto"/>
          <w:spacing w:val="-2"/>
          <w:sz w:val="24"/>
          <w:szCs w:val="24"/>
        </w:rPr>
        <w:t>效投标处理，并接受有关行政</w:t>
      </w:r>
      <w:r>
        <w:rPr>
          <w:rFonts w:hint="eastAsia" w:ascii="宋体" w:hAnsi="宋体" w:eastAsia="宋体" w:cs="宋体"/>
          <w:i w:val="0"/>
          <w:iCs w:val="0"/>
          <w:color w:val="auto"/>
          <w:spacing w:val="-1"/>
          <w:sz w:val="24"/>
          <w:szCs w:val="24"/>
        </w:rPr>
        <w:t>监督部门的调查和处罚。</w:t>
      </w:r>
    </w:p>
    <w:p w14:paraId="63B97A76">
      <w:pPr>
        <w:keepNext w:val="0"/>
        <w:keepLines w:val="0"/>
        <w:pageBreakBefore w:val="0"/>
        <w:widowControl/>
        <w:kinsoku w:val="0"/>
        <w:wordWrap/>
        <w:overflowPunct/>
        <w:topLinePunct w:val="0"/>
        <w:autoSpaceDE w:val="0"/>
        <w:autoSpaceDN w:val="0"/>
        <w:bidi w:val="0"/>
        <w:adjustRightInd w:val="0"/>
        <w:snapToGrid w:val="0"/>
        <w:spacing w:before="33" w:line="400" w:lineRule="exact"/>
        <w:ind w:left="8" w:right="237" w:firstLine="484"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4.承诺无恶意报价行为，若被认定存在严重哄抬标价或影响合同履行的异常</w:t>
      </w:r>
      <w:r>
        <w:rPr>
          <w:rFonts w:hint="eastAsia" w:ascii="宋体" w:hAnsi="宋体" w:eastAsia="宋体" w:cs="宋体"/>
          <w:i w:val="0"/>
          <w:iCs w:val="0"/>
          <w:color w:val="auto"/>
          <w:sz w:val="24"/>
          <w:szCs w:val="24"/>
        </w:rPr>
        <w:t>低价竞标行为，同意作无效投标处理，并接受有关行政监</w:t>
      </w:r>
      <w:r>
        <w:rPr>
          <w:rFonts w:hint="eastAsia" w:ascii="宋体" w:hAnsi="宋体" w:eastAsia="宋体" w:cs="宋体"/>
          <w:i w:val="0"/>
          <w:iCs w:val="0"/>
          <w:color w:val="auto"/>
          <w:spacing w:val="-1"/>
          <w:sz w:val="24"/>
          <w:szCs w:val="24"/>
        </w:rPr>
        <w:t>督部门的调查和处罚。</w:t>
      </w:r>
    </w:p>
    <w:p w14:paraId="08EB2E9B">
      <w:pPr>
        <w:keepNext w:val="0"/>
        <w:keepLines w:val="0"/>
        <w:pageBreakBefore w:val="0"/>
        <w:widowControl/>
        <w:kinsoku w:val="0"/>
        <w:wordWrap/>
        <w:overflowPunct/>
        <w:topLinePunct w:val="0"/>
        <w:autoSpaceDE w:val="0"/>
        <w:autoSpaceDN w:val="0"/>
        <w:bidi w:val="0"/>
        <w:adjustRightInd w:val="0"/>
        <w:snapToGrid w:val="0"/>
        <w:spacing w:before="38" w:line="400" w:lineRule="exact"/>
        <w:ind w:left="16" w:right="202" w:firstLine="456"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6"/>
          <w:sz w:val="24"/>
          <w:szCs w:val="24"/>
        </w:rPr>
        <w:t>5.承诺按照投标文件派驻管理人员及投入机械设备，若存在不到位的情况，同</w:t>
      </w:r>
      <w:r>
        <w:rPr>
          <w:rFonts w:hint="eastAsia" w:ascii="宋体" w:hAnsi="宋体" w:eastAsia="宋体" w:cs="宋体"/>
          <w:i w:val="0"/>
          <w:iCs w:val="0"/>
          <w:color w:val="auto"/>
          <w:spacing w:val="-11"/>
          <w:sz w:val="24"/>
          <w:szCs w:val="24"/>
        </w:rPr>
        <w:t>意接受合同约定的处罚。若严重影响合同履约的，同意接受招</w:t>
      </w:r>
      <w:r>
        <w:rPr>
          <w:rFonts w:hint="eastAsia" w:ascii="宋体" w:hAnsi="宋体" w:eastAsia="宋体" w:cs="宋体"/>
          <w:i w:val="0"/>
          <w:iCs w:val="0"/>
          <w:color w:val="auto"/>
          <w:spacing w:val="-12"/>
          <w:sz w:val="24"/>
          <w:szCs w:val="24"/>
        </w:rPr>
        <w:t>标人解除合同的要求。</w:t>
      </w:r>
    </w:p>
    <w:p w14:paraId="0194528B">
      <w:pPr>
        <w:keepNext w:val="0"/>
        <w:keepLines w:val="0"/>
        <w:pageBreakBefore w:val="0"/>
        <w:widowControl/>
        <w:kinsoku w:val="0"/>
        <w:wordWrap/>
        <w:overflowPunct/>
        <w:topLinePunct w:val="0"/>
        <w:autoSpaceDE w:val="0"/>
        <w:autoSpaceDN w:val="0"/>
        <w:bidi w:val="0"/>
        <w:adjustRightInd w:val="0"/>
        <w:snapToGrid w:val="0"/>
        <w:spacing w:before="34" w:line="400" w:lineRule="exact"/>
        <w:ind w:left="8" w:right="235" w:firstLine="484"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6.承诺本项目拟派</w:t>
      </w:r>
      <w:r>
        <w:rPr>
          <w:rFonts w:hint="eastAsia" w:ascii="宋体" w:hAnsi="宋体" w:eastAsia="宋体" w:cs="宋体"/>
          <w:i w:val="0"/>
          <w:iCs w:val="0"/>
          <w:color w:val="auto"/>
          <w:spacing w:val="1"/>
          <w:sz w:val="24"/>
          <w:szCs w:val="24"/>
          <w:lang w:eastAsia="zh-CN"/>
        </w:rPr>
        <w:t>项目经理</w:t>
      </w:r>
      <w:r>
        <w:rPr>
          <w:rFonts w:hint="eastAsia" w:ascii="宋体" w:hAnsi="宋体" w:eastAsia="宋体" w:cs="宋体"/>
          <w:i w:val="0"/>
          <w:iCs w:val="0"/>
          <w:color w:val="auto"/>
          <w:spacing w:val="1"/>
          <w:sz w:val="24"/>
          <w:szCs w:val="24"/>
        </w:rPr>
        <w:t>在投标截止日无在其他任何在建合同工程上担</w:t>
      </w:r>
      <w:r>
        <w:rPr>
          <w:rFonts w:hint="eastAsia" w:ascii="宋体" w:hAnsi="宋体" w:eastAsia="宋体" w:cs="宋体"/>
          <w:i w:val="0"/>
          <w:iCs w:val="0"/>
          <w:color w:val="auto"/>
          <w:spacing w:val="-1"/>
          <w:sz w:val="24"/>
          <w:szCs w:val="24"/>
        </w:rPr>
        <w:t>任</w:t>
      </w:r>
      <w:r>
        <w:rPr>
          <w:rFonts w:hint="eastAsia" w:ascii="宋体" w:hAnsi="宋体" w:eastAsia="宋体" w:cs="宋体"/>
          <w:i w:val="0"/>
          <w:iCs w:val="0"/>
          <w:color w:val="auto"/>
          <w:spacing w:val="-1"/>
          <w:sz w:val="24"/>
          <w:szCs w:val="24"/>
          <w:lang w:eastAsia="zh-CN"/>
        </w:rPr>
        <w:t>项目经理</w:t>
      </w:r>
      <w:r>
        <w:rPr>
          <w:rFonts w:hint="eastAsia" w:ascii="宋体" w:hAnsi="宋体" w:eastAsia="宋体" w:cs="宋体"/>
          <w:i w:val="0"/>
          <w:iCs w:val="0"/>
          <w:color w:val="auto"/>
          <w:spacing w:val="-1"/>
          <w:sz w:val="24"/>
          <w:szCs w:val="24"/>
        </w:rPr>
        <w:t>（包括工程总承包项目中的施工负责人）的情形。</w:t>
      </w:r>
    </w:p>
    <w:p w14:paraId="02DCBC92">
      <w:pPr>
        <w:keepNext w:val="0"/>
        <w:keepLines w:val="0"/>
        <w:pageBreakBefore w:val="0"/>
        <w:widowControl/>
        <w:kinsoku w:val="0"/>
        <w:wordWrap/>
        <w:overflowPunct/>
        <w:topLinePunct w:val="0"/>
        <w:autoSpaceDE w:val="0"/>
        <w:autoSpaceDN w:val="0"/>
        <w:bidi w:val="0"/>
        <w:adjustRightInd w:val="0"/>
        <w:snapToGrid w:val="0"/>
        <w:spacing w:before="35" w:line="400" w:lineRule="exact"/>
        <w:ind w:left="9" w:firstLine="480" w:firstLineChars="200"/>
        <w:textAlignment w:val="baseline"/>
        <w:rPr>
          <w:rFonts w:hint="eastAsia" w:ascii="宋体" w:hAnsi="宋体" w:eastAsia="宋体" w:cs="宋体"/>
          <w:i w:val="0"/>
          <w:iCs w:val="0"/>
          <w:color w:val="auto"/>
          <w:spacing w:val="-2"/>
          <w:sz w:val="24"/>
          <w:szCs w:val="24"/>
        </w:rPr>
      </w:pPr>
      <w:r>
        <w:rPr>
          <w:rFonts w:hint="eastAsia" w:ascii="宋体" w:hAnsi="宋体" w:eastAsia="宋体" w:cs="宋体"/>
          <w:i w:val="0"/>
          <w:iCs w:val="0"/>
          <w:color w:val="auto"/>
          <w:sz w:val="24"/>
          <w:szCs w:val="24"/>
          <w:lang w:val="en-US" w:eastAsia="zh-CN"/>
        </w:rPr>
        <w:t>7</w:t>
      </w:r>
      <w:r>
        <w:rPr>
          <w:rFonts w:hint="eastAsia" w:ascii="宋体" w:hAnsi="宋体" w:eastAsia="宋体" w:cs="宋体"/>
          <w:i w:val="0"/>
          <w:iCs w:val="0"/>
          <w:color w:val="auto"/>
          <w:sz w:val="24"/>
          <w:szCs w:val="24"/>
        </w:rPr>
        <w:t>.承诺我单位</w:t>
      </w:r>
      <w:r>
        <w:rPr>
          <w:rFonts w:hint="eastAsia" w:ascii="宋体" w:hAnsi="宋体" w:eastAsia="宋体" w:cs="宋体"/>
          <w:i w:val="0"/>
          <w:iCs w:val="0"/>
          <w:color w:val="auto"/>
          <w:spacing w:val="1"/>
          <w:sz w:val="24"/>
          <w:szCs w:val="24"/>
        </w:rPr>
        <w:t>对企业资质、人员资格、项目状况、信用评价等信息的真实性、准</w:t>
      </w:r>
      <w:r>
        <w:rPr>
          <w:rFonts w:hint="eastAsia" w:ascii="宋体" w:hAnsi="宋体" w:eastAsia="宋体" w:cs="宋体"/>
          <w:i w:val="0"/>
          <w:iCs w:val="0"/>
          <w:color w:val="auto"/>
          <w:spacing w:val="-2"/>
          <w:sz w:val="24"/>
          <w:szCs w:val="24"/>
        </w:rPr>
        <w:t>确性、完整性负责。</w:t>
      </w:r>
    </w:p>
    <w:p w14:paraId="70CDAE8A">
      <w:pPr>
        <w:keepNext w:val="0"/>
        <w:keepLines w:val="0"/>
        <w:pageBreakBefore w:val="0"/>
        <w:widowControl/>
        <w:kinsoku w:val="0"/>
        <w:wordWrap/>
        <w:overflowPunct/>
        <w:topLinePunct w:val="0"/>
        <w:autoSpaceDE w:val="0"/>
        <w:autoSpaceDN w:val="0"/>
        <w:bidi w:val="0"/>
        <w:adjustRightInd w:val="0"/>
        <w:snapToGrid w:val="0"/>
        <w:spacing w:before="35" w:line="400" w:lineRule="exact"/>
        <w:ind w:left="9" w:firstLine="472" w:firstLineChars="200"/>
        <w:textAlignment w:val="baseline"/>
        <w:rPr>
          <w:rFonts w:hint="eastAsia" w:ascii="宋体" w:hAnsi="宋体" w:eastAsia="宋体" w:cs="宋体"/>
          <w:i w:val="0"/>
          <w:iCs w:val="0"/>
          <w:color w:val="auto"/>
          <w:spacing w:val="-2"/>
          <w:sz w:val="24"/>
          <w:szCs w:val="24"/>
          <w:lang w:val="en-US" w:eastAsia="zh-CN"/>
        </w:rPr>
      </w:pPr>
      <w:r>
        <w:rPr>
          <w:rFonts w:hint="eastAsia" w:ascii="宋体" w:hAnsi="宋体" w:cs="宋体"/>
          <w:i w:val="0"/>
          <w:iCs w:val="0"/>
          <w:color w:val="auto"/>
          <w:spacing w:val="-2"/>
          <w:sz w:val="24"/>
          <w:szCs w:val="24"/>
          <w:lang w:val="en-US" w:eastAsia="zh-CN"/>
        </w:rPr>
        <w:t>8.承诺我单位不存在被</w:t>
      </w:r>
      <w:r>
        <w:rPr>
          <w:rFonts w:hint="eastAsia" w:cs="Times New Roman"/>
          <w:color w:val="auto"/>
          <w:sz w:val="24"/>
          <w:szCs w:val="24"/>
          <w:highlight w:val="none"/>
        </w:rPr>
        <w:t>本次招标项目所在地县级以上主管部门依法限制投标且在限制期内的</w:t>
      </w:r>
      <w:r>
        <w:rPr>
          <w:rFonts w:hint="eastAsia" w:cs="Times New Roman"/>
          <w:color w:val="auto"/>
          <w:sz w:val="24"/>
          <w:szCs w:val="24"/>
          <w:highlight w:val="none"/>
          <w:lang w:eastAsia="zh-CN"/>
        </w:rPr>
        <w:t>情形。</w:t>
      </w:r>
    </w:p>
    <w:p w14:paraId="02C846CD">
      <w:pPr>
        <w:keepNext w:val="0"/>
        <w:keepLines w:val="0"/>
        <w:pageBreakBefore w:val="0"/>
        <w:widowControl/>
        <w:kinsoku w:val="0"/>
        <w:wordWrap/>
        <w:overflowPunct/>
        <w:topLinePunct w:val="0"/>
        <w:autoSpaceDE w:val="0"/>
        <w:autoSpaceDN w:val="0"/>
        <w:bidi w:val="0"/>
        <w:adjustRightInd w:val="0"/>
        <w:snapToGrid w:val="0"/>
        <w:spacing w:before="33" w:line="400" w:lineRule="exact"/>
        <w:ind w:left="12" w:right="235" w:firstLine="484" w:firstLineChars="200"/>
        <w:textAlignment w:val="baseline"/>
        <w:rPr>
          <w:rFonts w:hint="eastAsia" w:ascii="宋体" w:hAnsi="宋体" w:eastAsia="宋体" w:cs="宋体"/>
          <w:i w:val="0"/>
          <w:iCs w:val="0"/>
          <w:color w:val="auto"/>
          <w:spacing w:val="-1"/>
          <w:sz w:val="24"/>
          <w:szCs w:val="24"/>
        </w:rPr>
      </w:pPr>
      <w:r>
        <w:rPr>
          <w:rFonts w:hint="eastAsia" w:ascii="宋体" w:hAnsi="宋体" w:cs="宋体"/>
          <w:i w:val="0"/>
          <w:iCs w:val="0"/>
          <w:color w:val="auto"/>
          <w:spacing w:val="1"/>
          <w:sz w:val="24"/>
          <w:szCs w:val="24"/>
          <w:lang w:val="en-US" w:eastAsia="zh-CN"/>
        </w:rPr>
        <w:t>9</w:t>
      </w:r>
      <w:r>
        <w:rPr>
          <w:rFonts w:hint="eastAsia" w:ascii="宋体" w:hAnsi="宋体" w:eastAsia="宋体" w:cs="宋体"/>
          <w:i w:val="0"/>
          <w:iCs w:val="0"/>
          <w:color w:val="auto"/>
          <w:spacing w:val="1"/>
          <w:sz w:val="24"/>
          <w:szCs w:val="24"/>
        </w:rPr>
        <w:t>.承诺本招标文件要求的人员和单位没有被人民法院列入限制失信被执行人</w:t>
      </w:r>
      <w:r>
        <w:rPr>
          <w:rFonts w:hint="eastAsia" w:ascii="宋体" w:hAnsi="宋体" w:eastAsia="宋体" w:cs="宋体"/>
          <w:i w:val="0"/>
          <w:iCs w:val="0"/>
          <w:color w:val="auto"/>
          <w:spacing w:val="-1"/>
          <w:sz w:val="24"/>
          <w:szCs w:val="24"/>
        </w:rPr>
        <w:t>名单。</w:t>
      </w:r>
    </w:p>
    <w:p w14:paraId="44F4D248">
      <w:pPr>
        <w:keepNext w:val="0"/>
        <w:keepLines w:val="0"/>
        <w:pageBreakBefore w:val="0"/>
        <w:widowControl/>
        <w:kinsoku w:val="0"/>
        <w:wordWrap/>
        <w:overflowPunct/>
        <w:topLinePunct w:val="0"/>
        <w:autoSpaceDE w:val="0"/>
        <w:autoSpaceDN w:val="0"/>
        <w:bidi w:val="0"/>
        <w:adjustRightInd w:val="0"/>
        <w:snapToGrid w:val="0"/>
        <w:spacing w:before="33" w:line="400" w:lineRule="exact"/>
        <w:ind w:left="12" w:right="235" w:firstLine="476" w:firstLineChars="200"/>
        <w:textAlignment w:val="baseline"/>
        <w:rPr>
          <w:rFonts w:hint="eastAsia" w:ascii="宋体" w:hAnsi="宋体" w:eastAsia="宋体" w:cs="宋体"/>
          <w:i w:val="0"/>
          <w:iCs w:val="0"/>
          <w:color w:val="auto"/>
          <w:spacing w:val="-2"/>
          <w:sz w:val="24"/>
          <w:szCs w:val="24"/>
          <w:u w:val="single"/>
          <w:lang w:val="en-US" w:eastAsia="zh-CN"/>
        </w:rPr>
      </w:pPr>
      <w:r>
        <w:rPr>
          <w:rFonts w:hint="eastAsia" w:ascii="宋体" w:hAnsi="宋体" w:cs="宋体"/>
          <w:i w:val="0"/>
          <w:iCs w:val="0"/>
          <w:color w:val="auto"/>
          <w:spacing w:val="-1"/>
          <w:sz w:val="24"/>
          <w:szCs w:val="24"/>
          <w:lang w:val="en-US" w:eastAsia="zh-CN"/>
        </w:rPr>
        <w:t>10</w:t>
      </w:r>
      <w:r>
        <w:rPr>
          <w:rFonts w:hint="eastAsia" w:ascii="宋体" w:hAnsi="宋体" w:eastAsia="宋体" w:cs="宋体"/>
          <w:i w:val="0"/>
          <w:iCs w:val="0"/>
          <w:color w:val="auto"/>
          <w:spacing w:val="-1"/>
          <w:sz w:val="24"/>
          <w:szCs w:val="24"/>
        </w:rPr>
        <w:t>.我单位直接负责本项目投标的主管人员为法定代表</w:t>
      </w:r>
      <w:r>
        <w:rPr>
          <w:rFonts w:hint="eastAsia" w:ascii="宋体" w:hAnsi="宋体" w:eastAsia="宋体" w:cs="宋体"/>
          <w:i w:val="0"/>
          <w:iCs w:val="0"/>
          <w:color w:val="auto"/>
          <w:spacing w:val="-2"/>
          <w:sz w:val="24"/>
          <w:szCs w:val="24"/>
        </w:rPr>
        <w:t>人</w:t>
      </w:r>
      <w:r>
        <w:rPr>
          <w:rFonts w:hint="eastAsia" w:ascii="宋体" w:hAnsi="宋体" w:eastAsia="宋体" w:cs="宋体"/>
          <w:i w:val="0"/>
          <w:iCs w:val="0"/>
          <w:color w:val="auto"/>
          <w:spacing w:val="-2"/>
          <w:sz w:val="24"/>
          <w:szCs w:val="24"/>
          <w:u w:val="single"/>
          <w:lang w:val="en-US" w:eastAsia="zh-CN"/>
        </w:rPr>
        <w:t xml:space="preserve">       </w:t>
      </w:r>
      <w:r>
        <w:rPr>
          <w:rFonts w:hint="eastAsia" w:ascii="宋体" w:hAnsi="宋体" w:eastAsia="宋体" w:cs="宋体"/>
          <w:i w:val="0"/>
          <w:iCs w:val="0"/>
          <w:color w:val="auto"/>
          <w:spacing w:val="-5"/>
          <w:sz w:val="24"/>
          <w:szCs w:val="24"/>
        </w:rPr>
        <w:t>（身份证号码</w:t>
      </w:r>
      <w:r>
        <w:rPr>
          <w:rFonts w:hint="eastAsia" w:ascii="宋体" w:hAnsi="宋体" w:eastAsia="宋体" w:cs="宋体"/>
          <w:i w:val="0"/>
          <w:iCs w:val="0"/>
          <w:color w:val="auto"/>
          <w:spacing w:val="-17"/>
          <w:sz w:val="24"/>
          <w:szCs w:val="24"/>
        </w:rPr>
        <w:t>：</w:t>
      </w:r>
      <w:r>
        <w:rPr>
          <w:rFonts w:hint="eastAsia" w:ascii="宋体" w:hAnsi="宋体" w:eastAsia="宋体" w:cs="宋体"/>
          <w:i w:val="0"/>
          <w:iCs w:val="0"/>
          <w:color w:val="auto"/>
          <w:spacing w:val="-17"/>
          <w:sz w:val="24"/>
          <w:szCs w:val="24"/>
          <w:u w:val="single"/>
          <w:lang w:val="en-US" w:eastAsia="zh-CN"/>
        </w:rPr>
        <w:t xml:space="preserve">        </w:t>
      </w:r>
      <w:r>
        <w:rPr>
          <w:rFonts w:hint="eastAsia" w:ascii="宋体" w:hAnsi="宋体" w:eastAsia="宋体" w:cs="宋体"/>
          <w:i w:val="0"/>
          <w:iCs w:val="0"/>
          <w:color w:val="auto"/>
          <w:spacing w:val="-17"/>
          <w:sz w:val="24"/>
          <w:szCs w:val="24"/>
        </w:rPr>
        <w:t>，</w:t>
      </w:r>
      <w:r>
        <w:rPr>
          <w:rFonts w:hint="eastAsia" w:ascii="宋体" w:hAnsi="宋体" w:eastAsia="宋体" w:cs="宋体"/>
          <w:i w:val="0"/>
          <w:iCs w:val="0"/>
          <w:color w:val="auto"/>
          <w:spacing w:val="-5"/>
          <w:sz w:val="24"/>
          <w:szCs w:val="24"/>
        </w:rPr>
        <w:t>手机号码</w:t>
      </w:r>
      <w:r>
        <w:rPr>
          <w:rFonts w:hint="eastAsia" w:ascii="宋体" w:hAnsi="宋体" w:eastAsia="宋体" w:cs="宋体"/>
          <w:i w:val="0"/>
          <w:iCs w:val="0"/>
          <w:color w:val="auto"/>
          <w:spacing w:val="-17"/>
          <w:sz w:val="24"/>
          <w:szCs w:val="24"/>
        </w:rPr>
        <w:t>：</w:t>
      </w:r>
      <w:r>
        <w:rPr>
          <w:rFonts w:hint="eastAsia" w:ascii="宋体" w:hAnsi="宋体" w:eastAsia="宋体" w:cs="宋体"/>
          <w:i w:val="0"/>
          <w:iCs w:val="0"/>
          <w:color w:val="auto"/>
          <w:spacing w:val="-17"/>
          <w:sz w:val="24"/>
          <w:szCs w:val="24"/>
          <w:u w:val="single"/>
          <w:lang w:val="en-US" w:eastAsia="zh-CN"/>
        </w:rPr>
        <w:t xml:space="preserve">      </w:t>
      </w:r>
      <w:r>
        <w:rPr>
          <w:rFonts w:hint="eastAsia" w:ascii="宋体" w:hAnsi="宋体" w:cs="宋体"/>
          <w:i w:val="0"/>
          <w:iCs w:val="0"/>
          <w:color w:val="auto"/>
          <w:spacing w:val="-17"/>
          <w:sz w:val="24"/>
          <w:szCs w:val="24"/>
          <w:u w:val="single"/>
          <w:lang w:val="en-US" w:eastAsia="zh-CN"/>
        </w:rPr>
        <w:t xml:space="preserve">  </w:t>
      </w:r>
      <w:r>
        <w:rPr>
          <w:rFonts w:hint="eastAsia" w:ascii="宋体" w:hAnsi="宋体" w:eastAsia="宋体" w:cs="宋体"/>
          <w:i w:val="0"/>
          <w:iCs w:val="0"/>
          <w:color w:val="auto"/>
          <w:spacing w:val="-17"/>
          <w:sz w:val="24"/>
          <w:szCs w:val="24"/>
          <w:u w:val="single"/>
          <w:lang w:val="en-US" w:eastAsia="zh-CN"/>
        </w:rPr>
        <w:t xml:space="preserve">  </w:t>
      </w:r>
      <w:r>
        <w:rPr>
          <w:rFonts w:hint="eastAsia" w:ascii="宋体" w:hAnsi="宋体" w:eastAsia="宋体" w:cs="宋体"/>
          <w:i w:val="0"/>
          <w:iCs w:val="0"/>
          <w:color w:val="auto"/>
          <w:spacing w:val="-8"/>
          <w:sz w:val="24"/>
          <w:szCs w:val="24"/>
        </w:rPr>
        <w:t>）；</w:t>
      </w:r>
      <w:r>
        <w:rPr>
          <w:rFonts w:hint="eastAsia" w:ascii="宋体" w:hAnsi="宋体" w:eastAsia="宋体" w:cs="宋体"/>
          <w:i w:val="0"/>
          <w:iCs w:val="0"/>
          <w:color w:val="auto"/>
          <w:spacing w:val="1"/>
          <w:sz w:val="24"/>
          <w:szCs w:val="24"/>
        </w:rPr>
        <w:t>我单位与本项目投标相关的直接责任人员为本次投标委托授权</w:t>
      </w:r>
      <w:r>
        <w:rPr>
          <w:rFonts w:hint="eastAsia" w:ascii="宋体" w:hAnsi="宋体" w:eastAsia="宋体" w:cs="宋体"/>
          <w:i w:val="0"/>
          <w:iCs w:val="0"/>
          <w:color w:val="auto"/>
          <w:spacing w:val="-2"/>
          <w:sz w:val="24"/>
          <w:szCs w:val="24"/>
        </w:rPr>
        <w:t>代表</w:t>
      </w:r>
    </w:p>
    <w:p w14:paraId="4D63DF7E">
      <w:pPr>
        <w:keepNext w:val="0"/>
        <w:keepLines w:val="0"/>
        <w:pageBreakBefore w:val="0"/>
        <w:widowControl/>
        <w:kinsoku w:val="0"/>
        <w:wordWrap/>
        <w:overflowPunct/>
        <w:topLinePunct w:val="0"/>
        <w:autoSpaceDE w:val="0"/>
        <w:autoSpaceDN w:val="0"/>
        <w:bidi w:val="0"/>
        <w:adjustRightInd w:val="0"/>
        <w:snapToGrid w:val="0"/>
        <w:spacing w:before="33" w:line="400" w:lineRule="exact"/>
        <w:ind w:left="0" w:leftChars="0" w:right="235" w:firstLine="0" w:firstLineChars="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2"/>
          <w:sz w:val="24"/>
          <w:szCs w:val="24"/>
          <w:u w:val="single"/>
          <w:lang w:val="en-US" w:eastAsia="zh-CN"/>
        </w:rPr>
        <w:t xml:space="preserve">   </w:t>
      </w:r>
      <w:r>
        <w:rPr>
          <w:rFonts w:hint="eastAsia" w:ascii="宋体" w:hAnsi="宋体" w:cs="宋体"/>
          <w:i w:val="0"/>
          <w:iCs w:val="0"/>
          <w:color w:val="auto"/>
          <w:spacing w:val="-2"/>
          <w:sz w:val="24"/>
          <w:szCs w:val="24"/>
          <w:u w:val="single"/>
          <w:lang w:val="en-US" w:eastAsia="zh-CN"/>
        </w:rPr>
        <w:t xml:space="preserve">     </w:t>
      </w:r>
      <w:r>
        <w:rPr>
          <w:rFonts w:hint="eastAsia" w:ascii="宋体" w:hAnsi="宋体" w:eastAsia="宋体" w:cs="宋体"/>
          <w:i w:val="0"/>
          <w:iCs w:val="0"/>
          <w:color w:val="auto"/>
          <w:spacing w:val="-2"/>
          <w:sz w:val="24"/>
          <w:szCs w:val="24"/>
        </w:rPr>
        <w:t>（身份证号码：</w:t>
      </w:r>
      <w:r>
        <w:rPr>
          <w:rFonts w:hint="eastAsia" w:ascii="宋体" w:hAnsi="宋体" w:eastAsia="宋体" w:cs="宋体"/>
          <w:i w:val="0"/>
          <w:iCs w:val="0"/>
          <w:color w:val="auto"/>
          <w:spacing w:val="-2"/>
          <w:sz w:val="24"/>
          <w:szCs w:val="24"/>
          <w:u w:val="single"/>
          <w:lang w:val="en-US" w:eastAsia="zh-CN"/>
        </w:rPr>
        <w:t xml:space="preserve">            </w:t>
      </w:r>
      <w:r>
        <w:rPr>
          <w:rFonts w:hint="eastAsia" w:ascii="宋体" w:hAnsi="宋体" w:eastAsia="宋体" w:cs="宋体"/>
          <w:i w:val="0"/>
          <w:iCs w:val="0"/>
          <w:color w:val="auto"/>
          <w:spacing w:val="-2"/>
          <w:sz w:val="24"/>
          <w:szCs w:val="24"/>
          <w:u w:val="none"/>
          <w:lang w:val="en-US" w:eastAsia="zh-CN"/>
        </w:rPr>
        <w:t>，</w:t>
      </w:r>
      <w:r>
        <w:rPr>
          <w:rFonts w:hint="eastAsia" w:ascii="宋体" w:hAnsi="宋体" w:eastAsia="宋体" w:cs="宋体"/>
          <w:i w:val="0"/>
          <w:iCs w:val="0"/>
          <w:color w:val="auto"/>
          <w:spacing w:val="-2"/>
          <w:sz w:val="24"/>
          <w:szCs w:val="24"/>
        </w:rPr>
        <w:t>手机号码</w:t>
      </w:r>
      <w:r>
        <w:rPr>
          <w:rFonts w:hint="eastAsia" w:ascii="宋体" w:hAnsi="宋体" w:eastAsia="宋体" w:cs="宋体"/>
          <w:i w:val="0"/>
          <w:iCs w:val="0"/>
          <w:color w:val="auto"/>
          <w:spacing w:val="-4"/>
          <w:sz w:val="24"/>
          <w:szCs w:val="24"/>
        </w:rPr>
        <w:t>：</w:t>
      </w:r>
      <w:r>
        <w:rPr>
          <w:rFonts w:hint="eastAsia" w:ascii="宋体" w:hAnsi="宋体" w:eastAsia="宋体" w:cs="宋体"/>
          <w:i w:val="0"/>
          <w:iCs w:val="0"/>
          <w:color w:val="auto"/>
          <w:spacing w:val="-17"/>
          <w:sz w:val="24"/>
          <w:szCs w:val="24"/>
          <w:u w:val="single"/>
          <w:lang w:val="en-US" w:eastAsia="zh-CN"/>
        </w:rPr>
        <w:t xml:space="preserve">        </w:t>
      </w:r>
      <w:r>
        <w:rPr>
          <w:rFonts w:hint="eastAsia" w:ascii="宋体" w:hAnsi="宋体" w:eastAsia="宋体" w:cs="宋体"/>
          <w:i w:val="0"/>
          <w:iCs w:val="0"/>
          <w:color w:val="auto"/>
          <w:spacing w:val="-46"/>
          <w:sz w:val="24"/>
          <w:szCs w:val="24"/>
        </w:rPr>
        <w:t>），</w:t>
      </w:r>
      <w:r>
        <w:rPr>
          <w:rFonts w:hint="eastAsia" w:ascii="宋体" w:hAnsi="宋体" w:eastAsia="宋体" w:cs="宋体"/>
          <w:i w:val="0"/>
          <w:iCs w:val="0"/>
          <w:color w:val="auto"/>
          <w:spacing w:val="-3"/>
          <w:sz w:val="24"/>
          <w:szCs w:val="24"/>
        </w:rPr>
        <w:t>上述人员承诺承担相应的</w:t>
      </w:r>
      <w:r>
        <w:rPr>
          <w:rFonts w:hint="eastAsia" w:ascii="宋体" w:hAnsi="宋体" w:eastAsia="宋体" w:cs="宋体"/>
          <w:i w:val="0"/>
          <w:iCs w:val="0"/>
          <w:color w:val="auto"/>
          <w:spacing w:val="-4"/>
          <w:sz w:val="24"/>
          <w:szCs w:val="24"/>
        </w:rPr>
        <w:t>法律责任。</w:t>
      </w:r>
    </w:p>
    <w:p w14:paraId="1F2FE0DA">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52"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7"/>
          <w:sz w:val="24"/>
          <w:szCs w:val="24"/>
          <w:lang w:val="en-US" w:eastAsia="zh-CN"/>
        </w:rPr>
        <w:t>1</w:t>
      </w:r>
      <w:r>
        <w:rPr>
          <w:rFonts w:hint="eastAsia" w:ascii="宋体" w:hAnsi="宋体" w:cs="宋体"/>
          <w:i w:val="0"/>
          <w:iCs w:val="0"/>
          <w:color w:val="auto"/>
          <w:spacing w:val="-7"/>
          <w:sz w:val="24"/>
          <w:szCs w:val="24"/>
          <w:lang w:val="en-US" w:eastAsia="zh-CN"/>
        </w:rPr>
        <w:t>1</w:t>
      </w:r>
      <w:r>
        <w:rPr>
          <w:rFonts w:hint="eastAsia" w:ascii="宋体" w:hAnsi="宋体" w:eastAsia="宋体" w:cs="宋体"/>
          <w:i w:val="0"/>
          <w:iCs w:val="0"/>
          <w:color w:val="auto"/>
          <w:spacing w:val="-7"/>
          <w:sz w:val="24"/>
          <w:szCs w:val="24"/>
        </w:rPr>
        <w:t>.其他</w:t>
      </w:r>
      <w:r>
        <w:rPr>
          <w:rFonts w:hint="eastAsia" w:ascii="宋体" w:hAnsi="宋体" w:eastAsia="宋体" w:cs="宋体"/>
          <w:i w:val="0"/>
          <w:iCs w:val="0"/>
          <w:color w:val="auto"/>
          <w:spacing w:val="-1"/>
          <w:sz w:val="24"/>
          <w:szCs w:val="24"/>
        </w:rPr>
        <w:t>：</w:t>
      </w:r>
      <w:r>
        <w:rPr>
          <w:rFonts w:hint="eastAsia" w:eastAsia="宋体" w:cs="Times New Roman"/>
          <w:i w:val="0"/>
          <w:iCs w:val="0"/>
          <w:color w:val="auto"/>
          <w:kern w:val="0"/>
          <w:sz w:val="24"/>
          <w:szCs w:val="24"/>
          <w:highlight w:val="none"/>
          <w:u w:val="single"/>
          <w:lang w:eastAsia="zh-CN"/>
        </w:rPr>
        <w:t>如前一标段</w:t>
      </w:r>
      <w:r>
        <w:rPr>
          <w:rFonts w:hint="eastAsia" w:eastAsia="宋体" w:cs="Times New Roman"/>
          <w:i w:val="0"/>
          <w:iCs w:val="0"/>
          <w:color w:val="auto"/>
          <w:kern w:val="0"/>
          <w:sz w:val="24"/>
          <w:szCs w:val="24"/>
          <w:highlight w:val="none"/>
          <w:u w:val="single"/>
          <w:lang w:val="en-US" w:eastAsia="zh-CN"/>
        </w:rPr>
        <w:t>我单位</w:t>
      </w:r>
      <w:r>
        <w:rPr>
          <w:rFonts w:hint="eastAsia" w:eastAsia="宋体" w:cs="Times New Roman"/>
          <w:i w:val="0"/>
          <w:iCs w:val="0"/>
          <w:color w:val="auto"/>
          <w:kern w:val="0"/>
          <w:sz w:val="24"/>
          <w:szCs w:val="24"/>
          <w:highlight w:val="none"/>
          <w:u w:val="single"/>
          <w:lang w:eastAsia="zh-CN"/>
        </w:rPr>
        <w:t>被推荐为第一中标候选人，同意后续标段不再被推荐为中标候选人</w:t>
      </w:r>
      <w:r>
        <w:rPr>
          <w:rFonts w:hint="eastAsia" w:ascii="宋体" w:hAnsi="宋体" w:eastAsia="宋体" w:cs="宋体"/>
          <w:i w:val="0"/>
          <w:iCs w:val="0"/>
          <w:color w:val="auto"/>
          <w:spacing w:val="-7"/>
          <w:sz w:val="24"/>
          <w:szCs w:val="24"/>
          <w:u w:val="none" w:color="auto"/>
        </w:rPr>
        <w:t>。</w:t>
      </w:r>
    </w:p>
    <w:p w14:paraId="1628CC71">
      <w:pPr>
        <w:keepNext w:val="0"/>
        <w:keepLines w:val="0"/>
        <w:pageBreakBefore w:val="0"/>
        <w:widowControl/>
        <w:kinsoku w:val="0"/>
        <w:wordWrap/>
        <w:overflowPunct/>
        <w:topLinePunct w:val="0"/>
        <w:autoSpaceDE w:val="0"/>
        <w:autoSpaceDN w:val="0"/>
        <w:bidi w:val="0"/>
        <w:adjustRightInd w:val="0"/>
        <w:snapToGrid w:val="0"/>
        <w:spacing w:before="41" w:line="400" w:lineRule="exact"/>
        <w:ind w:left="15" w:right="202" w:firstLine="444"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9"/>
          <w:sz w:val="24"/>
          <w:szCs w:val="24"/>
          <w:lang w:val="en-US" w:eastAsia="zh-CN"/>
        </w:rPr>
        <w:t>1</w:t>
      </w:r>
      <w:r>
        <w:rPr>
          <w:rFonts w:hint="eastAsia" w:ascii="宋体" w:hAnsi="宋体" w:cs="宋体"/>
          <w:i w:val="0"/>
          <w:iCs w:val="0"/>
          <w:color w:val="auto"/>
          <w:spacing w:val="-9"/>
          <w:sz w:val="24"/>
          <w:szCs w:val="24"/>
          <w:lang w:val="en-US" w:eastAsia="zh-CN"/>
        </w:rPr>
        <w:t>2</w:t>
      </w:r>
      <w:r>
        <w:rPr>
          <w:rFonts w:hint="eastAsia" w:ascii="宋体" w:hAnsi="宋体" w:eastAsia="宋体" w:cs="宋体"/>
          <w:i w:val="0"/>
          <w:iCs w:val="0"/>
          <w:color w:val="auto"/>
          <w:spacing w:val="-9"/>
          <w:sz w:val="24"/>
          <w:szCs w:val="24"/>
        </w:rPr>
        <w:t>.以上承诺如有虚假，愿意接受投标保证金不予退还的处理。</w:t>
      </w:r>
      <w:r>
        <w:rPr>
          <w:rFonts w:hint="eastAsia" w:ascii="宋体" w:hAnsi="宋体" w:eastAsia="宋体" w:cs="宋体"/>
          <w:i w:val="0"/>
          <w:iCs w:val="0"/>
          <w:color w:val="auto"/>
          <w:spacing w:val="-10"/>
          <w:sz w:val="24"/>
          <w:szCs w:val="24"/>
        </w:rPr>
        <w:t>给招标人造成损</w:t>
      </w:r>
      <w:r>
        <w:rPr>
          <w:rFonts w:hint="eastAsia" w:ascii="宋体" w:hAnsi="宋体" w:eastAsia="宋体" w:cs="宋体"/>
          <w:i w:val="0"/>
          <w:iCs w:val="0"/>
          <w:color w:val="auto"/>
          <w:spacing w:val="-11"/>
          <w:sz w:val="24"/>
          <w:szCs w:val="24"/>
        </w:rPr>
        <w:t>失的，愿意依法承担赔偿责任。如已中标，同意招标人取消我单</w:t>
      </w:r>
      <w:r>
        <w:rPr>
          <w:rFonts w:hint="eastAsia" w:ascii="宋体" w:hAnsi="宋体" w:eastAsia="宋体" w:cs="宋体"/>
          <w:i w:val="0"/>
          <w:iCs w:val="0"/>
          <w:color w:val="auto"/>
          <w:spacing w:val="-12"/>
          <w:sz w:val="24"/>
          <w:szCs w:val="24"/>
        </w:rPr>
        <w:t>位中标资格的处理。</w:t>
      </w:r>
    </w:p>
    <w:p w14:paraId="050BD592">
      <w:pPr>
        <w:keepNext w:val="0"/>
        <w:keepLines w:val="0"/>
        <w:pageBreakBefore w:val="0"/>
        <w:widowControl/>
        <w:kinsoku w:val="0"/>
        <w:wordWrap/>
        <w:overflowPunct/>
        <w:topLinePunct w:val="0"/>
        <w:autoSpaceDE w:val="0"/>
        <w:autoSpaceDN w:val="0"/>
        <w:bidi w:val="0"/>
        <w:adjustRightInd w:val="0"/>
        <w:snapToGrid w:val="0"/>
        <w:spacing w:before="39" w:line="400" w:lineRule="exact"/>
        <w:ind w:left="10" w:right="225" w:firstLine="456"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6"/>
          <w:sz w:val="24"/>
          <w:szCs w:val="24"/>
        </w:rPr>
        <w:t>本人</w:t>
      </w:r>
      <w:r>
        <w:rPr>
          <w:rFonts w:hint="eastAsia" w:ascii="宋体" w:hAnsi="宋体" w:eastAsia="宋体" w:cs="宋体"/>
          <w:i/>
          <w:iCs/>
          <w:color w:val="auto"/>
          <w:spacing w:val="-6"/>
          <w:sz w:val="24"/>
          <w:szCs w:val="24"/>
          <w:u w:val="single" w:color="auto"/>
        </w:rPr>
        <w:t>拟派</w:t>
      </w:r>
      <w:r>
        <w:rPr>
          <w:rFonts w:hint="eastAsia" w:ascii="宋体" w:hAnsi="宋体" w:eastAsia="宋体" w:cs="宋体"/>
          <w:i/>
          <w:iCs/>
          <w:color w:val="auto"/>
          <w:spacing w:val="-6"/>
          <w:sz w:val="24"/>
          <w:szCs w:val="24"/>
          <w:u w:val="single" w:color="auto"/>
          <w:lang w:eastAsia="zh-CN"/>
        </w:rPr>
        <w:t>项目经理</w:t>
      </w:r>
      <w:r>
        <w:rPr>
          <w:rFonts w:hint="eastAsia" w:ascii="宋体" w:hAnsi="宋体" w:eastAsia="宋体" w:cs="宋体"/>
          <w:i/>
          <w:iCs/>
          <w:color w:val="auto"/>
          <w:spacing w:val="-6"/>
          <w:sz w:val="24"/>
          <w:szCs w:val="24"/>
          <w:u w:val="single" w:color="auto"/>
        </w:rPr>
        <w:t>（签字</w:t>
      </w:r>
      <w:r>
        <w:rPr>
          <w:rFonts w:hint="eastAsia" w:ascii="宋体" w:hAnsi="宋体" w:cs="宋体"/>
          <w:i/>
          <w:iCs/>
          <w:color w:val="auto"/>
          <w:spacing w:val="-6"/>
          <w:sz w:val="24"/>
          <w:szCs w:val="24"/>
          <w:u w:val="single" w:color="auto"/>
          <w:lang w:eastAsia="zh-CN"/>
        </w:rPr>
        <w:t>或盖章</w:t>
      </w:r>
      <w:r>
        <w:rPr>
          <w:rFonts w:hint="eastAsia" w:ascii="宋体" w:hAnsi="宋体" w:eastAsia="宋体" w:cs="宋体"/>
          <w:i/>
          <w:iCs/>
          <w:color w:val="auto"/>
          <w:spacing w:val="1"/>
          <w:sz w:val="24"/>
          <w:szCs w:val="24"/>
          <w:u w:val="single" w:color="auto"/>
        </w:rPr>
        <w:t>）</w:t>
      </w:r>
      <w:r>
        <w:rPr>
          <w:rFonts w:hint="eastAsia" w:ascii="宋体" w:hAnsi="宋体" w:eastAsia="宋体" w:cs="宋体"/>
          <w:i w:val="0"/>
          <w:iCs w:val="0"/>
          <w:color w:val="auto"/>
          <w:spacing w:val="1"/>
          <w:sz w:val="24"/>
          <w:szCs w:val="24"/>
          <w:u w:val="none" w:color="auto"/>
        </w:rPr>
        <w:t>：</w:t>
      </w:r>
      <w:r>
        <w:rPr>
          <w:rFonts w:hint="eastAsia" w:ascii="宋体" w:hAnsi="宋体" w:eastAsia="宋体" w:cs="宋体"/>
          <w:i w:val="0"/>
          <w:iCs w:val="0"/>
          <w:color w:val="auto"/>
          <w:spacing w:val="-6"/>
          <w:sz w:val="24"/>
          <w:szCs w:val="24"/>
        </w:rPr>
        <w:t>对所在单位参与本次投标知情,投</w:t>
      </w:r>
      <w:r>
        <w:rPr>
          <w:rFonts w:hint="eastAsia" w:ascii="宋体" w:hAnsi="宋体" w:eastAsia="宋体" w:cs="宋体"/>
          <w:i w:val="0"/>
          <w:iCs w:val="0"/>
          <w:color w:val="auto"/>
          <w:spacing w:val="-10"/>
          <w:sz w:val="24"/>
          <w:szCs w:val="24"/>
        </w:rPr>
        <w:t>标中使用的本人相关业绩真实有效。</w:t>
      </w:r>
    </w:p>
    <w:p w14:paraId="09E98298">
      <w:pPr>
        <w:keepNext w:val="0"/>
        <w:keepLines w:val="0"/>
        <w:pageBreakBefore w:val="0"/>
        <w:widowControl/>
        <w:kinsoku w:val="0"/>
        <w:wordWrap w:val="0"/>
        <w:overflowPunct/>
        <w:topLinePunct w:val="0"/>
        <w:autoSpaceDE w:val="0"/>
        <w:autoSpaceDN w:val="0"/>
        <w:bidi w:val="0"/>
        <w:adjustRightInd w:val="0"/>
        <w:snapToGrid w:val="0"/>
        <w:spacing w:line="400" w:lineRule="exact"/>
        <w:ind w:left="0" w:right="0" w:firstLine="476" w:firstLineChars="200"/>
        <w:jc w:val="right"/>
        <w:textAlignment w:val="baseline"/>
        <w:rPr>
          <w:rFonts w:hint="default" w:ascii="宋体" w:hAnsi="宋体" w:eastAsia="宋体" w:cs="宋体"/>
          <w:i w:val="0"/>
          <w:iCs w:val="0"/>
          <w:color w:val="auto"/>
          <w:spacing w:val="-31"/>
          <w:sz w:val="24"/>
          <w:szCs w:val="24"/>
          <w:lang w:val="en-US" w:eastAsia="zh-CN"/>
        </w:rPr>
      </w:pPr>
      <w:r>
        <w:rPr>
          <w:rFonts w:hint="eastAsia" w:ascii="宋体" w:hAnsi="宋体" w:eastAsia="宋体" w:cs="宋体"/>
          <w:i w:val="0"/>
          <w:iCs w:val="0"/>
          <w:color w:val="auto"/>
          <w:spacing w:val="-1"/>
          <w:sz w:val="24"/>
          <w:szCs w:val="24"/>
        </w:rPr>
        <w:t>法定代表人（签字或盖章</w:t>
      </w:r>
      <w:r>
        <w:rPr>
          <w:rFonts w:hint="eastAsia" w:ascii="宋体" w:hAnsi="宋体" w:eastAsia="宋体" w:cs="宋体"/>
          <w:i w:val="0"/>
          <w:iCs w:val="0"/>
          <w:color w:val="auto"/>
          <w:spacing w:val="-31"/>
          <w:sz w:val="24"/>
          <w:szCs w:val="24"/>
        </w:rPr>
        <w:t>）：</w:t>
      </w:r>
      <w:r>
        <w:rPr>
          <w:rFonts w:hint="eastAsia" w:ascii="宋体" w:hAnsi="宋体" w:eastAsia="宋体" w:cs="宋体"/>
          <w:i w:val="0"/>
          <w:iCs w:val="0"/>
          <w:color w:val="auto"/>
          <w:spacing w:val="-31"/>
          <w:sz w:val="24"/>
          <w:szCs w:val="24"/>
          <w:lang w:val="en-US" w:eastAsia="zh-CN"/>
        </w:rPr>
        <w:t xml:space="preserve">          </w:t>
      </w:r>
    </w:p>
    <w:p w14:paraId="5BD24703">
      <w:pPr>
        <w:keepNext w:val="0"/>
        <w:keepLines w:val="0"/>
        <w:pageBreakBefore w:val="0"/>
        <w:widowControl/>
        <w:kinsoku w:val="0"/>
        <w:wordWrap w:val="0"/>
        <w:overflowPunct/>
        <w:topLinePunct w:val="0"/>
        <w:autoSpaceDE w:val="0"/>
        <w:autoSpaceDN w:val="0"/>
        <w:bidi w:val="0"/>
        <w:adjustRightInd w:val="0"/>
        <w:snapToGrid w:val="0"/>
        <w:spacing w:line="400" w:lineRule="exact"/>
        <w:ind w:left="0" w:right="0" w:firstLine="472" w:firstLineChars="200"/>
        <w:jc w:val="right"/>
        <w:textAlignment w:val="baseline"/>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pacing w:val="-2"/>
          <w:sz w:val="24"/>
          <w:szCs w:val="24"/>
        </w:rPr>
        <w:t>投标人（盖章</w:t>
      </w:r>
      <w:r>
        <w:rPr>
          <w:rFonts w:hint="eastAsia" w:ascii="宋体" w:hAnsi="宋体" w:eastAsia="宋体" w:cs="宋体"/>
          <w:i w:val="0"/>
          <w:iCs w:val="0"/>
          <w:color w:val="auto"/>
          <w:spacing w:val="1"/>
          <w:sz w:val="24"/>
          <w:szCs w:val="24"/>
        </w:rPr>
        <w:t>）：</w:t>
      </w:r>
      <w:r>
        <w:rPr>
          <w:rFonts w:hint="eastAsia" w:ascii="宋体" w:hAnsi="宋体" w:eastAsia="宋体" w:cs="宋体"/>
          <w:i w:val="0"/>
          <w:iCs w:val="0"/>
          <w:color w:val="auto"/>
          <w:spacing w:val="1"/>
          <w:sz w:val="24"/>
          <w:szCs w:val="24"/>
          <w:lang w:val="en-US" w:eastAsia="zh-CN"/>
        </w:rPr>
        <w:t xml:space="preserve">    </w:t>
      </w:r>
    </w:p>
    <w:p w14:paraId="4861C08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jc w:val="center"/>
        <w:textAlignment w:val="baseline"/>
        <w:rPr>
          <w:rFonts w:hint="default" w:eastAsia="黑体"/>
          <w:i w:val="0"/>
          <w:iCs w:val="0"/>
          <w:color w:val="auto"/>
          <w:sz w:val="20"/>
          <w:szCs w:val="20"/>
          <w:lang w:val="en-US" w:eastAsia="zh-CN"/>
        </w:rPr>
        <w:sectPr>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rFonts w:hint="eastAsia" w:ascii="宋体" w:hAnsi="宋体" w:eastAsia="宋体" w:cs="宋体"/>
          <w:i w:val="0"/>
          <w:iCs w:val="0"/>
          <w:color w:val="auto"/>
          <w:spacing w:val="-9"/>
          <w:sz w:val="24"/>
          <w:szCs w:val="24"/>
          <w:lang w:val="en-US" w:eastAsia="zh-CN"/>
        </w:rPr>
        <w:t xml:space="preserve">                                                  </w:t>
      </w:r>
      <w:r>
        <w:rPr>
          <w:rFonts w:hint="eastAsia" w:ascii="宋体" w:hAnsi="宋体" w:eastAsia="宋体" w:cs="宋体"/>
          <w:i w:val="0"/>
          <w:iCs w:val="0"/>
          <w:color w:val="auto"/>
          <w:spacing w:val="-9"/>
          <w:sz w:val="24"/>
          <w:szCs w:val="24"/>
          <w:u w:val="single"/>
          <w:lang w:val="en-US" w:eastAsia="zh-CN"/>
        </w:rPr>
        <w:t xml:space="preserve">     </w:t>
      </w:r>
      <w:r>
        <w:rPr>
          <w:rFonts w:hint="eastAsia" w:ascii="宋体" w:hAnsi="宋体" w:eastAsia="宋体" w:cs="宋体"/>
          <w:i w:val="0"/>
          <w:iCs w:val="0"/>
          <w:color w:val="auto"/>
          <w:spacing w:val="-9"/>
          <w:sz w:val="24"/>
          <w:szCs w:val="24"/>
        </w:rPr>
        <w:t>年</w:t>
      </w:r>
      <w:r>
        <w:rPr>
          <w:rFonts w:hint="eastAsia" w:ascii="宋体" w:hAnsi="宋体" w:eastAsia="宋体" w:cs="宋体"/>
          <w:i w:val="0"/>
          <w:iCs w:val="0"/>
          <w:color w:val="auto"/>
          <w:spacing w:val="-9"/>
          <w:sz w:val="24"/>
          <w:szCs w:val="24"/>
          <w:u w:val="single"/>
          <w:lang w:val="en-US" w:eastAsia="zh-CN"/>
        </w:rPr>
        <w:t xml:space="preserve">     </w:t>
      </w:r>
      <w:r>
        <w:rPr>
          <w:rFonts w:hint="eastAsia" w:ascii="宋体" w:hAnsi="宋体" w:eastAsia="宋体" w:cs="宋体"/>
          <w:i w:val="0"/>
          <w:iCs w:val="0"/>
          <w:color w:val="auto"/>
          <w:spacing w:val="-9"/>
          <w:sz w:val="24"/>
          <w:szCs w:val="24"/>
        </w:rPr>
        <w:t>月</w:t>
      </w:r>
      <w:r>
        <w:rPr>
          <w:rFonts w:hint="eastAsia" w:ascii="宋体" w:hAnsi="宋体" w:eastAsia="宋体" w:cs="宋体"/>
          <w:i w:val="0"/>
          <w:iCs w:val="0"/>
          <w:color w:val="auto"/>
          <w:spacing w:val="-9"/>
          <w:sz w:val="24"/>
          <w:szCs w:val="24"/>
          <w:u w:val="single"/>
          <w:lang w:val="en-US" w:eastAsia="zh-CN"/>
        </w:rPr>
        <w:t xml:space="preserve">     </w:t>
      </w:r>
      <w:r>
        <w:rPr>
          <w:rFonts w:hint="eastAsia" w:ascii="宋体" w:hAnsi="宋体" w:eastAsia="宋体" w:cs="宋体"/>
          <w:i w:val="0"/>
          <w:iCs w:val="0"/>
          <w:color w:val="auto"/>
          <w:spacing w:val="-9"/>
          <w:sz w:val="24"/>
          <w:szCs w:val="24"/>
        </w:rPr>
        <w:t>日</w:t>
      </w:r>
    </w:p>
    <w:p w14:paraId="7C510426">
      <w:pPr>
        <w:pageBreakBefore w:val="0"/>
        <w:kinsoku/>
        <w:wordWrap w:val="0"/>
        <w:overflowPunct/>
        <w:bidi w:val="0"/>
        <w:spacing w:line="440" w:lineRule="exact"/>
        <w:ind w:left="840" w:leftChars="400" w:firstLine="2200" w:firstLineChars="1100"/>
        <w:rPr>
          <w:rFonts w:eastAsia="黑体"/>
          <w:i/>
          <w:iCs/>
          <w:color w:val="auto"/>
          <w:sz w:val="20"/>
          <w:szCs w:val="20"/>
        </w:rPr>
      </w:pPr>
    </w:p>
    <w:p w14:paraId="4271AC0A">
      <w:pPr>
        <w:pStyle w:val="3"/>
        <w:pageBreakBefore w:val="0"/>
        <w:kinsoku/>
        <w:wordWrap w:val="0"/>
        <w:overflowPunct/>
        <w:bidi w:val="0"/>
        <w:jc w:val="center"/>
        <w:rPr>
          <w:rFonts w:hint="eastAsia" w:ascii="宋体" w:hAnsi="宋体" w:eastAsia="宋体" w:cs="宋体"/>
          <w:b/>
          <w:bCs w:val="0"/>
          <w:i w:val="0"/>
          <w:iCs w:val="0"/>
          <w:color w:val="auto"/>
          <w:sz w:val="28"/>
          <w:szCs w:val="28"/>
        </w:rPr>
      </w:pPr>
      <w:bookmarkStart w:id="3174" w:name="_Toc247514283"/>
      <w:bookmarkStart w:id="3175" w:name="_Toc15140"/>
      <w:bookmarkStart w:id="3176" w:name="_Toc152042580"/>
      <w:bookmarkStart w:id="3177" w:name="_Toc19677"/>
      <w:bookmarkStart w:id="3178" w:name="_Toc247527831"/>
      <w:bookmarkStart w:id="3179" w:name="_Toc19959"/>
      <w:bookmarkStart w:id="3180" w:name="_Toc14583"/>
      <w:bookmarkStart w:id="3181" w:name="_Toc152045791"/>
      <w:bookmarkStart w:id="3182" w:name="_Toc2974"/>
      <w:bookmarkStart w:id="3183" w:name="_Toc144974860"/>
      <w:r>
        <w:rPr>
          <w:rFonts w:hint="eastAsia" w:ascii="宋体" w:hAnsi="宋体" w:eastAsia="宋体" w:cs="宋体"/>
          <w:b/>
          <w:bCs w:val="0"/>
          <w:i w:val="0"/>
          <w:iCs w:val="0"/>
          <w:color w:val="auto"/>
          <w:sz w:val="28"/>
          <w:szCs w:val="28"/>
        </w:rPr>
        <w:t>二、法定代表人身份证明</w:t>
      </w:r>
      <w:bookmarkEnd w:id="3174"/>
      <w:bookmarkEnd w:id="3175"/>
      <w:bookmarkEnd w:id="3176"/>
      <w:bookmarkEnd w:id="3177"/>
      <w:bookmarkEnd w:id="3178"/>
      <w:bookmarkEnd w:id="3179"/>
      <w:bookmarkEnd w:id="3180"/>
      <w:bookmarkEnd w:id="3181"/>
      <w:bookmarkEnd w:id="3182"/>
      <w:bookmarkEnd w:id="3183"/>
    </w:p>
    <w:p w14:paraId="5732FD3B">
      <w:pPr>
        <w:pageBreakBefore w:val="0"/>
        <w:kinsoku/>
        <w:wordWrap w:val="0"/>
        <w:overflowPunct/>
        <w:bidi w:val="0"/>
        <w:spacing w:line="440" w:lineRule="exact"/>
        <w:rPr>
          <w:i w:val="0"/>
          <w:iCs w:val="0"/>
          <w:color w:val="auto"/>
          <w:sz w:val="20"/>
          <w:szCs w:val="20"/>
        </w:rPr>
      </w:pPr>
    </w:p>
    <w:p w14:paraId="75A74147">
      <w:pPr>
        <w:pageBreakBefore w:val="0"/>
        <w:kinsoku/>
        <w:wordWrap w:val="0"/>
        <w:overflowPunct/>
        <w:bidi w:val="0"/>
        <w:spacing w:line="440" w:lineRule="exact"/>
        <w:rPr>
          <w:i w:val="0"/>
          <w:iCs w:val="0"/>
          <w:color w:val="auto"/>
          <w:szCs w:val="21"/>
        </w:rPr>
      </w:pPr>
    </w:p>
    <w:p w14:paraId="3F235A26">
      <w:pPr>
        <w:pageBreakBefore w:val="0"/>
        <w:kinsoku/>
        <w:wordWrap w:val="0"/>
        <w:overflowPunct/>
        <w:bidi w:val="0"/>
        <w:spacing w:line="440" w:lineRule="exact"/>
        <w:rPr>
          <w:i w:val="0"/>
          <w:iCs w:val="0"/>
          <w:color w:val="auto"/>
          <w:sz w:val="24"/>
          <w:szCs w:val="24"/>
        </w:rPr>
      </w:pPr>
      <w:r>
        <w:rPr>
          <w:i w:val="0"/>
          <w:iCs w:val="0"/>
          <w:color w:val="auto"/>
          <w:sz w:val="24"/>
          <w:szCs w:val="24"/>
        </w:rPr>
        <w:t>投标人名称：</w:t>
      </w:r>
      <w:r>
        <w:rPr>
          <w:i w:val="0"/>
          <w:iCs w:val="0"/>
          <w:color w:val="auto"/>
          <w:sz w:val="24"/>
          <w:szCs w:val="24"/>
          <w:u w:val="single"/>
        </w:rPr>
        <w:t xml:space="preserve">                            </w:t>
      </w:r>
      <w:r>
        <w:rPr>
          <w:i w:val="0"/>
          <w:iCs w:val="0"/>
          <w:color w:val="auto"/>
          <w:sz w:val="24"/>
          <w:szCs w:val="24"/>
        </w:rPr>
        <w:t xml:space="preserve"> </w:t>
      </w:r>
    </w:p>
    <w:p w14:paraId="03B584A9">
      <w:pPr>
        <w:pageBreakBefore w:val="0"/>
        <w:kinsoku/>
        <w:wordWrap w:val="0"/>
        <w:overflowPunct/>
        <w:bidi w:val="0"/>
        <w:spacing w:line="440" w:lineRule="exact"/>
        <w:rPr>
          <w:i w:val="0"/>
          <w:iCs w:val="0"/>
          <w:color w:val="auto"/>
          <w:sz w:val="24"/>
          <w:szCs w:val="24"/>
        </w:rPr>
      </w:pPr>
      <w:r>
        <w:rPr>
          <w:i w:val="0"/>
          <w:iCs w:val="0"/>
          <w:color w:val="auto"/>
          <w:sz w:val="24"/>
          <w:szCs w:val="24"/>
        </w:rPr>
        <w:t>单位性质：</w:t>
      </w:r>
      <w:r>
        <w:rPr>
          <w:i w:val="0"/>
          <w:iCs w:val="0"/>
          <w:color w:val="auto"/>
          <w:sz w:val="24"/>
          <w:szCs w:val="24"/>
          <w:u w:val="single"/>
        </w:rPr>
        <w:t xml:space="preserve">                               </w:t>
      </w:r>
      <w:r>
        <w:rPr>
          <w:i w:val="0"/>
          <w:iCs w:val="0"/>
          <w:color w:val="auto"/>
          <w:sz w:val="24"/>
          <w:szCs w:val="24"/>
        </w:rPr>
        <w:t xml:space="preserve"> </w:t>
      </w:r>
    </w:p>
    <w:p w14:paraId="2A1A88F5">
      <w:pPr>
        <w:pageBreakBefore w:val="0"/>
        <w:kinsoku/>
        <w:wordWrap w:val="0"/>
        <w:overflowPunct/>
        <w:bidi w:val="0"/>
        <w:spacing w:line="440" w:lineRule="exact"/>
        <w:rPr>
          <w:i w:val="0"/>
          <w:iCs w:val="0"/>
          <w:color w:val="auto"/>
          <w:sz w:val="24"/>
          <w:szCs w:val="24"/>
        </w:rPr>
      </w:pPr>
      <w:r>
        <w:rPr>
          <w:i w:val="0"/>
          <w:iCs w:val="0"/>
          <w:color w:val="auto"/>
          <w:sz w:val="24"/>
          <w:szCs w:val="24"/>
        </w:rPr>
        <w:t>地址：</w:t>
      </w:r>
      <w:r>
        <w:rPr>
          <w:i w:val="0"/>
          <w:iCs w:val="0"/>
          <w:color w:val="auto"/>
          <w:sz w:val="24"/>
          <w:szCs w:val="24"/>
          <w:u w:val="single"/>
        </w:rPr>
        <w:t xml:space="preserve">                                   </w:t>
      </w:r>
    </w:p>
    <w:p w14:paraId="66894149">
      <w:pPr>
        <w:pageBreakBefore w:val="0"/>
        <w:kinsoku/>
        <w:wordWrap w:val="0"/>
        <w:overflowPunct/>
        <w:bidi w:val="0"/>
        <w:spacing w:line="440" w:lineRule="exact"/>
        <w:rPr>
          <w:i w:val="0"/>
          <w:iCs w:val="0"/>
          <w:color w:val="auto"/>
          <w:sz w:val="24"/>
          <w:szCs w:val="24"/>
        </w:rPr>
      </w:pPr>
      <w:r>
        <w:rPr>
          <w:i w:val="0"/>
          <w:iCs w:val="0"/>
          <w:color w:val="auto"/>
          <w:sz w:val="24"/>
          <w:szCs w:val="24"/>
        </w:rPr>
        <w:t>成立时间：</w:t>
      </w: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日</w:t>
      </w:r>
    </w:p>
    <w:p w14:paraId="746F1044">
      <w:pPr>
        <w:pageBreakBefore w:val="0"/>
        <w:kinsoku/>
        <w:wordWrap w:val="0"/>
        <w:overflowPunct/>
        <w:bidi w:val="0"/>
        <w:spacing w:line="440" w:lineRule="exact"/>
        <w:rPr>
          <w:i w:val="0"/>
          <w:iCs w:val="0"/>
          <w:color w:val="auto"/>
          <w:sz w:val="24"/>
          <w:szCs w:val="24"/>
        </w:rPr>
      </w:pPr>
      <w:r>
        <w:rPr>
          <w:i w:val="0"/>
          <w:iCs w:val="0"/>
          <w:color w:val="auto"/>
          <w:sz w:val="24"/>
          <w:szCs w:val="24"/>
        </w:rPr>
        <w:t>经营期限：</w:t>
      </w:r>
      <w:r>
        <w:rPr>
          <w:i w:val="0"/>
          <w:iCs w:val="0"/>
          <w:color w:val="auto"/>
          <w:sz w:val="24"/>
          <w:szCs w:val="24"/>
          <w:u w:val="single"/>
        </w:rPr>
        <w:t xml:space="preserve">                               </w:t>
      </w:r>
    </w:p>
    <w:p w14:paraId="7F12063E">
      <w:pPr>
        <w:pageBreakBefore w:val="0"/>
        <w:kinsoku/>
        <w:wordWrap w:val="0"/>
        <w:overflowPunct/>
        <w:bidi w:val="0"/>
        <w:spacing w:line="440" w:lineRule="exact"/>
        <w:rPr>
          <w:i w:val="0"/>
          <w:iCs w:val="0"/>
          <w:color w:val="auto"/>
          <w:sz w:val="24"/>
          <w:szCs w:val="24"/>
        </w:rPr>
      </w:pPr>
      <w:r>
        <w:rPr>
          <w:i w:val="0"/>
          <w:iCs w:val="0"/>
          <w:color w:val="auto"/>
          <w:sz w:val="24"/>
          <w:szCs w:val="24"/>
        </w:rPr>
        <w:t>姓名：</w:t>
      </w:r>
      <w:r>
        <w:rPr>
          <w:i w:val="0"/>
          <w:iCs w:val="0"/>
          <w:color w:val="auto"/>
          <w:sz w:val="24"/>
          <w:szCs w:val="24"/>
          <w:u w:val="single"/>
        </w:rPr>
        <w:t xml:space="preserve">        </w:t>
      </w:r>
      <w:r>
        <w:rPr>
          <w:i w:val="0"/>
          <w:iCs w:val="0"/>
          <w:color w:val="auto"/>
          <w:sz w:val="24"/>
          <w:szCs w:val="24"/>
        </w:rPr>
        <w:t xml:space="preserve"> 性别：</w:t>
      </w:r>
      <w:r>
        <w:rPr>
          <w:i w:val="0"/>
          <w:iCs w:val="0"/>
          <w:color w:val="auto"/>
          <w:sz w:val="24"/>
          <w:szCs w:val="24"/>
          <w:u w:val="single"/>
        </w:rPr>
        <w:t xml:space="preserve">         </w:t>
      </w:r>
      <w:r>
        <w:rPr>
          <w:i w:val="0"/>
          <w:iCs w:val="0"/>
          <w:color w:val="auto"/>
          <w:sz w:val="24"/>
          <w:szCs w:val="24"/>
        </w:rPr>
        <w:t xml:space="preserve"> 年龄：</w:t>
      </w:r>
      <w:r>
        <w:rPr>
          <w:i w:val="0"/>
          <w:iCs w:val="0"/>
          <w:color w:val="auto"/>
          <w:sz w:val="24"/>
          <w:szCs w:val="24"/>
          <w:u w:val="single"/>
        </w:rPr>
        <w:t xml:space="preserve">        </w:t>
      </w:r>
      <w:r>
        <w:rPr>
          <w:i w:val="0"/>
          <w:iCs w:val="0"/>
          <w:color w:val="auto"/>
          <w:sz w:val="24"/>
          <w:szCs w:val="24"/>
        </w:rPr>
        <w:t>职务：</w:t>
      </w:r>
      <w:r>
        <w:rPr>
          <w:i w:val="0"/>
          <w:iCs w:val="0"/>
          <w:color w:val="auto"/>
          <w:sz w:val="24"/>
          <w:szCs w:val="24"/>
          <w:u w:val="single"/>
        </w:rPr>
        <w:t xml:space="preserve">        </w:t>
      </w:r>
    </w:p>
    <w:p w14:paraId="1B9157A4">
      <w:pPr>
        <w:pageBreakBefore w:val="0"/>
        <w:kinsoku/>
        <w:wordWrap w:val="0"/>
        <w:overflowPunct/>
        <w:bidi w:val="0"/>
        <w:spacing w:line="440" w:lineRule="exact"/>
        <w:rPr>
          <w:i w:val="0"/>
          <w:iCs w:val="0"/>
          <w:color w:val="auto"/>
          <w:sz w:val="24"/>
          <w:szCs w:val="24"/>
        </w:rPr>
      </w:pPr>
      <w:r>
        <w:rPr>
          <w:i w:val="0"/>
          <w:iCs w:val="0"/>
          <w:color w:val="auto"/>
          <w:sz w:val="24"/>
          <w:szCs w:val="24"/>
        </w:rPr>
        <w:t>系</w:t>
      </w:r>
      <w:r>
        <w:rPr>
          <w:i w:val="0"/>
          <w:iCs w:val="0"/>
          <w:color w:val="auto"/>
          <w:sz w:val="24"/>
          <w:szCs w:val="24"/>
          <w:u w:val="single"/>
        </w:rPr>
        <w:t xml:space="preserve">                             </w:t>
      </w:r>
      <w:r>
        <w:rPr>
          <w:i w:val="0"/>
          <w:iCs w:val="0"/>
          <w:color w:val="auto"/>
          <w:sz w:val="24"/>
          <w:szCs w:val="24"/>
        </w:rPr>
        <w:t xml:space="preserve"> （投标人名称）的法定代表人。</w:t>
      </w:r>
    </w:p>
    <w:p w14:paraId="791C2951">
      <w:pPr>
        <w:pageBreakBefore w:val="0"/>
        <w:kinsoku/>
        <w:wordWrap w:val="0"/>
        <w:overflowPunct/>
        <w:bidi w:val="0"/>
        <w:spacing w:line="440" w:lineRule="exact"/>
        <w:ind w:firstLine="480" w:firstLineChars="200"/>
        <w:rPr>
          <w:i w:val="0"/>
          <w:iCs w:val="0"/>
          <w:color w:val="auto"/>
          <w:sz w:val="24"/>
          <w:szCs w:val="24"/>
        </w:rPr>
      </w:pPr>
      <w:r>
        <w:rPr>
          <w:i w:val="0"/>
          <w:iCs w:val="0"/>
          <w:color w:val="auto"/>
          <w:sz w:val="24"/>
          <w:szCs w:val="24"/>
        </w:rPr>
        <w:t>特此证明。</w:t>
      </w:r>
    </w:p>
    <w:p w14:paraId="2346086A">
      <w:pPr>
        <w:pageBreakBefore w:val="0"/>
        <w:kinsoku/>
        <w:wordWrap w:val="0"/>
        <w:overflowPunct/>
        <w:bidi w:val="0"/>
        <w:spacing w:line="440" w:lineRule="exact"/>
        <w:rPr>
          <w:i w:val="0"/>
          <w:iCs w:val="0"/>
          <w:color w:val="auto"/>
          <w:sz w:val="24"/>
          <w:szCs w:val="24"/>
        </w:rPr>
      </w:pPr>
    </w:p>
    <w:p w14:paraId="039DCF6F">
      <w:pPr>
        <w:pageBreakBefore w:val="0"/>
        <w:kinsoku/>
        <w:wordWrap w:val="0"/>
        <w:overflowPunct/>
        <w:bidi w:val="0"/>
        <w:spacing w:line="440" w:lineRule="exact"/>
        <w:rPr>
          <w:i w:val="0"/>
          <w:iCs w:val="0"/>
          <w:color w:val="auto"/>
          <w:sz w:val="24"/>
          <w:szCs w:val="24"/>
        </w:rPr>
      </w:pPr>
      <w:r>
        <w:rPr>
          <w:i w:val="0"/>
          <w:iCs w:val="0"/>
          <w:color w:val="auto"/>
          <w:sz w:val="24"/>
          <w:szCs w:val="24"/>
        </w:rPr>
        <w:t>附：法定代表人身份证</w:t>
      </w:r>
      <w:r>
        <w:rPr>
          <w:rFonts w:hint="eastAsia"/>
          <w:i w:val="0"/>
          <w:iCs w:val="0"/>
          <w:color w:val="auto"/>
          <w:sz w:val="24"/>
          <w:szCs w:val="24"/>
          <w:lang w:eastAsia="zh-CN"/>
        </w:rPr>
        <w:t>原件正反面扫描件</w:t>
      </w:r>
      <w:r>
        <w:rPr>
          <w:i w:val="0"/>
          <w:iCs w:val="0"/>
          <w:color w:val="auto"/>
          <w:sz w:val="24"/>
          <w:szCs w:val="24"/>
        </w:rPr>
        <w:t>。</w:t>
      </w:r>
    </w:p>
    <w:p w14:paraId="3368FB3F">
      <w:pPr>
        <w:pageBreakBefore w:val="0"/>
        <w:kinsoku/>
        <w:wordWrap w:val="0"/>
        <w:overflowPunct/>
        <w:bidi w:val="0"/>
        <w:spacing w:line="440" w:lineRule="exact"/>
        <w:rPr>
          <w:i w:val="0"/>
          <w:iCs w:val="0"/>
          <w:color w:val="auto"/>
          <w:sz w:val="24"/>
          <w:szCs w:val="24"/>
        </w:rPr>
      </w:pPr>
    </w:p>
    <w:p w14:paraId="3B091D5E">
      <w:pPr>
        <w:pageBreakBefore w:val="0"/>
        <w:kinsoku/>
        <w:wordWrap w:val="0"/>
        <w:overflowPunct/>
        <w:bidi w:val="0"/>
        <w:spacing w:line="440" w:lineRule="exact"/>
        <w:rPr>
          <w:i w:val="0"/>
          <w:iCs w:val="0"/>
          <w:color w:val="auto"/>
          <w:sz w:val="24"/>
          <w:szCs w:val="24"/>
        </w:rPr>
      </w:pPr>
      <w:r>
        <w:rPr>
          <w:i w:val="0"/>
          <w:iCs w:val="0"/>
          <w:color w:val="auto"/>
          <w:sz w:val="24"/>
          <w:szCs w:val="24"/>
        </w:rPr>
        <w:t xml:space="preserve">                          投标人：</w:t>
      </w:r>
      <w:r>
        <w:rPr>
          <w:i w:val="0"/>
          <w:iCs w:val="0"/>
          <w:color w:val="auto"/>
          <w:sz w:val="24"/>
          <w:szCs w:val="24"/>
          <w:u w:val="single"/>
        </w:rPr>
        <w:t xml:space="preserve">                 </w:t>
      </w:r>
      <w:r>
        <w:rPr>
          <w:i w:val="0"/>
          <w:iCs w:val="0"/>
          <w:color w:val="auto"/>
          <w:sz w:val="24"/>
          <w:szCs w:val="24"/>
        </w:rPr>
        <w:t>（盖章）</w:t>
      </w:r>
    </w:p>
    <w:p w14:paraId="145C8FE4">
      <w:pPr>
        <w:pageBreakBefore w:val="0"/>
        <w:kinsoku/>
        <w:wordWrap w:val="0"/>
        <w:overflowPunct/>
        <w:bidi w:val="0"/>
        <w:spacing w:line="440" w:lineRule="exact"/>
        <w:rPr>
          <w:i/>
          <w:iCs/>
          <w:color w:val="auto"/>
          <w:sz w:val="24"/>
          <w:szCs w:val="24"/>
        </w:rPr>
      </w:pPr>
      <w:r>
        <w:rPr>
          <w:i w:val="0"/>
          <w:iCs w:val="0"/>
          <w:color w:val="auto"/>
          <w:sz w:val="24"/>
          <w:szCs w:val="24"/>
        </w:rPr>
        <w:t xml:space="preserve">                                </w:t>
      </w: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 xml:space="preserve"> 日       </w:t>
      </w:r>
      <w:r>
        <w:rPr>
          <w:i/>
          <w:iCs/>
          <w:color w:val="auto"/>
          <w:sz w:val="24"/>
          <w:szCs w:val="24"/>
        </w:rPr>
        <w:t xml:space="preserve">    </w:t>
      </w:r>
    </w:p>
    <w:p w14:paraId="66F905DA">
      <w:pPr>
        <w:pageBreakBefore w:val="0"/>
        <w:kinsoku/>
        <w:wordWrap w:val="0"/>
        <w:overflowPunct/>
        <w:bidi w:val="0"/>
        <w:spacing w:line="440" w:lineRule="exact"/>
        <w:jc w:val="center"/>
        <w:rPr>
          <w:rFonts w:eastAsia="黑体"/>
          <w:i/>
          <w:iCs/>
          <w:color w:val="auto"/>
          <w:sz w:val="20"/>
          <w:szCs w:val="20"/>
        </w:rPr>
      </w:pPr>
      <w:r>
        <w:rPr>
          <w:rFonts w:eastAsia="黑体"/>
          <w:i/>
          <w:iCs/>
          <w:color w:val="auto"/>
          <w:sz w:val="20"/>
          <w:szCs w:val="20"/>
        </w:rPr>
        <w:br w:type="page"/>
      </w:r>
    </w:p>
    <w:p w14:paraId="684FB0D6">
      <w:pPr>
        <w:pStyle w:val="4"/>
        <w:pageBreakBefore w:val="0"/>
        <w:kinsoku/>
        <w:wordWrap w:val="0"/>
        <w:overflowPunct/>
        <w:bidi w:val="0"/>
        <w:jc w:val="center"/>
        <w:outlineLvl w:val="2"/>
        <w:rPr>
          <w:rFonts w:hint="eastAsia" w:ascii="宋体" w:hAnsi="宋体" w:eastAsia="宋体" w:cs="宋体"/>
          <w:b/>
          <w:bCs w:val="0"/>
          <w:i w:val="0"/>
          <w:iCs w:val="0"/>
          <w:color w:val="auto"/>
          <w:sz w:val="28"/>
          <w:szCs w:val="28"/>
        </w:rPr>
      </w:pPr>
      <w:bookmarkStart w:id="3184" w:name="_Toc10273"/>
      <w:bookmarkStart w:id="3185" w:name="_Toc2982"/>
      <w:bookmarkStart w:id="3186" w:name="_Toc144974861"/>
      <w:bookmarkStart w:id="3187" w:name="_Toc152045792"/>
      <w:bookmarkStart w:id="3188" w:name="_Toc30240"/>
      <w:bookmarkStart w:id="3189" w:name="_Toc247514284"/>
      <w:bookmarkStart w:id="3190" w:name="_Toc247527832"/>
      <w:bookmarkStart w:id="3191" w:name="_Toc18475"/>
      <w:bookmarkStart w:id="3192" w:name="_Toc152042581"/>
      <w:bookmarkStart w:id="3193" w:name="_Toc29119"/>
      <w:r>
        <w:rPr>
          <w:rFonts w:hint="eastAsia" w:ascii="宋体" w:hAnsi="宋体" w:eastAsia="宋体" w:cs="宋体"/>
          <w:b/>
          <w:bCs w:val="0"/>
          <w:i w:val="0"/>
          <w:iCs w:val="0"/>
          <w:color w:val="auto"/>
          <w:sz w:val="28"/>
          <w:szCs w:val="28"/>
        </w:rPr>
        <w:t>授权委托书</w:t>
      </w:r>
      <w:bookmarkEnd w:id="3184"/>
      <w:bookmarkEnd w:id="3185"/>
      <w:bookmarkEnd w:id="3186"/>
      <w:bookmarkEnd w:id="3187"/>
      <w:bookmarkEnd w:id="3188"/>
      <w:bookmarkEnd w:id="3189"/>
      <w:bookmarkEnd w:id="3190"/>
      <w:bookmarkEnd w:id="3191"/>
      <w:bookmarkEnd w:id="3192"/>
      <w:bookmarkEnd w:id="3193"/>
    </w:p>
    <w:p w14:paraId="3610D3DF">
      <w:pPr>
        <w:pageBreakBefore w:val="0"/>
        <w:kinsoku/>
        <w:wordWrap w:val="0"/>
        <w:overflowPunct/>
        <w:bidi w:val="0"/>
        <w:spacing w:line="440" w:lineRule="exact"/>
        <w:rPr>
          <w:rFonts w:eastAsia="黑体"/>
          <w:i w:val="0"/>
          <w:iCs w:val="0"/>
          <w:color w:val="auto"/>
          <w:szCs w:val="21"/>
        </w:rPr>
      </w:pPr>
    </w:p>
    <w:p w14:paraId="7355A637">
      <w:pPr>
        <w:pageBreakBefore w:val="0"/>
        <w:kinsoku/>
        <w:wordWrap w:val="0"/>
        <w:overflowPunct/>
        <w:topLinePunct/>
        <w:bidi w:val="0"/>
        <w:spacing w:line="440" w:lineRule="exact"/>
        <w:ind w:firstLine="480" w:firstLineChars="200"/>
        <w:rPr>
          <w:i w:val="0"/>
          <w:iCs w:val="0"/>
          <w:color w:val="auto"/>
          <w:sz w:val="24"/>
          <w:szCs w:val="24"/>
        </w:rPr>
      </w:pPr>
      <w:r>
        <w:rPr>
          <w:i w:val="0"/>
          <w:iCs w:val="0"/>
          <w:color w:val="auto"/>
          <w:sz w:val="24"/>
          <w:szCs w:val="24"/>
        </w:rPr>
        <w:t>本人</w:t>
      </w:r>
      <w:r>
        <w:rPr>
          <w:i/>
          <w:iCs/>
          <w:color w:val="auto"/>
          <w:sz w:val="24"/>
          <w:szCs w:val="24"/>
          <w:u w:val="single"/>
        </w:rPr>
        <w:t>（姓名）</w:t>
      </w:r>
      <w:r>
        <w:rPr>
          <w:i w:val="0"/>
          <w:iCs w:val="0"/>
          <w:color w:val="auto"/>
          <w:sz w:val="24"/>
          <w:szCs w:val="24"/>
        </w:rPr>
        <w:t>系</w:t>
      </w:r>
      <w:r>
        <w:rPr>
          <w:i/>
          <w:iCs/>
          <w:color w:val="auto"/>
          <w:sz w:val="24"/>
          <w:szCs w:val="24"/>
          <w:u w:val="single"/>
        </w:rPr>
        <w:t>（投标人名称）</w:t>
      </w:r>
      <w:r>
        <w:rPr>
          <w:i w:val="0"/>
          <w:iCs w:val="0"/>
          <w:color w:val="auto"/>
          <w:sz w:val="24"/>
          <w:szCs w:val="24"/>
        </w:rPr>
        <w:t>的法定代表人，现委托</w:t>
      </w:r>
      <w:r>
        <w:rPr>
          <w:i/>
          <w:iCs/>
          <w:color w:val="auto"/>
          <w:sz w:val="24"/>
          <w:szCs w:val="24"/>
          <w:u w:val="single"/>
        </w:rPr>
        <w:t>（姓名）</w:t>
      </w:r>
      <w:r>
        <w:rPr>
          <w:i w:val="0"/>
          <w:iCs w:val="0"/>
          <w:color w:val="auto"/>
          <w:sz w:val="24"/>
          <w:szCs w:val="24"/>
        </w:rPr>
        <w:t>为我方代理人。代理人根据授权，以我方名义签署、澄清、说明、补正、递交、撤回、修改</w:t>
      </w:r>
      <w:r>
        <w:rPr>
          <w:i/>
          <w:iCs/>
          <w:color w:val="auto"/>
          <w:sz w:val="24"/>
          <w:szCs w:val="24"/>
          <w:u w:val="single"/>
        </w:rPr>
        <w:t>（项目名称）</w:t>
      </w:r>
      <w:r>
        <w:rPr>
          <w:i w:val="0"/>
          <w:iCs w:val="0"/>
          <w:color w:val="auto"/>
          <w:sz w:val="24"/>
          <w:szCs w:val="24"/>
        </w:rPr>
        <w:t>投标文件、签订合同和处理有关事宜，其法律后果由我方承担。</w:t>
      </w:r>
    </w:p>
    <w:p w14:paraId="5EA451A0">
      <w:pPr>
        <w:pageBreakBefore w:val="0"/>
        <w:kinsoku/>
        <w:wordWrap w:val="0"/>
        <w:overflowPunct/>
        <w:bidi w:val="0"/>
        <w:spacing w:line="440" w:lineRule="exact"/>
        <w:rPr>
          <w:i w:val="0"/>
          <w:iCs w:val="0"/>
          <w:color w:val="auto"/>
          <w:sz w:val="24"/>
          <w:szCs w:val="24"/>
        </w:rPr>
      </w:pPr>
      <w:r>
        <w:rPr>
          <w:i w:val="0"/>
          <w:iCs w:val="0"/>
          <w:color w:val="auto"/>
          <w:sz w:val="24"/>
          <w:szCs w:val="24"/>
        </w:rPr>
        <w:t>委托期限：</w:t>
      </w:r>
      <w:r>
        <w:rPr>
          <w:i w:val="0"/>
          <w:iCs w:val="0"/>
          <w:color w:val="auto"/>
          <w:sz w:val="24"/>
          <w:szCs w:val="24"/>
          <w:u w:val="single"/>
        </w:rPr>
        <w:t xml:space="preserve">             </w:t>
      </w:r>
      <w:r>
        <w:rPr>
          <w:i w:val="0"/>
          <w:iCs w:val="0"/>
          <w:color w:val="auto"/>
          <w:sz w:val="24"/>
          <w:szCs w:val="24"/>
        </w:rPr>
        <w:t>。</w:t>
      </w:r>
    </w:p>
    <w:p w14:paraId="098CCBA2">
      <w:pPr>
        <w:pageBreakBefore w:val="0"/>
        <w:kinsoku/>
        <w:wordWrap w:val="0"/>
        <w:overflowPunct/>
        <w:bidi w:val="0"/>
        <w:spacing w:line="440" w:lineRule="exact"/>
        <w:ind w:firstLine="480" w:firstLineChars="200"/>
        <w:rPr>
          <w:i w:val="0"/>
          <w:iCs w:val="0"/>
          <w:color w:val="auto"/>
          <w:sz w:val="24"/>
          <w:szCs w:val="24"/>
        </w:rPr>
      </w:pPr>
      <w:r>
        <w:rPr>
          <w:i w:val="0"/>
          <w:iCs w:val="0"/>
          <w:color w:val="auto"/>
          <w:sz w:val="24"/>
          <w:szCs w:val="24"/>
        </w:rPr>
        <w:t>代理人无转委托权。</w:t>
      </w:r>
    </w:p>
    <w:p w14:paraId="2C29B7E3">
      <w:pPr>
        <w:pageBreakBefore w:val="0"/>
        <w:kinsoku/>
        <w:wordWrap w:val="0"/>
        <w:overflowPunct/>
        <w:bidi w:val="0"/>
        <w:spacing w:line="440" w:lineRule="exact"/>
        <w:rPr>
          <w:i w:val="0"/>
          <w:iCs w:val="0"/>
          <w:color w:val="auto"/>
          <w:sz w:val="24"/>
          <w:szCs w:val="24"/>
        </w:rPr>
      </w:pPr>
    </w:p>
    <w:p w14:paraId="21E88DCE">
      <w:pPr>
        <w:pageBreakBefore w:val="0"/>
        <w:kinsoku/>
        <w:wordWrap w:val="0"/>
        <w:overflowPunct/>
        <w:bidi w:val="0"/>
        <w:spacing w:line="440" w:lineRule="exact"/>
        <w:rPr>
          <w:i w:val="0"/>
          <w:iCs w:val="0"/>
          <w:color w:val="auto"/>
          <w:sz w:val="24"/>
          <w:szCs w:val="24"/>
        </w:rPr>
      </w:pPr>
    </w:p>
    <w:p w14:paraId="3767199C">
      <w:pPr>
        <w:pageBreakBefore w:val="0"/>
        <w:kinsoku/>
        <w:wordWrap w:val="0"/>
        <w:overflowPunct/>
        <w:bidi w:val="0"/>
        <w:spacing w:line="440" w:lineRule="exact"/>
        <w:rPr>
          <w:i w:val="0"/>
          <w:iCs w:val="0"/>
          <w:color w:val="auto"/>
          <w:sz w:val="24"/>
          <w:szCs w:val="24"/>
        </w:rPr>
      </w:pPr>
      <w:r>
        <w:rPr>
          <w:i w:val="0"/>
          <w:iCs w:val="0"/>
          <w:color w:val="auto"/>
          <w:sz w:val="24"/>
          <w:szCs w:val="24"/>
        </w:rPr>
        <w:t>投标人：</w:t>
      </w:r>
      <w:r>
        <w:rPr>
          <w:i w:val="0"/>
          <w:iCs w:val="0"/>
          <w:color w:val="auto"/>
          <w:sz w:val="24"/>
          <w:szCs w:val="24"/>
          <w:u w:val="single"/>
        </w:rPr>
        <w:t xml:space="preserve">                               </w:t>
      </w:r>
      <w:r>
        <w:rPr>
          <w:i w:val="0"/>
          <w:iCs w:val="0"/>
          <w:color w:val="auto"/>
          <w:sz w:val="24"/>
          <w:szCs w:val="24"/>
        </w:rPr>
        <w:t>（盖章）</w:t>
      </w:r>
    </w:p>
    <w:p w14:paraId="17375B8A">
      <w:pPr>
        <w:pageBreakBefore w:val="0"/>
        <w:kinsoku/>
        <w:wordWrap w:val="0"/>
        <w:overflowPunct/>
        <w:bidi w:val="0"/>
        <w:spacing w:line="440" w:lineRule="exact"/>
        <w:rPr>
          <w:i w:val="0"/>
          <w:iCs w:val="0"/>
          <w:color w:val="auto"/>
          <w:sz w:val="24"/>
          <w:szCs w:val="24"/>
        </w:rPr>
      </w:pPr>
    </w:p>
    <w:p w14:paraId="38A318D1">
      <w:pPr>
        <w:pageBreakBefore w:val="0"/>
        <w:kinsoku/>
        <w:wordWrap w:val="0"/>
        <w:overflowPunct/>
        <w:bidi w:val="0"/>
        <w:spacing w:line="440" w:lineRule="exact"/>
        <w:rPr>
          <w:i w:val="0"/>
          <w:iCs w:val="0"/>
          <w:color w:val="auto"/>
          <w:sz w:val="24"/>
          <w:szCs w:val="24"/>
        </w:rPr>
      </w:pPr>
      <w:r>
        <w:rPr>
          <w:i w:val="0"/>
          <w:iCs w:val="0"/>
          <w:color w:val="auto"/>
          <w:sz w:val="24"/>
          <w:szCs w:val="24"/>
        </w:rPr>
        <w:t>法定代表人：</w:t>
      </w:r>
      <w:r>
        <w:rPr>
          <w:i w:val="0"/>
          <w:iCs w:val="0"/>
          <w:color w:val="auto"/>
          <w:sz w:val="24"/>
          <w:szCs w:val="24"/>
          <w:u w:val="single"/>
        </w:rPr>
        <w:t xml:space="preserve">                               </w:t>
      </w:r>
      <w:r>
        <w:rPr>
          <w:i w:val="0"/>
          <w:iCs w:val="0"/>
          <w:color w:val="auto"/>
          <w:sz w:val="24"/>
          <w:szCs w:val="24"/>
        </w:rPr>
        <w:t>（签字</w:t>
      </w:r>
      <w:r>
        <w:rPr>
          <w:rFonts w:hint="eastAsia"/>
          <w:i w:val="0"/>
          <w:iCs w:val="0"/>
          <w:color w:val="auto"/>
          <w:sz w:val="24"/>
          <w:szCs w:val="24"/>
        </w:rPr>
        <w:t>或盖章</w:t>
      </w:r>
      <w:r>
        <w:rPr>
          <w:i w:val="0"/>
          <w:iCs w:val="0"/>
          <w:color w:val="auto"/>
          <w:sz w:val="24"/>
          <w:szCs w:val="24"/>
        </w:rPr>
        <w:t>）</w:t>
      </w:r>
    </w:p>
    <w:p w14:paraId="46ECA905">
      <w:pPr>
        <w:pageBreakBefore w:val="0"/>
        <w:kinsoku/>
        <w:wordWrap w:val="0"/>
        <w:overflowPunct/>
        <w:bidi w:val="0"/>
        <w:spacing w:line="440" w:lineRule="exact"/>
        <w:rPr>
          <w:i w:val="0"/>
          <w:iCs w:val="0"/>
          <w:color w:val="auto"/>
          <w:sz w:val="24"/>
          <w:szCs w:val="24"/>
        </w:rPr>
      </w:pPr>
    </w:p>
    <w:p w14:paraId="5F3360F5">
      <w:pPr>
        <w:pageBreakBefore w:val="0"/>
        <w:kinsoku/>
        <w:wordWrap w:val="0"/>
        <w:overflowPunct/>
        <w:bidi w:val="0"/>
        <w:spacing w:line="440" w:lineRule="exact"/>
        <w:rPr>
          <w:i w:val="0"/>
          <w:iCs w:val="0"/>
          <w:color w:val="auto"/>
          <w:sz w:val="24"/>
          <w:szCs w:val="24"/>
        </w:rPr>
      </w:pPr>
      <w:r>
        <w:rPr>
          <w:i w:val="0"/>
          <w:iCs w:val="0"/>
          <w:color w:val="auto"/>
          <w:sz w:val="24"/>
          <w:szCs w:val="24"/>
        </w:rPr>
        <w:t>身份证号码：</w:t>
      </w:r>
      <w:r>
        <w:rPr>
          <w:i w:val="0"/>
          <w:iCs w:val="0"/>
          <w:color w:val="auto"/>
          <w:sz w:val="24"/>
          <w:szCs w:val="24"/>
          <w:u w:val="single"/>
        </w:rPr>
        <w:t xml:space="preserve">                                     </w:t>
      </w:r>
    </w:p>
    <w:p w14:paraId="58B6FE19">
      <w:pPr>
        <w:pageBreakBefore w:val="0"/>
        <w:kinsoku/>
        <w:wordWrap w:val="0"/>
        <w:overflowPunct/>
        <w:bidi w:val="0"/>
        <w:spacing w:line="440" w:lineRule="exact"/>
        <w:rPr>
          <w:i w:val="0"/>
          <w:iCs w:val="0"/>
          <w:color w:val="auto"/>
          <w:sz w:val="24"/>
          <w:szCs w:val="24"/>
        </w:rPr>
      </w:pPr>
    </w:p>
    <w:p w14:paraId="2D5F9CD1">
      <w:pPr>
        <w:pageBreakBefore w:val="0"/>
        <w:kinsoku/>
        <w:wordWrap w:val="0"/>
        <w:overflowPunct/>
        <w:bidi w:val="0"/>
        <w:spacing w:line="440" w:lineRule="exact"/>
        <w:rPr>
          <w:i w:val="0"/>
          <w:iCs w:val="0"/>
          <w:color w:val="auto"/>
          <w:sz w:val="24"/>
          <w:szCs w:val="24"/>
        </w:rPr>
      </w:pPr>
      <w:r>
        <w:rPr>
          <w:i w:val="0"/>
          <w:iCs w:val="0"/>
          <w:color w:val="auto"/>
          <w:sz w:val="24"/>
          <w:szCs w:val="24"/>
        </w:rPr>
        <w:t>委托代理人：</w:t>
      </w:r>
      <w:r>
        <w:rPr>
          <w:i w:val="0"/>
          <w:iCs w:val="0"/>
          <w:color w:val="auto"/>
          <w:sz w:val="24"/>
          <w:szCs w:val="24"/>
          <w:u w:val="single"/>
        </w:rPr>
        <w:t xml:space="preserve">                                   </w:t>
      </w:r>
      <w:r>
        <w:rPr>
          <w:i w:val="0"/>
          <w:iCs w:val="0"/>
          <w:color w:val="auto"/>
          <w:sz w:val="24"/>
          <w:szCs w:val="24"/>
        </w:rPr>
        <w:t>（签字</w:t>
      </w:r>
      <w:r>
        <w:rPr>
          <w:rFonts w:hint="eastAsia"/>
          <w:i w:val="0"/>
          <w:iCs w:val="0"/>
          <w:color w:val="auto"/>
          <w:sz w:val="24"/>
          <w:szCs w:val="24"/>
        </w:rPr>
        <w:t>或盖章</w:t>
      </w:r>
      <w:r>
        <w:rPr>
          <w:i w:val="0"/>
          <w:iCs w:val="0"/>
          <w:color w:val="auto"/>
          <w:sz w:val="24"/>
          <w:szCs w:val="24"/>
        </w:rPr>
        <w:t xml:space="preserve">） </w:t>
      </w:r>
    </w:p>
    <w:p w14:paraId="10AD8048">
      <w:pPr>
        <w:pageBreakBefore w:val="0"/>
        <w:kinsoku/>
        <w:wordWrap w:val="0"/>
        <w:overflowPunct/>
        <w:bidi w:val="0"/>
        <w:spacing w:line="440" w:lineRule="exact"/>
        <w:rPr>
          <w:i w:val="0"/>
          <w:iCs w:val="0"/>
          <w:color w:val="auto"/>
          <w:sz w:val="24"/>
          <w:szCs w:val="24"/>
        </w:rPr>
      </w:pPr>
    </w:p>
    <w:p w14:paraId="71FC84DE">
      <w:pPr>
        <w:pageBreakBefore w:val="0"/>
        <w:kinsoku/>
        <w:wordWrap w:val="0"/>
        <w:overflowPunct/>
        <w:bidi w:val="0"/>
        <w:spacing w:line="440" w:lineRule="exact"/>
        <w:rPr>
          <w:i w:val="0"/>
          <w:iCs w:val="0"/>
          <w:color w:val="auto"/>
          <w:sz w:val="24"/>
          <w:szCs w:val="24"/>
          <w:u w:val="single"/>
        </w:rPr>
      </w:pPr>
      <w:r>
        <w:rPr>
          <w:i w:val="0"/>
          <w:iCs w:val="0"/>
          <w:color w:val="auto"/>
          <w:sz w:val="24"/>
          <w:szCs w:val="24"/>
        </w:rPr>
        <w:t>身份证号码：</w:t>
      </w:r>
      <w:r>
        <w:rPr>
          <w:i w:val="0"/>
          <w:iCs w:val="0"/>
          <w:color w:val="auto"/>
          <w:sz w:val="24"/>
          <w:szCs w:val="24"/>
          <w:u w:val="single"/>
        </w:rPr>
        <w:t xml:space="preserve">                            </w:t>
      </w:r>
    </w:p>
    <w:p w14:paraId="4AD4898C">
      <w:pPr>
        <w:pageBreakBefore w:val="0"/>
        <w:kinsoku/>
        <w:wordWrap w:val="0"/>
        <w:overflowPunct/>
        <w:bidi w:val="0"/>
        <w:spacing w:line="440" w:lineRule="exact"/>
        <w:rPr>
          <w:i w:val="0"/>
          <w:iCs w:val="0"/>
          <w:color w:val="auto"/>
          <w:sz w:val="24"/>
          <w:szCs w:val="24"/>
        </w:rPr>
      </w:pPr>
    </w:p>
    <w:p w14:paraId="5C747BE5">
      <w:pPr>
        <w:pageBreakBefore w:val="0"/>
        <w:kinsoku/>
        <w:wordWrap w:val="0"/>
        <w:overflowPunct/>
        <w:bidi w:val="0"/>
        <w:spacing w:line="440" w:lineRule="exact"/>
        <w:rPr>
          <w:rFonts w:hint="eastAsia" w:eastAsia="宋体"/>
          <w:i w:val="0"/>
          <w:iCs w:val="0"/>
          <w:color w:val="auto"/>
          <w:sz w:val="24"/>
          <w:szCs w:val="24"/>
          <w:lang w:eastAsia="zh-CN"/>
        </w:rPr>
      </w:pPr>
      <w:r>
        <w:rPr>
          <w:i w:val="0"/>
          <w:iCs w:val="0"/>
          <w:color w:val="auto"/>
          <w:sz w:val="24"/>
          <w:szCs w:val="24"/>
        </w:rPr>
        <w:t>附</w:t>
      </w:r>
      <w:r>
        <w:rPr>
          <w:rFonts w:hint="eastAsia"/>
          <w:i w:val="0"/>
          <w:iCs w:val="0"/>
          <w:color w:val="auto"/>
          <w:sz w:val="24"/>
          <w:szCs w:val="24"/>
          <w:lang w:eastAsia="zh-CN"/>
        </w:rPr>
        <w:t>法定代表人及委托代理人</w:t>
      </w:r>
      <w:r>
        <w:rPr>
          <w:i w:val="0"/>
          <w:iCs w:val="0"/>
          <w:color w:val="auto"/>
          <w:sz w:val="24"/>
          <w:szCs w:val="24"/>
        </w:rPr>
        <w:t>身份证</w:t>
      </w:r>
      <w:r>
        <w:rPr>
          <w:rFonts w:hint="eastAsia"/>
          <w:i w:val="0"/>
          <w:iCs w:val="0"/>
          <w:color w:val="auto"/>
          <w:sz w:val="24"/>
          <w:szCs w:val="24"/>
          <w:lang w:eastAsia="zh-CN"/>
        </w:rPr>
        <w:t>原件正反面扫描件</w:t>
      </w:r>
    </w:p>
    <w:p w14:paraId="7591EE0E">
      <w:pPr>
        <w:pageBreakBefore w:val="0"/>
        <w:kinsoku/>
        <w:wordWrap w:val="0"/>
        <w:overflowPunct/>
        <w:bidi w:val="0"/>
        <w:spacing w:line="440" w:lineRule="exact"/>
        <w:rPr>
          <w:i w:val="0"/>
          <w:iCs w:val="0"/>
          <w:color w:val="auto"/>
          <w:sz w:val="24"/>
          <w:szCs w:val="24"/>
        </w:rPr>
      </w:pPr>
    </w:p>
    <w:p w14:paraId="31792C42">
      <w:pPr>
        <w:pageBreakBefore w:val="0"/>
        <w:kinsoku/>
        <w:wordWrap w:val="0"/>
        <w:overflowPunct/>
        <w:bidi w:val="0"/>
        <w:spacing w:line="440" w:lineRule="exact"/>
        <w:rPr>
          <w:i w:val="0"/>
          <w:iCs w:val="0"/>
          <w:color w:val="auto"/>
          <w:sz w:val="24"/>
          <w:szCs w:val="24"/>
        </w:rPr>
      </w:pPr>
    </w:p>
    <w:p w14:paraId="0557820C">
      <w:pPr>
        <w:pageBreakBefore w:val="0"/>
        <w:kinsoku/>
        <w:wordWrap w:val="0"/>
        <w:overflowPunct/>
        <w:bidi w:val="0"/>
        <w:spacing w:line="440" w:lineRule="exact"/>
        <w:ind w:firstLine="5880" w:firstLineChars="2450"/>
        <w:rPr>
          <w:rFonts w:eastAsia="黑体"/>
          <w:i w:val="0"/>
          <w:iCs w:val="0"/>
          <w:color w:val="auto"/>
          <w:sz w:val="24"/>
          <w:szCs w:val="24"/>
        </w:rPr>
      </w:pP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日</w:t>
      </w:r>
    </w:p>
    <w:p w14:paraId="72E51997">
      <w:pPr>
        <w:pageBreakBefore w:val="0"/>
        <w:kinsoku/>
        <w:wordWrap w:val="0"/>
        <w:overflowPunct/>
        <w:bidi w:val="0"/>
        <w:spacing w:line="400" w:lineRule="exact"/>
        <w:jc w:val="center"/>
        <w:outlineLvl w:val="1"/>
        <w:rPr>
          <w:rFonts w:hint="eastAsia" w:ascii="国标黑体" w:hAnsi="国标黑体" w:eastAsia="国标黑体" w:cs="国标黑体"/>
          <w:b/>
          <w:bCs/>
          <w:i w:val="0"/>
          <w:iCs w:val="0"/>
          <w:color w:val="auto"/>
          <w:sz w:val="28"/>
          <w:szCs w:val="28"/>
          <w:lang w:eastAsia="zh-CN"/>
        </w:rPr>
      </w:pPr>
      <w:r>
        <w:rPr>
          <w:rFonts w:eastAsia="黑体"/>
          <w:i/>
          <w:iCs/>
          <w:color w:val="auto"/>
          <w:sz w:val="20"/>
          <w:szCs w:val="20"/>
        </w:rPr>
        <w:br w:type="page"/>
      </w:r>
      <w:bookmarkStart w:id="3194" w:name="_Toc32237"/>
      <w:bookmarkStart w:id="3195" w:name="_Toc247527833"/>
      <w:bookmarkStart w:id="3196" w:name="_Toc152042582"/>
      <w:bookmarkStart w:id="3197" w:name="_Toc8948"/>
      <w:bookmarkStart w:id="3198" w:name="_Toc10680"/>
      <w:bookmarkStart w:id="3199" w:name="_Toc247514285"/>
      <w:bookmarkStart w:id="3200" w:name="_Toc3882"/>
      <w:bookmarkStart w:id="3201" w:name="_Toc13322"/>
      <w:bookmarkStart w:id="3202" w:name="_Toc152045793"/>
      <w:r>
        <w:rPr>
          <w:rFonts w:hint="eastAsia" w:ascii="宋体" w:hAnsi="宋体" w:eastAsia="宋体" w:cs="宋体"/>
          <w:b/>
          <w:bCs/>
          <w:i w:val="0"/>
          <w:iCs w:val="0"/>
          <w:color w:val="auto"/>
          <w:sz w:val="28"/>
          <w:szCs w:val="28"/>
          <w:lang w:eastAsia="zh-CN"/>
        </w:rPr>
        <w:t>三、</w:t>
      </w:r>
      <w:r>
        <w:rPr>
          <w:rFonts w:hint="eastAsia" w:ascii="宋体" w:hAnsi="宋体" w:eastAsia="宋体" w:cs="宋体"/>
          <w:b/>
          <w:bCs/>
          <w:i w:val="0"/>
          <w:iCs w:val="0"/>
          <w:color w:val="auto"/>
          <w:sz w:val="28"/>
          <w:szCs w:val="28"/>
        </w:rPr>
        <w:t>联合体协议书</w:t>
      </w:r>
      <w:bookmarkEnd w:id="3194"/>
      <w:bookmarkEnd w:id="3195"/>
      <w:bookmarkEnd w:id="3196"/>
      <w:bookmarkEnd w:id="3197"/>
      <w:bookmarkEnd w:id="3198"/>
      <w:bookmarkEnd w:id="3199"/>
      <w:bookmarkEnd w:id="3200"/>
      <w:bookmarkEnd w:id="3201"/>
      <w:bookmarkEnd w:id="3202"/>
    </w:p>
    <w:p w14:paraId="00E7FDA8">
      <w:pPr>
        <w:numPr>
          <w:ilvl w:val="0"/>
          <w:numId w:val="0"/>
        </w:numPr>
        <w:ind w:leftChars="200"/>
        <w:jc w:val="center"/>
        <w:rPr>
          <w:rFonts w:hint="eastAsia"/>
          <w:i w:val="0"/>
          <w:iCs w:val="0"/>
          <w:color w:val="auto"/>
          <w:lang w:eastAsia="zh-CN"/>
        </w:rPr>
      </w:pPr>
      <w:r>
        <w:rPr>
          <w:rFonts w:hint="eastAsia"/>
          <w:i w:val="0"/>
          <w:iCs w:val="0"/>
          <w:color w:val="auto"/>
          <w:lang w:eastAsia="zh-CN"/>
        </w:rPr>
        <w:t>（格式供参考）</w:t>
      </w:r>
    </w:p>
    <w:p w14:paraId="51C374E1">
      <w:pPr>
        <w:pageBreakBefore w:val="0"/>
        <w:kinsoku/>
        <w:wordWrap w:val="0"/>
        <w:overflowPunct/>
        <w:bidi w:val="0"/>
        <w:spacing w:line="400" w:lineRule="exact"/>
        <w:rPr>
          <w:i w:val="0"/>
          <w:iCs w:val="0"/>
          <w:color w:val="auto"/>
          <w:szCs w:val="21"/>
        </w:rPr>
      </w:pPr>
    </w:p>
    <w:p w14:paraId="78778EE4">
      <w:pPr>
        <w:pageBreakBefore w:val="0"/>
        <w:kinsoku/>
        <w:wordWrap w:val="0"/>
        <w:overflowPunct/>
        <w:topLinePunct/>
        <w:bidi w:val="0"/>
        <w:spacing w:line="440" w:lineRule="exact"/>
        <w:ind w:firstLine="480" w:firstLineChars="200"/>
        <w:rPr>
          <w:i w:val="0"/>
          <w:iCs w:val="0"/>
          <w:color w:val="auto"/>
          <w:sz w:val="24"/>
          <w:szCs w:val="24"/>
        </w:rPr>
      </w:pPr>
      <w:r>
        <w:rPr>
          <w:i/>
          <w:iCs/>
          <w:color w:val="auto"/>
          <w:sz w:val="24"/>
          <w:szCs w:val="24"/>
          <w:u w:val="single"/>
        </w:rPr>
        <w:t>（所有成员单位名称）</w:t>
      </w:r>
      <w:r>
        <w:rPr>
          <w:i w:val="0"/>
          <w:iCs w:val="0"/>
          <w:color w:val="auto"/>
          <w:sz w:val="24"/>
          <w:szCs w:val="24"/>
        </w:rPr>
        <w:t>自愿组成</w:t>
      </w:r>
      <w:r>
        <w:rPr>
          <w:i/>
          <w:iCs/>
          <w:color w:val="auto"/>
          <w:sz w:val="24"/>
          <w:szCs w:val="24"/>
          <w:u w:val="single"/>
        </w:rPr>
        <w:t>（联合体名称）</w:t>
      </w:r>
      <w:r>
        <w:rPr>
          <w:i w:val="0"/>
          <w:iCs w:val="0"/>
          <w:color w:val="auto"/>
          <w:sz w:val="24"/>
          <w:szCs w:val="24"/>
        </w:rPr>
        <w:t>联合体，共同参加</w:t>
      </w:r>
      <w:r>
        <w:rPr>
          <w:i/>
          <w:iCs/>
          <w:color w:val="auto"/>
          <w:sz w:val="24"/>
          <w:szCs w:val="24"/>
          <w:u w:val="single"/>
        </w:rPr>
        <w:t>（项目名称）</w:t>
      </w:r>
      <w:r>
        <w:rPr>
          <w:i w:val="0"/>
          <w:iCs w:val="0"/>
          <w:color w:val="auto"/>
          <w:sz w:val="24"/>
          <w:szCs w:val="24"/>
        </w:rPr>
        <w:t>投标。现就联合体投标事宜订立如下协议。</w:t>
      </w:r>
    </w:p>
    <w:p w14:paraId="39DF1B78">
      <w:pPr>
        <w:pageBreakBefore w:val="0"/>
        <w:kinsoku/>
        <w:wordWrap w:val="0"/>
        <w:overflowPunct/>
        <w:topLinePunct/>
        <w:bidi w:val="0"/>
        <w:spacing w:line="440" w:lineRule="exact"/>
        <w:ind w:firstLine="480" w:firstLineChars="200"/>
        <w:rPr>
          <w:i w:val="0"/>
          <w:iCs w:val="0"/>
          <w:color w:val="auto"/>
          <w:sz w:val="24"/>
          <w:szCs w:val="24"/>
        </w:rPr>
      </w:pPr>
      <w:r>
        <w:rPr>
          <w:i w:val="0"/>
          <w:iCs w:val="0"/>
          <w:color w:val="auto"/>
          <w:sz w:val="24"/>
          <w:szCs w:val="24"/>
        </w:rPr>
        <w:t>1、</w:t>
      </w:r>
      <w:r>
        <w:rPr>
          <w:i/>
          <w:iCs/>
          <w:color w:val="auto"/>
          <w:sz w:val="24"/>
          <w:szCs w:val="24"/>
          <w:u w:val="single"/>
        </w:rPr>
        <w:t>（某成员单位名称）</w:t>
      </w:r>
      <w:r>
        <w:rPr>
          <w:i w:val="0"/>
          <w:iCs w:val="0"/>
          <w:color w:val="auto"/>
          <w:sz w:val="24"/>
          <w:szCs w:val="24"/>
          <w:u w:val="single"/>
        </w:rPr>
        <w:t xml:space="preserve"> </w:t>
      </w:r>
      <w:r>
        <w:rPr>
          <w:i w:val="0"/>
          <w:iCs w:val="0"/>
          <w:color w:val="auto"/>
          <w:sz w:val="24"/>
          <w:szCs w:val="24"/>
        </w:rPr>
        <w:t>为</w:t>
      </w:r>
      <w:r>
        <w:rPr>
          <w:i/>
          <w:iCs/>
          <w:color w:val="auto"/>
          <w:sz w:val="24"/>
          <w:szCs w:val="24"/>
          <w:u w:val="single"/>
        </w:rPr>
        <w:t>（联合体名称）</w:t>
      </w:r>
      <w:r>
        <w:rPr>
          <w:i w:val="0"/>
          <w:iCs w:val="0"/>
          <w:color w:val="auto"/>
          <w:sz w:val="24"/>
          <w:szCs w:val="24"/>
        </w:rPr>
        <w:t>牵头人。</w:t>
      </w:r>
    </w:p>
    <w:p w14:paraId="48121D86">
      <w:pPr>
        <w:pageBreakBefore w:val="0"/>
        <w:kinsoku/>
        <w:wordWrap w:val="0"/>
        <w:overflowPunct/>
        <w:topLinePunct/>
        <w:bidi w:val="0"/>
        <w:spacing w:line="440" w:lineRule="exact"/>
        <w:ind w:firstLine="480" w:firstLineChars="200"/>
        <w:rPr>
          <w:i w:val="0"/>
          <w:iCs w:val="0"/>
          <w:color w:val="auto"/>
          <w:sz w:val="24"/>
          <w:szCs w:val="24"/>
        </w:rPr>
      </w:pPr>
      <w:r>
        <w:rPr>
          <w:i w:val="0"/>
          <w:iCs w:val="0"/>
          <w:color w:val="auto"/>
          <w:sz w:val="24"/>
          <w:szCs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1644808">
      <w:pPr>
        <w:pageBreakBefore w:val="0"/>
        <w:kinsoku/>
        <w:wordWrap w:val="0"/>
        <w:overflowPunct/>
        <w:topLinePunct/>
        <w:bidi w:val="0"/>
        <w:spacing w:line="440" w:lineRule="exact"/>
        <w:ind w:firstLine="480" w:firstLineChars="200"/>
        <w:rPr>
          <w:i w:val="0"/>
          <w:iCs w:val="0"/>
          <w:color w:val="auto"/>
          <w:sz w:val="24"/>
          <w:szCs w:val="24"/>
        </w:rPr>
      </w:pPr>
      <w:r>
        <w:rPr>
          <w:i w:val="0"/>
          <w:iCs w:val="0"/>
          <w:color w:val="auto"/>
          <w:sz w:val="24"/>
          <w:szCs w:val="24"/>
        </w:rPr>
        <w:t>3、联合体将严格按照招标文件的各项要求，递交投标文件，履行合同，并对外承担连带责任。</w:t>
      </w:r>
    </w:p>
    <w:p w14:paraId="5CCBE70B">
      <w:pPr>
        <w:pageBreakBefore w:val="0"/>
        <w:kinsoku/>
        <w:wordWrap w:val="0"/>
        <w:overflowPunct/>
        <w:topLinePunct/>
        <w:bidi w:val="0"/>
        <w:spacing w:line="440" w:lineRule="exact"/>
        <w:ind w:firstLine="480" w:firstLineChars="200"/>
        <w:rPr>
          <w:i w:val="0"/>
          <w:iCs w:val="0"/>
          <w:color w:val="auto"/>
          <w:sz w:val="24"/>
          <w:szCs w:val="24"/>
        </w:rPr>
      </w:pPr>
      <w:r>
        <w:rPr>
          <w:i w:val="0"/>
          <w:iCs w:val="0"/>
          <w:color w:val="auto"/>
          <w:sz w:val="24"/>
          <w:szCs w:val="24"/>
        </w:rPr>
        <w:t>4、联合体各成员单位内部的职责分工如下：</w:t>
      </w:r>
      <w:r>
        <w:rPr>
          <w:i w:val="0"/>
          <w:iCs w:val="0"/>
          <w:color w:val="auto"/>
          <w:sz w:val="24"/>
          <w:szCs w:val="24"/>
          <w:u w:val="single"/>
        </w:rPr>
        <w:t xml:space="preserve">                 </w:t>
      </w:r>
      <w:r>
        <w:rPr>
          <w:i w:val="0"/>
          <w:iCs w:val="0"/>
          <w:color w:val="auto"/>
          <w:sz w:val="24"/>
          <w:szCs w:val="24"/>
        </w:rPr>
        <w:t xml:space="preserve"> 。</w:t>
      </w:r>
    </w:p>
    <w:p w14:paraId="724B803D">
      <w:pPr>
        <w:pageBreakBefore w:val="0"/>
        <w:kinsoku/>
        <w:wordWrap w:val="0"/>
        <w:overflowPunct/>
        <w:topLinePunct/>
        <w:bidi w:val="0"/>
        <w:spacing w:line="440" w:lineRule="exact"/>
        <w:ind w:firstLine="480" w:firstLineChars="200"/>
        <w:rPr>
          <w:rFonts w:hint="default" w:eastAsia="宋体"/>
          <w:i w:val="0"/>
          <w:iCs w:val="0"/>
          <w:color w:val="auto"/>
          <w:sz w:val="24"/>
          <w:szCs w:val="24"/>
          <w:u w:val="single"/>
          <w:lang w:val="en-US" w:eastAsia="zh-CN"/>
        </w:rPr>
      </w:pPr>
      <w:r>
        <w:rPr>
          <w:rFonts w:hint="eastAsia"/>
          <w:i w:val="0"/>
          <w:iCs w:val="0"/>
          <w:color w:val="auto"/>
          <w:sz w:val="24"/>
          <w:szCs w:val="24"/>
          <w:lang w:val="en-US" w:eastAsia="zh-CN"/>
        </w:rPr>
        <w:t>5、联合体各成员单位关于收取招标人支付项目各项费用的约定如下：</w:t>
      </w:r>
      <w:r>
        <w:rPr>
          <w:rFonts w:hint="eastAsia"/>
          <w:i w:val="0"/>
          <w:iCs w:val="0"/>
          <w:color w:val="auto"/>
          <w:sz w:val="24"/>
          <w:szCs w:val="24"/>
          <w:u w:val="single"/>
          <w:lang w:val="en-US" w:eastAsia="zh-CN"/>
        </w:rPr>
        <w:t xml:space="preserve">        </w:t>
      </w:r>
      <w:r>
        <w:rPr>
          <w:rFonts w:hint="eastAsia"/>
          <w:i w:val="0"/>
          <w:iCs w:val="0"/>
          <w:color w:val="auto"/>
          <w:sz w:val="24"/>
          <w:szCs w:val="24"/>
          <w:u w:val="none"/>
          <w:lang w:val="en-US" w:eastAsia="zh-CN"/>
        </w:rPr>
        <w:t>。</w:t>
      </w:r>
    </w:p>
    <w:p w14:paraId="5E75DF28">
      <w:pPr>
        <w:pageBreakBefore w:val="0"/>
        <w:kinsoku/>
        <w:wordWrap w:val="0"/>
        <w:overflowPunct/>
        <w:topLinePunct/>
        <w:bidi w:val="0"/>
        <w:spacing w:line="440" w:lineRule="exact"/>
        <w:ind w:firstLine="480" w:firstLineChars="200"/>
        <w:rPr>
          <w:i w:val="0"/>
          <w:iCs w:val="0"/>
          <w:color w:val="auto"/>
          <w:sz w:val="24"/>
          <w:szCs w:val="24"/>
        </w:rPr>
      </w:pPr>
      <w:r>
        <w:rPr>
          <w:rFonts w:hint="eastAsia"/>
          <w:i w:val="0"/>
          <w:iCs w:val="0"/>
          <w:color w:val="auto"/>
          <w:sz w:val="24"/>
          <w:szCs w:val="24"/>
          <w:lang w:val="en-US" w:eastAsia="zh-CN"/>
        </w:rPr>
        <w:t>6</w:t>
      </w:r>
      <w:r>
        <w:rPr>
          <w:i w:val="0"/>
          <w:iCs w:val="0"/>
          <w:color w:val="auto"/>
          <w:sz w:val="24"/>
          <w:szCs w:val="24"/>
        </w:rPr>
        <w:t xml:space="preserve">、本协议书自签署之日起生效，合同履行完毕后自动失效。 </w:t>
      </w:r>
    </w:p>
    <w:p w14:paraId="77C3A87C">
      <w:pPr>
        <w:pageBreakBefore w:val="0"/>
        <w:kinsoku/>
        <w:wordWrap w:val="0"/>
        <w:overflowPunct/>
        <w:topLinePunct/>
        <w:bidi w:val="0"/>
        <w:spacing w:line="440" w:lineRule="exact"/>
        <w:ind w:firstLine="480" w:firstLineChars="200"/>
        <w:rPr>
          <w:i w:val="0"/>
          <w:iCs w:val="0"/>
          <w:color w:val="auto"/>
          <w:sz w:val="24"/>
          <w:szCs w:val="24"/>
        </w:rPr>
      </w:pPr>
      <w:r>
        <w:rPr>
          <w:rFonts w:hint="eastAsia"/>
          <w:i w:val="0"/>
          <w:iCs w:val="0"/>
          <w:color w:val="auto"/>
          <w:sz w:val="24"/>
          <w:szCs w:val="24"/>
          <w:lang w:val="en-US" w:eastAsia="zh-CN"/>
        </w:rPr>
        <w:t>7</w:t>
      </w:r>
      <w:r>
        <w:rPr>
          <w:i w:val="0"/>
          <w:iCs w:val="0"/>
          <w:color w:val="auto"/>
          <w:sz w:val="24"/>
          <w:szCs w:val="24"/>
        </w:rPr>
        <w:t>、本协议书一式</w:t>
      </w:r>
      <w:r>
        <w:rPr>
          <w:i w:val="0"/>
          <w:iCs w:val="0"/>
          <w:color w:val="auto"/>
          <w:sz w:val="24"/>
          <w:szCs w:val="24"/>
          <w:u w:val="single"/>
        </w:rPr>
        <w:t xml:space="preserve">     </w:t>
      </w:r>
      <w:r>
        <w:rPr>
          <w:i w:val="0"/>
          <w:iCs w:val="0"/>
          <w:color w:val="auto"/>
          <w:sz w:val="24"/>
          <w:szCs w:val="24"/>
        </w:rPr>
        <w:t>份，联合体成员和招标人各执一份。</w:t>
      </w:r>
    </w:p>
    <w:p w14:paraId="08F5B7AC">
      <w:pPr>
        <w:pageBreakBefore w:val="0"/>
        <w:kinsoku/>
        <w:wordWrap w:val="0"/>
        <w:overflowPunct/>
        <w:topLinePunct/>
        <w:bidi w:val="0"/>
        <w:spacing w:line="440" w:lineRule="exact"/>
        <w:ind w:firstLine="480" w:firstLineChars="200"/>
        <w:rPr>
          <w:i w:val="0"/>
          <w:iCs w:val="0"/>
          <w:color w:val="auto"/>
          <w:sz w:val="24"/>
          <w:szCs w:val="24"/>
        </w:rPr>
      </w:pPr>
      <w:r>
        <w:rPr>
          <w:i w:val="0"/>
          <w:iCs w:val="0"/>
          <w:color w:val="auto"/>
          <w:sz w:val="24"/>
          <w:szCs w:val="24"/>
        </w:rPr>
        <w:t>注：本协议书由委托代理人签字的，应附法定代表人签字的授权委托书。</w:t>
      </w:r>
    </w:p>
    <w:p w14:paraId="79372852">
      <w:pPr>
        <w:pageBreakBefore w:val="0"/>
        <w:kinsoku/>
        <w:wordWrap w:val="0"/>
        <w:overflowPunct/>
        <w:topLinePunct/>
        <w:bidi w:val="0"/>
        <w:spacing w:line="440" w:lineRule="exact"/>
        <w:rPr>
          <w:i w:val="0"/>
          <w:iCs w:val="0"/>
          <w:color w:val="auto"/>
          <w:sz w:val="24"/>
          <w:szCs w:val="24"/>
        </w:rPr>
      </w:pPr>
    </w:p>
    <w:p w14:paraId="7940FE90">
      <w:pPr>
        <w:pageBreakBefore w:val="0"/>
        <w:kinsoku/>
        <w:wordWrap w:val="0"/>
        <w:overflowPunct/>
        <w:topLinePunct/>
        <w:bidi w:val="0"/>
        <w:spacing w:line="440" w:lineRule="exact"/>
        <w:rPr>
          <w:i w:val="0"/>
          <w:iCs w:val="0"/>
          <w:color w:val="auto"/>
          <w:sz w:val="24"/>
          <w:szCs w:val="24"/>
        </w:rPr>
      </w:pPr>
      <w:r>
        <w:rPr>
          <w:i w:val="0"/>
          <w:iCs w:val="0"/>
          <w:color w:val="auto"/>
          <w:sz w:val="24"/>
          <w:szCs w:val="24"/>
        </w:rPr>
        <w:t>牵头人名称：</w:t>
      </w:r>
      <w:r>
        <w:rPr>
          <w:i w:val="0"/>
          <w:iCs w:val="0"/>
          <w:color w:val="auto"/>
          <w:sz w:val="24"/>
          <w:szCs w:val="24"/>
          <w:u w:val="single"/>
        </w:rPr>
        <w:t xml:space="preserve">                                 </w:t>
      </w:r>
      <w:r>
        <w:rPr>
          <w:i w:val="0"/>
          <w:iCs w:val="0"/>
          <w:color w:val="auto"/>
          <w:sz w:val="24"/>
          <w:szCs w:val="24"/>
        </w:rPr>
        <w:t>（盖章）</w:t>
      </w:r>
    </w:p>
    <w:p w14:paraId="11FAE8F5">
      <w:pPr>
        <w:pageBreakBefore w:val="0"/>
        <w:kinsoku/>
        <w:wordWrap w:val="0"/>
        <w:overflowPunct/>
        <w:topLinePunct/>
        <w:bidi w:val="0"/>
        <w:spacing w:line="440" w:lineRule="exact"/>
        <w:rPr>
          <w:i w:val="0"/>
          <w:iCs w:val="0"/>
          <w:color w:val="auto"/>
          <w:sz w:val="24"/>
          <w:szCs w:val="24"/>
        </w:rPr>
      </w:pPr>
      <w:r>
        <w:rPr>
          <w:i w:val="0"/>
          <w:iCs w:val="0"/>
          <w:color w:val="auto"/>
          <w:sz w:val="24"/>
          <w:szCs w:val="24"/>
        </w:rPr>
        <w:t>法定代表人或其委托代理人：</w:t>
      </w:r>
      <w:r>
        <w:rPr>
          <w:i w:val="0"/>
          <w:iCs w:val="0"/>
          <w:color w:val="auto"/>
          <w:sz w:val="24"/>
          <w:szCs w:val="24"/>
          <w:u w:val="single"/>
        </w:rPr>
        <w:t xml:space="preserve">                       </w:t>
      </w:r>
      <w:r>
        <w:rPr>
          <w:i w:val="0"/>
          <w:iCs w:val="0"/>
          <w:color w:val="auto"/>
          <w:sz w:val="24"/>
          <w:szCs w:val="24"/>
        </w:rPr>
        <w:t>（签字</w:t>
      </w:r>
      <w:r>
        <w:rPr>
          <w:rFonts w:hint="eastAsia"/>
          <w:i w:val="0"/>
          <w:iCs w:val="0"/>
          <w:color w:val="auto"/>
          <w:sz w:val="24"/>
          <w:szCs w:val="24"/>
        </w:rPr>
        <w:t>或盖章</w:t>
      </w:r>
      <w:r>
        <w:rPr>
          <w:i w:val="0"/>
          <w:iCs w:val="0"/>
          <w:color w:val="auto"/>
          <w:sz w:val="24"/>
          <w:szCs w:val="24"/>
        </w:rPr>
        <w:t>）</w:t>
      </w:r>
    </w:p>
    <w:p w14:paraId="2BDA1AB0">
      <w:pPr>
        <w:pageBreakBefore w:val="0"/>
        <w:kinsoku/>
        <w:wordWrap w:val="0"/>
        <w:overflowPunct/>
        <w:topLinePunct/>
        <w:bidi w:val="0"/>
        <w:spacing w:line="440" w:lineRule="exact"/>
        <w:rPr>
          <w:i w:val="0"/>
          <w:iCs w:val="0"/>
          <w:color w:val="auto"/>
          <w:sz w:val="24"/>
          <w:szCs w:val="24"/>
        </w:rPr>
      </w:pPr>
    </w:p>
    <w:p w14:paraId="560A6C42">
      <w:pPr>
        <w:pageBreakBefore w:val="0"/>
        <w:kinsoku/>
        <w:wordWrap w:val="0"/>
        <w:overflowPunct/>
        <w:topLinePunct/>
        <w:bidi w:val="0"/>
        <w:spacing w:line="440" w:lineRule="exact"/>
        <w:rPr>
          <w:i w:val="0"/>
          <w:iCs w:val="0"/>
          <w:color w:val="auto"/>
          <w:sz w:val="24"/>
          <w:szCs w:val="24"/>
        </w:rPr>
      </w:pPr>
      <w:r>
        <w:rPr>
          <w:i w:val="0"/>
          <w:iCs w:val="0"/>
          <w:color w:val="auto"/>
          <w:sz w:val="24"/>
          <w:szCs w:val="24"/>
        </w:rPr>
        <w:t>成员一名称：</w:t>
      </w:r>
      <w:r>
        <w:rPr>
          <w:i w:val="0"/>
          <w:iCs w:val="0"/>
          <w:color w:val="auto"/>
          <w:sz w:val="24"/>
          <w:szCs w:val="24"/>
          <w:u w:val="single"/>
        </w:rPr>
        <w:t xml:space="preserve">                                 </w:t>
      </w:r>
      <w:r>
        <w:rPr>
          <w:i w:val="0"/>
          <w:iCs w:val="0"/>
          <w:color w:val="auto"/>
          <w:sz w:val="24"/>
          <w:szCs w:val="24"/>
        </w:rPr>
        <w:t>（盖章）</w:t>
      </w:r>
    </w:p>
    <w:p w14:paraId="0BB730AD">
      <w:pPr>
        <w:pageBreakBefore w:val="0"/>
        <w:kinsoku/>
        <w:wordWrap w:val="0"/>
        <w:overflowPunct/>
        <w:topLinePunct/>
        <w:bidi w:val="0"/>
        <w:spacing w:line="440" w:lineRule="exact"/>
        <w:rPr>
          <w:i w:val="0"/>
          <w:iCs w:val="0"/>
          <w:color w:val="auto"/>
          <w:sz w:val="24"/>
          <w:szCs w:val="24"/>
        </w:rPr>
      </w:pPr>
      <w:r>
        <w:rPr>
          <w:i w:val="0"/>
          <w:iCs w:val="0"/>
          <w:color w:val="auto"/>
          <w:sz w:val="24"/>
          <w:szCs w:val="24"/>
        </w:rPr>
        <w:t>法定代表人或其委托代理人：</w:t>
      </w:r>
      <w:r>
        <w:rPr>
          <w:i w:val="0"/>
          <w:iCs w:val="0"/>
          <w:color w:val="auto"/>
          <w:sz w:val="24"/>
          <w:szCs w:val="24"/>
          <w:u w:val="single"/>
        </w:rPr>
        <w:t xml:space="preserve">                       </w:t>
      </w:r>
      <w:r>
        <w:rPr>
          <w:i w:val="0"/>
          <w:iCs w:val="0"/>
          <w:color w:val="auto"/>
          <w:sz w:val="24"/>
          <w:szCs w:val="24"/>
        </w:rPr>
        <w:t>（签字</w:t>
      </w:r>
      <w:r>
        <w:rPr>
          <w:rFonts w:hint="eastAsia"/>
          <w:i w:val="0"/>
          <w:iCs w:val="0"/>
          <w:color w:val="auto"/>
          <w:sz w:val="24"/>
          <w:szCs w:val="24"/>
        </w:rPr>
        <w:t>或盖章</w:t>
      </w:r>
      <w:r>
        <w:rPr>
          <w:i w:val="0"/>
          <w:iCs w:val="0"/>
          <w:color w:val="auto"/>
          <w:sz w:val="24"/>
          <w:szCs w:val="24"/>
        </w:rPr>
        <w:t>）</w:t>
      </w:r>
    </w:p>
    <w:p w14:paraId="3F7E9B67">
      <w:pPr>
        <w:pageBreakBefore w:val="0"/>
        <w:kinsoku/>
        <w:wordWrap w:val="0"/>
        <w:overflowPunct/>
        <w:topLinePunct/>
        <w:bidi w:val="0"/>
        <w:spacing w:line="440" w:lineRule="exact"/>
        <w:rPr>
          <w:i w:val="0"/>
          <w:iCs w:val="0"/>
          <w:color w:val="auto"/>
          <w:sz w:val="24"/>
          <w:szCs w:val="24"/>
        </w:rPr>
      </w:pPr>
      <w:r>
        <w:rPr>
          <w:i w:val="0"/>
          <w:iCs w:val="0"/>
          <w:color w:val="auto"/>
          <w:sz w:val="24"/>
          <w:szCs w:val="24"/>
        </w:rPr>
        <w:t xml:space="preserve"> </w:t>
      </w:r>
    </w:p>
    <w:p w14:paraId="36C1272E">
      <w:pPr>
        <w:pageBreakBefore w:val="0"/>
        <w:kinsoku/>
        <w:wordWrap w:val="0"/>
        <w:overflowPunct/>
        <w:topLinePunct/>
        <w:bidi w:val="0"/>
        <w:spacing w:line="440" w:lineRule="exact"/>
        <w:rPr>
          <w:i w:val="0"/>
          <w:iCs w:val="0"/>
          <w:color w:val="auto"/>
          <w:sz w:val="24"/>
          <w:szCs w:val="24"/>
        </w:rPr>
      </w:pPr>
      <w:r>
        <w:rPr>
          <w:i w:val="0"/>
          <w:iCs w:val="0"/>
          <w:color w:val="auto"/>
          <w:sz w:val="24"/>
          <w:szCs w:val="24"/>
        </w:rPr>
        <w:t>成员二名称：</w:t>
      </w:r>
      <w:r>
        <w:rPr>
          <w:i w:val="0"/>
          <w:iCs w:val="0"/>
          <w:color w:val="auto"/>
          <w:sz w:val="24"/>
          <w:szCs w:val="24"/>
          <w:u w:val="single"/>
        </w:rPr>
        <w:t xml:space="preserve">                                 </w:t>
      </w:r>
      <w:r>
        <w:rPr>
          <w:i w:val="0"/>
          <w:iCs w:val="0"/>
          <w:color w:val="auto"/>
          <w:sz w:val="24"/>
          <w:szCs w:val="24"/>
        </w:rPr>
        <w:t>（盖章）</w:t>
      </w:r>
    </w:p>
    <w:p w14:paraId="0334D171">
      <w:pPr>
        <w:pageBreakBefore w:val="0"/>
        <w:kinsoku/>
        <w:wordWrap w:val="0"/>
        <w:overflowPunct/>
        <w:topLinePunct/>
        <w:bidi w:val="0"/>
        <w:spacing w:line="440" w:lineRule="exact"/>
        <w:rPr>
          <w:i w:val="0"/>
          <w:iCs w:val="0"/>
          <w:color w:val="auto"/>
          <w:sz w:val="24"/>
          <w:szCs w:val="24"/>
        </w:rPr>
      </w:pPr>
      <w:r>
        <w:rPr>
          <w:i w:val="0"/>
          <w:iCs w:val="0"/>
          <w:color w:val="auto"/>
          <w:sz w:val="24"/>
          <w:szCs w:val="24"/>
        </w:rPr>
        <w:t>法定代表人或其委托代理人：</w:t>
      </w:r>
      <w:r>
        <w:rPr>
          <w:i w:val="0"/>
          <w:iCs w:val="0"/>
          <w:color w:val="auto"/>
          <w:sz w:val="24"/>
          <w:szCs w:val="24"/>
          <w:u w:val="single"/>
        </w:rPr>
        <w:t xml:space="preserve">                       </w:t>
      </w:r>
      <w:r>
        <w:rPr>
          <w:i w:val="0"/>
          <w:iCs w:val="0"/>
          <w:color w:val="auto"/>
          <w:sz w:val="24"/>
          <w:szCs w:val="24"/>
        </w:rPr>
        <w:t>（签字</w:t>
      </w:r>
      <w:r>
        <w:rPr>
          <w:rFonts w:hint="eastAsia"/>
          <w:i w:val="0"/>
          <w:iCs w:val="0"/>
          <w:color w:val="auto"/>
          <w:sz w:val="24"/>
          <w:szCs w:val="24"/>
        </w:rPr>
        <w:t>或盖章</w:t>
      </w:r>
      <w:r>
        <w:rPr>
          <w:i w:val="0"/>
          <w:iCs w:val="0"/>
          <w:color w:val="auto"/>
          <w:sz w:val="24"/>
          <w:szCs w:val="24"/>
        </w:rPr>
        <w:t>）</w:t>
      </w:r>
    </w:p>
    <w:p w14:paraId="07D31256">
      <w:pPr>
        <w:pageBreakBefore w:val="0"/>
        <w:kinsoku/>
        <w:wordWrap w:val="0"/>
        <w:overflowPunct/>
        <w:topLinePunct/>
        <w:bidi w:val="0"/>
        <w:spacing w:line="440" w:lineRule="exact"/>
        <w:rPr>
          <w:i w:val="0"/>
          <w:iCs w:val="0"/>
          <w:color w:val="auto"/>
          <w:sz w:val="24"/>
          <w:szCs w:val="24"/>
        </w:rPr>
      </w:pPr>
      <w:r>
        <w:rPr>
          <w:i w:val="0"/>
          <w:iCs w:val="0"/>
          <w:color w:val="auto"/>
          <w:sz w:val="24"/>
          <w:szCs w:val="24"/>
        </w:rPr>
        <w:t xml:space="preserve">…… </w:t>
      </w:r>
    </w:p>
    <w:p w14:paraId="57F8756B">
      <w:pPr>
        <w:pageBreakBefore w:val="0"/>
        <w:kinsoku/>
        <w:wordWrap w:val="0"/>
        <w:overflowPunct/>
        <w:topLinePunct/>
        <w:bidi w:val="0"/>
        <w:spacing w:line="440" w:lineRule="exact"/>
        <w:rPr>
          <w:i w:val="0"/>
          <w:iCs w:val="0"/>
          <w:color w:val="auto"/>
          <w:sz w:val="24"/>
          <w:szCs w:val="24"/>
        </w:rPr>
      </w:pPr>
    </w:p>
    <w:p w14:paraId="26130596">
      <w:pPr>
        <w:pageBreakBefore w:val="0"/>
        <w:kinsoku/>
        <w:wordWrap w:val="0"/>
        <w:overflowPunct/>
        <w:bidi w:val="0"/>
        <w:ind w:left="0" w:leftChars="0" w:firstLine="1680" w:firstLineChars="700"/>
        <w:jc w:val="right"/>
        <w:rPr>
          <w:rFonts w:hint="default" w:eastAsia="宋体"/>
          <w:i w:val="0"/>
          <w:iCs w:val="0"/>
          <w:color w:val="auto"/>
          <w:lang w:val="en-US" w:eastAsia="zh-CN"/>
        </w:rPr>
      </w:pP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日</w:t>
      </w:r>
      <w:r>
        <w:rPr>
          <w:rFonts w:hint="eastAsia"/>
          <w:i w:val="0"/>
          <w:iCs w:val="0"/>
          <w:color w:val="auto"/>
          <w:sz w:val="24"/>
          <w:szCs w:val="24"/>
          <w:lang w:val="en-US" w:eastAsia="zh-CN"/>
        </w:rPr>
        <w:t xml:space="preserve"> </w:t>
      </w:r>
      <w:r>
        <w:rPr>
          <w:rFonts w:hint="eastAsia"/>
          <w:i w:val="0"/>
          <w:iCs w:val="0"/>
          <w:color w:val="auto"/>
          <w:lang w:val="en-US" w:eastAsia="zh-CN"/>
        </w:rPr>
        <w:t xml:space="preserve"> </w:t>
      </w:r>
    </w:p>
    <w:p w14:paraId="62CB3B7E">
      <w:pPr>
        <w:pageBreakBefore w:val="0"/>
        <w:kinsoku/>
        <w:wordWrap w:val="0"/>
        <w:overflowPunct/>
        <w:bidi w:val="0"/>
        <w:ind w:firstLine="2879" w:firstLineChars="1371"/>
        <w:rPr>
          <w:i/>
          <w:iCs/>
          <w:color w:val="auto"/>
        </w:rPr>
      </w:pPr>
      <w:r>
        <w:rPr>
          <w:i/>
          <w:iCs/>
          <w:color w:val="auto"/>
        </w:rPr>
        <w:br w:type="page"/>
      </w:r>
    </w:p>
    <w:p w14:paraId="1C9E6142">
      <w:pPr>
        <w:pStyle w:val="3"/>
        <w:pageBreakBefore w:val="0"/>
        <w:kinsoku/>
        <w:wordWrap w:val="0"/>
        <w:overflowPunct/>
        <w:bidi w:val="0"/>
        <w:jc w:val="center"/>
        <w:rPr>
          <w:rFonts w:hint="eastAsia" w:ascii="宋体" w:hAnsi="宋体" w:eastAsia="宋体" w:cs="宋体"/>
          <w:b/>
          <w:bCs w:val="0"/>
          <w:i w:val="0"/>
          <w:iCs w:val="0"/>
          <w:color w:val="auto"/>
          <w:sz w:val="28"/>
          <w:szCs w:val="28"/>
        </w:rPr>
      </w:pPr>
      <w:bookmarkStart w:id="3203" w:name="_Toc144974862"/>
      <w:bookmarkStart w:id="3204" w:name="_Toc16558"/>
      <w:bookmarkStart w:id="3205" w:name="_Toc152042583"/>
      <w:bookmarkStart w:id="3206" w:name="_Toc24023"/>
      <w:bookmarkStart w:id="3207" w:name="_Toc20792"/>
      <w:bookmarkStart w:id="3208" w:name="_Toc16491"/>
      <w:bookmarkStart w:id="3209" w:name="_Toc247514286"/>
      <w:bookmarkStart w:id="3210" w:name="_Toc247527834"/>
      <w:bookmarkStart w:id="3211" w:name="_Toc13757"/>
      <w:bookmarkStart w:id="3212" w:name="_Toc152045794"/>
      <w:r>
        <w:rPr>
          <w:rFonts w:hint="eastAsia" w:ascii="宋体" w:hAnsi="宋体" w:eastAsia="宋体" w:cs="宋体"/>
          <w:b/>
          <w:bCs w:val="0"/>
          <w:i w:val="0"/>
          <w:iCs w:val="0"/>
          <w:color w:val="auto"/>
          <w:sz w:val="28"/>
          <w:szCs w:val="28"/>
          <w:lang w:eastAsia="zh-CN"/>
        </w:rPr>
        <w:t>四</w:t>
      </w:r>
      <w:r>
        <w:rPr>
          <w:rFonts w:hint="eastAsia" w:ascii="宋体" w:hAnsi="宋体" w:eastAsia="宋体" w:cs="宋体"/>
          <w:b/>
          <w:bCs w:val="0"/>
          <w:i w:val="0"/>
          <w:iCs w:val="0"/>
          <w:color w:val="auto"/>
          <w:sz w:val="28"/>
          <w:szCs w:val="28"/>
        </w:rPr>
        <w:t>、投标保证金</w:t>
      </w:r>
      <w:bookmarkEnd w:id="3203"/>
      <w:bookmarkEnd w:id="3204"/>
      <w:bookmarkEnd w:id="3205"/>
      <w:bookmarkEnd w:id="3206"/>
      <w:bookmarkEnd w:id="3207"/>
      <w:bookmarkEnd w:id="3208"/>
      <w:bookmarkEnd w:id="3209"/>
      <w:bookmarkEnd w:id="3210"/>
      <w:bookmarkEnd w:id="3211"/>
      <w:bookmarkEnd w:id="3212"/>
    </w:p>
    <w:p w14:paraId="7034D4F1">
      <w:pPr>
        <w:pageBreakBefore w:val="0"/>
        <w:kinsoku/>
        <w:wordWrap w:val="0"/>
        <w:overflowPunct/>
        <w:bidi w:val="0"/>
        <w:spacing w:line="440" w:lineRule="exact"/>
        <w:ind w:left="0" w:leftChars="0" w:firstLine="0" w:firstLineChars="0"/>
        <w:rPr>
          <w:i w:val="0"/>
          <w:iCs w:val="0"/>
          <w:color w:val="auto"/>
          <w:sz w:val="24"/>
          <w:szCs w:val="24"/>
        </w:rPr>
      </w:pPr>
      <w:r>
        <w:rPr>
          <w:i/>
          <w:iCs/>
          <w:color w:val="auto"/>
          <w:sz w:val="24"/>
          <w:szCs w:val="24"/>
          <w:u w:val="single"/>
        </w:rPr>
        <w:t>（招标人名称）</w:t>
      </w:r>
      <w:r>
        <w:rPr>
          <w:i w:val="0"/>
          <w:iCs w:val="0"/>
          <w:color w:val="auto"/>
          <w:sz w:val="24"/>
          <w:szCs w:val="24"/>
        </w:rPr>
        <w:t>：</w:t>
      </w:r>
    </w:p>
    <w:p w14:paraId="118BB525">
      <w:pPr>
        <w:pageBreakBefore w:val="0"/>
        <w:kinsoku/>
        <w:wordWrap w:val="0"/>
        <w:overflowPunct/>
        <w:bidi w:val="0"/>
        <w:spacing w:line="460" w:lineRule="exact"/>
        <w:ind w:firstLine="480" w:firstLineChars="200"/>
        <w:rPr>
          <w:i w:val="0"/>
          <w:iCs w:val="0"/>
          <w:color w:val="auto"/>
          <w:sz w:val="24"/>
          <w:szCs w:val="24"/>
        </w:rPr>
      </w:pPr>
      <w:r>
        <w:rPr>
          <w:i w:val="0"/>
          <w:iCs w:val="0"/>
          <w:color w:val="auto"/>
          <w:sz w:val="24"/>
          <w:szCs w:val="24"/>
        </w:rPr>
        <w:t>鉴于</w:t>
      </w:r>
      <w:r>
        <w:rPr>
          <w:i/>
          <w:iCs/>
          <w:color w:val="auto"/>
          <w:sz w:val="24"/>
          <w:szCs w:val="24"/>
          <w:u w:val="single"/>
        </w:rPr>
        <w:t>（投标人名称）</w:t>
      </w:r>
      <w:r>
        <w:rPr>
          <w:i w:val="0"/>
          <w:iCs w:val="0"/>
          <w:color w:val="auto"/>
          <w:sz w:val="24"/>
          <w:szCs w:val="24"/>
        </w:rPr>
        <w:t>（以下称“投标人”）于</w:t>
      </w: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日参加</w:t>
      </w:r>
      <w:r>
        <w:rPr>
          <w:i/>
          <w:iCs/>
          <w:color w:val="auto"/>
          <w:sz w:val="24"/>
          <w:szCs w:val="24"/>
          <w:u w:val="single"/>
        </w:rPr>
        <w:t>（项目名称）</w:t>
      </w:r>
      <w:r>
        <w:rPr>
          <w:i w:val="0"/>
          <w:iCs w:val="0"/>
          <w:color w:val="auto"/>
          <w:sz w:val="24"/>
          <w:szCs w:val="24"/>
        </w:rPr>
        <w:t>的投标，</w:t>
      </w:r>
      <w:r>
        <w:rPr>
          <w:i/>
          <w:iCs/>
          <w:color w:val="auto"/>
          <w:sz w:val="24"/>
          <w:szCs w:val="24"/>
          <w:u w:val="single"/>
        </w:rPr>
        <w:t>（担保人名称）</w:t>
      </w:r>
      <w:r>
        <w:rPr>
          <w:i w:val="0"/>
          <w:iCs w:val="0"/>
          <w:color w:val="auto"/>
          <w:sz w:val="24"/>
          <w:szCs w:val="24"/>
        </w:rPr>
        <w:t>（以下简称“我方”）受该投标人委托，在此无条件地、不可撤销地保证：一旦收到你方提出的下述任何一种事实的书面通知，在7日内无条件地向你方支付总额不超过</w:t>
      </w:r>
      <w:r>
        <w:rPr>
          <w:i/>
          <w:iCs/>
          <w:color w:val="auto"/>
          <w:sz w:val="24"/>
          <w:szCs w:val="24"/>
          <w:u w:val="single"/>
        </w:rPr>
        <w:t>（投标保函额度）</w:t>
      </w:r>
      <w:r>
        <w:rPr>
          <w:i w:val="0"/>
          <w:iCs w:val="0"/>
          <w:color w:val="auto"/>
          <w:sz w:val="24"/>
          <w:szCs w:val="24"/>
        </w:rPr>
        <w:t>的任何你方要求的金额：</w:t>
      </w:r>
    </w:p>
    <w:p w14:paraId="17888037">
      <w:pPr>
        <w:pageBreakBefore w:val="0"/>
        <w:kinsoku/>
        <w:wordWrap w:val="0"/>
        <w:overflowPunct/>
        <w:bidi w:val="0"/>
        <w:spacing w:line="460" w:lineRule="exact"/>
        <w:ind w:firstLine="480" w:firstLineChars="200"/>
        <w:rPr>
          <w:i w:val="0"/>
          <w:iCs w:val="0"/>
          <w:color w:val="auto"/>
          <w:sz w:val="24"/>
          <w:szCs w:val="24"/>
        </w:rPr>
      </w:pPr>
      <w:r>
        <w:rPr>
          <w:i w:val="0"/>
          <w:iCs w:val="0"/>
          <w:color w:val="auto"/>
          <w:sz w:val="24"/>
          <w:szCs w:val="24"/>
        </w:rPr>
        <w:t>1．投标人在规定的投标有效期内撤销或者修改其投标文件。</w:t>
      </w:r>
    </w:p>
    <w:p w14:paraId="2849DB3B">
      <w:pPr>
        <w:pageBreakBefore w:val="0"/>
        <w:kinsoku/>
        <w:wordWrap w:val="0"/>
        <w:overflowPunct/>
        <w:bidi w:val="0"/>
        <w:spacing w:line="460" w:lineRule="exact"/>
        <w:ind w:firstLine="480" w:firstLineChars="200"/>
        <w:rPr>
          <w:i w:val="0"/>
          <w:iCs w:val="0"/>
          <w:color w:val="auto"/>
          <w:sz w:val="24"/>
          <w:szCs w:val="24"/>
        </w:rPr>
      </w:pPr>
      <w:r>
        <w:rPr>
          <w:i w:val="0"/>
          <w:iCs w:val="0"/>
          <w:color w:val="auto"/>
          <w:sz w:val="24"/>
          <w:szCs w:val="24"/>
        </w:rPr>
        <w:t>2．投标人在收到中标通知书后无正当理由而未在规定期限内与贵方签署合同。</w:t>
      </w:r>
    </w:p>
    <w:p w14:paraId="1A69E457">
      <w:pPr>
        <w:pageBreakBefore w:val="0"/>
        <w:kinsoku/>
        <w:wordWrap w:val="0"/>
        <w:overflowPunct/>
        <w:bidi w:val="0"/>
        <w:spacing w:line="460" w:lineRule="exact"/>
        <w:ind w:firstLine="480" w:firstLineChars="200"/>
        <w:rPr>
          <w:i w:val="0"/>
          <w:iCs w:val="0"/>
          <w:color w:val="auto"/>
          <w:sz w:val="24"/>
          <w:szCs w:val="24"/>
        </w:rPr>
      </w:pPr>
      <w:r>
        <w:rPr>
          <w:i w:val="0"/>
          <w:iCs w:val="0"/>
          <w:color w:val="auto"/>
          <w:sz w:val="24"/>
          <w:szCs w:val="24"/>
        </w:rPr>
        <w:t>3．投标人在收到中标通知书后未能在招标文件规定期限内向贵方提交招标文件所要求的履约担保。</w:t>
      </w:r>
    </w:p>
    <w:p w14:paraId="6788AB84">
      <w:pPr>
        <w:pageBreakBefore w:val="0"/>
        <w:kinsoku/>
        <w:wordWrap w:val="0"/>
        <w:overflowPunct/>
        <w:bidi w:val="0"/>
        <w:spacing w:line="460" w:lineRule="exact"/>
        <w:ind w:firstLine="480" w:firstLineChars="200"/>
        <w:rPr>
          <w:i w:val="0"/>
          <w:iCs w:val="0"/>
          <w:color w:val="auto"/>
          <w:sz w:val="24"/>
          <w:szCs w:val="24"/>
        </w:rPr>
      </w:pPr>
      <w:r>
        <w:rPr>
          <w:i w:val="0"/>
          <w:iCs w:val="0"/>
          <w:color w:val="auto"/>
          <w:sz w:val="24"/>
          <w:szCs w:val="24"/>
        </w:rPr>
        <w:t>本保函在投标有效期内保持有效，除非你方提前终止或解除本保函。要求我方承担保证责任的通知应在投标有效期内送达我方。保函失效后请将本保函交投标人退回我方注销。</w:t>
      </w:r>
    </w:p>
    <w:p w14:paraId="3D372C17">
      <w:pPr>
        <w:pageBreakBefore w:val="0"/>
        <w:kinsoku/>
        <w:wordWrap w:val="0"/>
        <w:overflowPunct/>
        <w:bidi w:val="0"/>
        <w:spacing w:line="460" w:lineRule="exact"/>
        <w:ind w:firstLine="480" w:firstLineChars="200"/>
        <w:rPr>
          <w:i w:val="0"/>
          <w:iCs w:val="0"/>
          <w:color w:val="auto"/>
          <w:sz w:val="24"/>
          <w:szCs w:val="24"/>
        </w:rPr>
      </w:pPr>
      <w:r>
        <w:rPr>
          <w:i w:val="0"/>
          <w:iCs w:val="0"/>
          <w:color w:val="auto"/>
          <w:sz w:val="24"/>
          <w:szCs w:val="24"/>
        </w:rPr>
        <w:t>本保函项下所有权利和义务均受中华人民共和国法律管辖和制约。</w:t>
      </w:r>
    </w:p>
    <w:p w14:paraId="41ECE71C">
      <w:pPr>
        <w:pageBreakBefore w:val="0"/>
        <w:kinsoku/>
        <w:wordWrap w:val="0"/>
        <w:overflowPunct/>
        <w:bidi w:val="0"/>
        <w:spacing w:line="460" w:lineRule="exact"/>
        <w:ind w:firstLine="480" w:firstLineChars="200"/>
        <w:rPr>
          <w:i w:val="0"/>
          <w:iCs w:val="0"/>
          <w:color w:val="auto"/>
          <w:sz w:val="24"/>
          <w:szCs w:val="24"/>
        </w:rPr>
      </w:pPr>
    </w:p>
    <w:p w14:paraId="18754D1C">
      <w:pPr>
        <w:pageBreakBefore w:val="0"/>
        <w:kinsoku/>
        <w:wordWrap w:val="0"/>
        <w:overflowPunct/>
        <w:bidi w:val="0"/>
        <w:spacing w:line="460" w:lineRule="exact"/>
        <w:ind w:firstLine="2400" w:firstLineChars="1000"/>
        <w:rPr>
          <w:i w:val="0"/>
          <w:iCs w:val="0"/>
          <w:color w:val="auto"/>
          <w:sz w:val="24"/>
          <w:szCs w:val="24"/>
        </w:rPr>
      </w:pPr>
      <w:r>
        <w:rPr>
          <w:i w:val="0"/>
          <w:iCs w:val="0"/>
          <w:color w:val="auto"/>
          <w:sz w:val="24"/>
          <w:szCs w:val="24"/>
        </w:rPr>
        <w:t>担保人名称：</w:t>
      </w:r>
      <w:r>
        <w:rPr>
          <w:i w:val="0"/>
          <w:iCs w:val="0"/>
          <w:color w:val="auto"/>
          <w:sz w:val="24"/>
          <w:szCs w:val="24"/>
          <w:u w:val="single"/>
        </w:rPr>
        <w:t xml:space="preserve">                                </w:t>
      </w:r>
      <w:r>
        <w:rPr>
          <w:i w:val="0"/>
          <w:iCs w:val="0"/>
          <w:color w:val="auto"/>
          <w:sz w:val="24"/>
          <w:szCs w:val="24"/>
        </w:rPr>
        <w:t>（盖章）</w:t>
      </w:r>
    </w:p>
    <w:p w14:paraId="5B54290F">
      <w:pPr>
        <w:pageBreakBefore w:val="0"/>
        <w:kinsoku/>
        <w:wordWrap w:val="0"/>
        <w:overflowPunct/>
        <w:bidi w:val="0"/>
        <w:spacing w:line="460" w:lineRule="exact"/>
        <w:ind w:firstLine="2400" w:firstLineChars="1000"/>
        <w:rPr>
          <w:i w:val="0"/>
          <w:iCs w:val="0"/>
          <w:color w:val="auto"/>
          <w:sz w:val="24"/>
          <w:szCs w:val="24"/>
        </w:rPr>
      </w:pPr>
      <w:r>
        <w:rPr>
          <w:i w:val="0"/>
          <w:iCs w:val="0"/>
          <w:color w:val="auto"/>
          <w:sz w:val="24"/>
          <w:szCs w:val="24"/>
        </w:rPr>
        <w:t>法定代表人或其委托代理人：</w:t>
      </w:r>
      <w:r>
        <w:rPr>
          <w:i w:val="0"/>
          <w:iCs w:val="0"/>
          <w:color w:val="auto"/>
          <w:sz w:val="24"/>
          <w:szCs w:val="24"/>
          <w:u w:val="single"/>
        </w:rPr>
        <w:t xml:space="preserve">                  </w:t>
      </w:r>
      <w:r>
        <w:rPr>
          <w:i w:val="0"/>
          <w:iCs w:val="0"/>
          <w:color w:val="auto"/>
          <w:sz w:val="24"/>
          <w:szCs w:val="24"/>
        </w:rPr>
        <w:t>（签字或盖章）</w:t>
      </w:r>
    </w:p>
    <w:p w14:paraId="703EBE3C">
      <w:pPr>
        <w:pageBreakBefore w:val="0"/>
        <w:kinsoku/>
        <w:wordWrap w:val="0"/>
        <w:overflowPunct/>
        <w:bidi w:val="0"/>
        <w:spacing w:line="460" w:lineRule="exact"/>
        <w:ind w:firstLine="2400" w:firstLineChars="1000"/>
        <w:rPr>
          <w:i w:val="0"/>
          <w:iCs w:val="0"/>
          <w:color w:val="auto"/>
          <w:sz w:val="24"/>
          <w:szCs w:val="24"/>
        </w:rPr>
      </w:pPr>
      <w:r>
        <w:rPr>
          <w:i w:val="0"/>
          <w:iCs w:val="0"/>
          <w:color w:val="auto"/>
          <w:sz w:val="24"/>
          <w:szCs w:val="24"/>
        </w:rPr>
        <w:t>地    址：</w:t>
      </w:r>
      <w:r>
        <w:rPr>
          <w:i w:val="0"/>
          <w:iCs w:val="0"/>
          <w:color w:val="auto"/>
          <w:sz w:val="24"/>
          <w:szCs w:val="24"/>
          <w:u w:val="single"/>
        </w:rPr>
        <w:t xml:space="preserve">                                             </w:t>
      </w:r>
    </w:p>
    <w:p w14:paraId="79824C55">
      <w:pPr>
        <w:pageBreakBefore w:val="0"/>
        <w:kinsoku/>
        <w:wordWrap w:val="0"/>
        <w:overflowPunct/>
        <w:bidi w:val="0"/>
        <w:spacing w:line="460" w:lineRule="exact"/>
        <w:ind w:firstLine="2400" w:firstLineChars="1000"/>
        <w:rPr>
          <w:i w:val="0"/>
          <w:iCs w:val="0"/>
          <w:color w:val="auto"/>
          <w:sz w:val="24"/>
          <w:szCs w:val="24"/>
        </w:rPr>
      </w:pPr>
      <w:r>
        <w:rPr>
          <w:i w:val="0"/>
          <w:iCs w:val="0"/>
          <w:color w:val="auto"/>
          <w:sz w:val="24"/>
          <w:szCs w:val="24"/>
        </w:rPr>
        <w:t>邮政编码：</w:t>
      </w:r>
      <w:r>
        <w:rPr>
          <w:i w:val="0"/>
          <w:iCs w:val="0"/>
          <w:color w:val="auto"/>
          <w:sz w:val="24"/>
          <w:szCs w:val="24"/>
          <w:u w:val="single"/>
        </w:rPr>
        <w:t xml:space="preserve">                                             </w:t>
      </w:r>
    </w:p>
    <w:p w14:paraId="43484671">
      <w:pPr>
        <w:pageBreakBefore w:val="0"/>
        <w:kinsoku/>
        <w:wordWrap w:val="0"/>
        <w:overflowPunct/>
        <w:bidi w:val="0"/>
        <w:spacing w:line="460" w:lineRule="exact"/>
        <w:ind w:firstLine="2400" w:firstLineChars="1000"/>
        <w:rPr>
          <w:i w:val="0"/>
          <w:iCs w:val="0"/>
          <w:color w:val="auto"/>
          <w:sz w:val="24"/>
          <w:szCs w:val="24"/>
        </w:rPr>
      </w:pPr>
      <w:r>
        <w:rPr>
          <w:i w:val="0"/>
          <w:iCs w:val="0"/>
          <w:color w:val="auto"/>
          <w:sz w:val="24"/>
          <w:szCs w:val="24"/>
        </w:rPr>
        <w:t>电    话：</w:t>
      </w:r>
      <w:r>
        <w:rPr>
          <w:i w:val="0"/>
          <w:iCs w:val="0"/>
          <w:color w:val="auto"/>
          <w:sz w:val="24"/>
          <w:szCs w:val="24"/>
          <w:u w:val="single"/>
        </w:rPr>
        <w:t xml:space="preserve">                                             </w:t>
      </w:r>
    </w:p>
    <w:p w14:paraId="51F336B3">
      <w:pPr>
        <w:pageBreakBefore w:val="0"/>
        <w:kinsoku/>
        <w:wordWrap w:val="0"/>
        <w:overflowPunct/>
        <w:bidi w:val="0"/>
        <w:spacing w:line="460" w:lineRule="exact"/>
        <w:ind w:firstLine="2400" w:firstLineChars="1000"/>
        <w:rPr>
          <w:i w:val="0"/>
          <w:iCs w:val="0"/>
          <w:color w:val="auto"/>
          <w:sz w:val="24"/>
          <w:szCs w:val="24"/>
          <w:u w:val="single"/>
        </w:rPr>
      </w:pPr>
      <w:r>
        <w:rPr>
          <w:i w:val="0"/>
          <w:iCs w:val="0"/>
          <w:color w:val="auto"/>
          <w:sz w:val="24"/>
          <w:szCs w:val="24"/>
        </w:rPr>
        <w:t>传    真：</w:t>
      </w:r>
      <w:r>
        <w:rPr>
          <w:i w:val="0"/>
          <w:iCs w:val="0"/>
          <w:color w:val="auto"/>
          <w:sz w:val="24"/>
          <w:szCs w:val="24"/>
          <w:u w:val="single"/>
        </w:rPr>
        <w:t xml:space="preserve">                                             </w:t>
      </w:r>
    </w:p>
    <w:p w14:paraId="7C7DC33B">
      <w:pPr>
        <w:pageBreakBefore w:val="0"/>
        <w:kinsoku/>
        <w:wordWrap w:val="0"/>
        <w:overflowPunct/>
        <w:bidi w:val="0"/>
        <w:spacing w:line="460" w:lineRule="exact"/>
        <w:rPr>
          <w:i w:val="0"/>
          <w:iCs w:val="0"/>
          <w:color w:val="auto"/>
          <w:sz w:val="24"/>
          <w:szCs w:val="24"/>
        </w:rPr>
      </w:pPr>
    </w:p>
    <w:p w14:paraId="35EFE891">
      <w:pPr>
        <w:pageBreakBefore w:val="0"/>
        <w:kinsoku/>
        <w:wordWrap w:val="0"/>
        <w:overflowPunct/>
        <w:bidi w:val="0"/>
        <w:spacing w:line="460" w:lineRule="exact"/>
        <w:jc w:val="right"/>
        <w:rPr>
          <w:i w:val="0"/>
          <w:iCs w:val="0"/>
          <w:color w:val="auto"/>
          <w:sz w:val="24"/>
          <w:szCs w:val="24"/>
        </w:rPr>
      </w:pP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 xml:space="preserve">日      </w:t>
      </w:r>
    </w:p>
    <w:p w14:paraId="1910DA1A">
      <w:pPr>
        <w:pageBreakBefore w:val="0"/>
        <w:kinsoku/>
        <w:wordWrap w:val="0"/>
        <w:overflowPunct/>
        <w:bidi w:val="0"/>
        <w:spacing w:line="460" w:lineRule="exact"/>
        <w:rPr>
          <w:i w:val="0"/>
          <w:iCs w:val="0"/>
          <w:color w:val="auto"/>
          <w:sz w:val="24"/>
          <w:szCs w:val="24"/>
        </w:rPr>
      </w:pPr>
    </w:p>
    <w:p w14:paraId="0949D0B6">
      <w:pPr>
        <w:pageBreakBefore w:val="0"/>
        <w:kinsoku/>
        <w:wordWrap w:val="0"/>
        <w:overflowPunct/>
        <w:bidi w:val="0"/>
        <w:spacing w:line="460" w:lineRule="exact"/>
        <w:rPr>
          <w:rFonts w:hint="eastAsia" w:eastAsia="宋体"/>
          <w:i w:val="0"/>
          <w:iCs w:val="0"/>
          <w:color w:val="auto"/>
          <w:sz w:val="24"/>
          <w:szCs w:val="24"/>
          <w:lang w:eastAsia="zh-CN"/>
        </w:rPr>
      </w:pPr>
      <w:r>
        <w:rPr>
          <w:rFonts w:eastAsia="黑体"/>
          <w:i w:val="0"/>
          <w:iCs w:val="0"/>
          <w:color w:val="auto"/>
          <w:sz w:val="24"/>
          <w:szCs w:val="24"/>
        </w:rPr>
        <w:t>备注：</w:t>
      </w:r>
      <w:r>
        <w:rPr>
          <w:i w:val="0"/>
          <w:iCs w:val="0"/>
          <w:color w:val="auto"/>
          <w:sz w:val="24"/>
          <w:szCs w:val="24"/>
        </w:rPr>
        <w:t>投标人可采用银行</w:t>
      </w:r>
      <w:r>
        <w:rPr>
          <w:rFonts w:hint="eastAsia"/>
          <w:i w:val="0"/>
          <w:iCs w:val="0"/>
          <w:color w:val="auto"/>
          <w:sz w:val="24"/>
          <w:szCs w:val="24"/>
          <w:lang w:eastAsia="zh-CN"/>
        </w:rPr>
        <w:t>、保险公司</w:t>
      </w:r>
      <w:r>
        <w:rPr>
          <w:i w:val="0"/>
          <w:iCs w:val="0"/>
          <w:color w:val="auto"/>
          <w:sz w:val="24"/>
          <w:szCs w:val="24"/>
        </w:rPr>
        <w:t>提供的投标保证金保函</w:t>
      </w:r>
      <w:r>
        <w:rPr>
          <w:rFonts w:hint="eastAsia"/>
          <w:i w:val="0"/>
          <w:iCs w:val="0"/>
          <w:color w:val="auto"/>
          <w:sz w:val="24"/>
          <w:szCs w:val="24"/>
          <w:lang w:eastAsia="zh-CN"/>
        </w:rPr>
        <w:t>、保证保险</w:t>
      </w:r>
      <w:r>
        <w:rPr>
          <w:i w:val="0"/>
          <w:iCs w:val="0"/>
          <w:color w:val="auto"/>
          <w:sz w:val="24"/>
          <w:szCs w:val="24"/>
        </w:rPr>
        <w:t>格式，但相关内容不得背离招标文件约定的实质性内容。</w:t>
      </w:r>
    </w:p>
    <w:p w14:paraId="652D264D">
      <w:pPr>
        <w:pageBreakBefore w:val="0"/>
        <w:kinsoku/>
        <w:wordWrap w:val="0"/>
        <w:overflowPunct/>
        <w:bidi w:val="0"/>
        <w:spacing w:line="440" w:lineRule="exact"/>
        <w:jc w:val="center"/>
        <w:rPr>
          <w:rFonts w:eastAsia="黑体"/>
          <w:i/>
          <w:iCs/>
          <w:color w:val="auto"/>
          <w:sz w:val="27"/>
          <w:szCs w:val="27"/>
        </w:rPr>
      </w:pPr>
      <w:r>
        <w:rPr>
          <w:b/>
          <w:bCs/>
          <w:i/>
          <w:iCs/>
          <w:color w:val="auto"/>
        </w:rPr>
        <w:br w:type="page"/>
      </w:r>
    </w:p>
    <w:p w14:paraId="34F17832">
      <w:pPr>
        <w:pStyle w:val="3"/>
        <w:pageBreakBefore w:val="0"/>
        <w:kinsoku/>
        <w:wordWrap w:val="0"/>
        <w:overflowPunct/>
        <w:bidi w:val="0"/>
        <w:jc w:val="center"/>
        <w:rPr>
          <w:rFonts w:hint="eastAsia" w:ascii="宋体" w:hAnsi="宋体" w:eastAsia="宋体" w:cs="宋体"/>
          <w:b/>
          <w:bCs w:val="0"/>
          <w:i w:val="0"/>
          <w:iCs w:val="0"/>
          <w:color w:val="auto"/>
          <w:sz w:val="28"/>
          <w:szCs w:val="28"/>
        </w:rPr>
      </w:pPr>
      <w:bookmarkStart w:id="3213" w:name="_Toc152042584"/>
      <w:bookmarkStart w:id="3214" w:name="_Toc23665"/>
      <w:bookmarkStart w:id="3215" w:name="_Toc247514287"/>
      <w:bookmarkStart w:id="3216" w:name="_Toc7343"/>
      <w:bookmarkStart w:id="3217" w:name="_Toc144974863"/>
      <w:bookmarkStart w:id="3218" w:name="_Toc3265"/>
      <w:bookmarkStart w:id="3219" w:name="_Toc25136"/>
      <w:bookmarkStart w:id="3220" w:name="_Toc247527835"/>
      <w:bookmarkStart w:id="3221" w:name="_Toc152045795"/>
      <w:bookmarkStart w:id="3222" w:name="_Toc1743"/>
      <w:r>
        <w:rPr>
          <w:rFonts w:hint="eastAsia" w:ascii="宋体" w:hAnsi="宋体" w:eastAsia="宋体" w:cs="宋体"/>
          <w:b/>
          <w:bCs w:val="0"/>
          <w:i w:val="0"/>
          <w:iCs w:val="0"/>
          <w:color w:val="auto"/>
          <w:sz w:val="28"/>
          <w:szCs w:val="28"/>
          <w:lang w:eastAsia="zh-CN"/>
        </w:rPr>
        <w:t>五</w:t>
      </w:r>
      <w:r>
        <w:rPr>
          <w:rFonts w:hint="eastAsia" w:ascii="宋体" w:hAnsi="宋体" w:eastAsia="宋体" w:cs="宋体"/>
          <w:b/>
          <w:bCs w:val="0"/>
          <w:i w:val="0"/>
          <w:iCs w:val="0"/>
          <w:color w:val="auto"/>
          <w:sz w:val="28"/>
          <w:szCs w:val="28"/>
        </w:rPr>
        <w:t>、价格清单</w:t>
      </w:r>
      <w:bookmarkEnd w:id="3213"/>
      <w:bookmarkEnd w:id="3214"/>
      <w:bookmarkEnd w:id="3215"/>
      <w:bookmarkEnd w:id="3216"/>
      <w:bookmarkEnd w:id="3217"/>
      <w:bookmarkEnd w:id="3218"/>
      <w:bookmarkEnd w:id="3219"/>
      <w:bookmarkEnd w:id="3220"/>
      <w:bookmarkEnd w:id="3221"/>
      <w:bookmarkEnd w:id="3222"/>
    </w:p>
    <w:p w14:paraId="19332882">
      <w:pPr>
        <w:pStyle w:val="4"/>
        <w:pageBreakBefore w:val="0"/>
        <w:kinsoku/>
        <w:wordWrap w:val="0"/>
        <w:overflowPunct/>
        <w:bidi w:val="0"/>
        <w:ind w:firstLine="118"/>
        <w:rPr>
          <w:rFonts w:ascii="Times New Roman" w:hAnsi="Times New Roman"/>
          <w:i w:val="0"/>
          <w:iCs w:val="0"/>
          <w:color w:val="auto"/>
          <w:sz w:val="24"/>
          <w:szCs w:val="24"/>
        </w:rPr>
      </w:pPr>
      <w:bookmarkStart w:id="3223" w:name="_Toc2514"/>
      <w:bookmarkStart w:id="3224" w:name="_Toc20438"/>
      <w:bookmarkStart w:id="3225" w:name="_Toc30550"/>
      <w:bookmarkStart w:id="3226" w:name="_Toc9635"/>
      <w:bookmarkStart w:id="3227" w:name="_Toc18586"/>
      <w:bookmarkStart w:id="3228" w:name="_Toc12075"/>
      <w:r>
        <w:rPr>
          <w:rFonts w:ascii="Times New Roman" w:hAnsi="Times New Roman"/>
          <w:i w:val="0"/>
          <w:iCs w:val="0"/>
          <w:color w:val="auto"/>
          <w:sz w:val="24"/>
          <w:szCs w:val="24"/>
        </w:rPr>
        <w:t>（一）价格清单说明</w:t>
      </w:r>
      <w:bookmarkEnd w:id="3223"/>
      <w:bookmarkEnd w:id="3224"/>
      <w:bookmarkEnd w:id="3225"/>
      <w:bookmarkEnd w:id="3226"/>
      <w:bookmarkEnd w:id="3227"/>
      <w:bookmarkEnd w:id="3228"/>
    </w:p>
    <w:p w14:paraId="563AA24F">
      <w:pPr>
        <w:pageBreakBefore w:val="0"/>
        <w:kinsoku/>
        <w:wordWrap w:val="0"/>
        <w:overflowPunct/>
        <w:bidi w:val="0"/>
        <w:spacing w:line="440" w:lineRule="exact"/>
        <w:ind w:firstLine="480" w:firstLineChars="200"/>
        <w:rPr>
          <w:i w:val="0"/>
          <w:iCs w:val="0"/>
          <w:color w:val="auto"/>
          <w:sz w:val="24"/>
          <w:szCs w:val="24"/>
        </w:rPr>
      </w:pPr>
      <w:r>
        <w:rPr>
          <w:i w:val="0"/>
          <w:iCs w:val="0"/>
          <w:color w:val="auto"/>
          <w:sz w:val="24"/>
          <w:szCs w:val="24"/>
        </w:rPr>
        <w:t>1.1 价格清单列出的任何数量，不视为要求承包人实施的工程的实际或准确的工作量。在价格清单中列出的任何工作量和价格数据应仅限用于合同约定的变更和支付的参考资料，而不能用于其他目的。</w:t>
      </w:r>
    </w:p>
    <w:p w14:paraId="05D3547D">
      <w:pPr>
        <w:pageBreakBefore w:val="0"/>
        <w:kinsoku/>
        <w:wordWrap w:val="0"/>
        <w:overflowPunct/>
        <w:bidi w:val="0"/>
        <w:spacing w:line="440" w:lineRule="exact"/>
        <w:ind w:firstLine="480" w:firstLineChars="200"/>
        <w:rPr>
          <w:i w:val="0"/>
          <w:iCs w:val="0"/>
          <w:color w:val="auto"/>
          <w:sz w:val="24"/>
          <w:szCs w:val="24"/>
        </w:rPr>
      </w:pPr>
      <w:r>
        <w:rPr>
          <w:i w:val="0"/>
          <w:iCs w:val="0"/>
          <w:color w:val="auto"/>
          <w:sz w:val="24"/>
          <w:szCs w:val="24"/>
        </w:rPr>
        <w:t>1.2 本价格清单应与招标文件中投标人须知、专用合同条</w:t>
      </w:r>
      <w:r>
        <w:rPr>
          <w:rFonts w:hint="eastAsia"/>
          <w:i w:val="0"/>
          <w:iCs w:val="0"/>
          <w:color w:val="auto"/>
          <w:sz w:val="24"/>
          <w:szCs w:val="24"/>
          <w:lang w:eastAsia="zh-CN"/>
        </w:rPr>
        <w:t>件</w:t>
      </w:r>
      <w:r>
        <w:rPr>
          <w:i w:val="0"/>
          <w:iCs w:val="0"/>
          <w:color w:val="auto"/>
          <w:sz w:val="24"/>
          <w:szCs w:val="24"/>
        </w:rPr>
        <w:t>、通用合同条</w:t>
      </w:r>
      <w:r>
        <w:rPr>
          <w:rFonts w:hint="eastAsia"/>
          <w:i w:val="0"/>
          <w:iCs w:val="0"/>
          <w:color w:val="auto"/>
          <w:sz w:val="24"/>
          <w:szCs w:val="24"/>
          <w:lang w:eastAsia="zh-CN"/>
        </w:rPr>
        <w:t>件</w:t>
      </w:r>
      <w:r>
        <w:rPr>
          <w:i w:val="0"/>
          <w:iCs w:val="0"/>
          <w:color w:val="auto"/>
          <w:sz w:val="24"/>
          <w:szCs w:val="24"/>
        </w:rPr>
        <w:t>、发包人要求等一起阅读和理解。</w:t>
      </w:r>
    </w:p>
    <w:p w14:paraId="5B97D2F4">
      <w:pPr>
        <w:pageBreakBefore w:val="0"/>
        <w:kinsoku/>
        <w:wordWrap w:val="0"/>
        <w:overflowPunct/>
        <w:bidi w:val="0"/>
        <w:spacing w:line="440" w:lineRule="exact"/>
        <w:ind w:firstLine="480" w:firstLineChars="200"/>
        <w:rPr>
          <w:i w:val="0"/>
          <w:iCs w:val="0"/>
          <w:color w:val="auto"/>
          <w:sz w:val="24"/>
          <w:szCs w:val="24"/>
        </w:rPr>
      </w:pPr>
      <w:r>
        <w:rPr>
          <w:i w:val="0"/>
          <w:iCs w:val="0"/>
          <w:color w:val="auto"/>
          <w:sz w:val="24"/>
          <w:szCs w:val="24"/>
        </w:rPr>
        <w:sym w:font="Wingdings 2" w:char="0052"/>
      </w:r>
      <w:r>
        <w:rPr>
          <w:i w:val="0"/>
          <w:iCs w:val="0"/>
          <w:color w:val="auto"/>
          <w:sz w:val="24"/>
          <w:szCs w:val="24"/>
        </w:rPr>
        <w:t>1.3 设计费的说明：</w:t>
      </w:r>
      <w:r>
        <w:rPr>
          <w:i w:val="0"/>
          <w:iCs w:val="0"/>
          <w:color w:val="auto"/>
          <w:sz w:val="24"/>
          <w:szCs w:val="24"/>
          <w:u w:val="single"/>
        </w:rPr>
        <w:t xml:space="preserve">                                  </w:t>
      </w:r>
      <w:r>
        <w:rPr>
          <w:i w:val="0"/>
          <w:iCs w:val="0"/>
          <w:color w:val="auto"/>
          <w:sz w:val="24"/>
          <w:szCs w:val="24"/>
        </w:rPr>
        <w:t>。</w:t>
      </w:r>
    </w:p>
    <w:p w14:paraId="19436FB5">
      <w:pPr>
        <w:pageBreakBefore w:val="0"/>
        <w:kinsoku/>
        <w:wordWrap w:val="0"/>
        <w:overflowPunct/>
        <w:bidi w:val="0"/>
        <w:spacing w:line="440" w:lineRule="exact"/>
        <w:ind w:firstLine="480" w:firstLineChars="200"/>
        <w:rPr>
          <w:i w:val="0"/>
          <w:iCs w:val="0"/>
          <w:color w:val="auto"/>
          <w:sz w:val="24"/>
          <w:szCs w:val="24"/>
        </w:rPr>
      </w:pPr>
      <w:bookmarkStart w:id="3229" w:name="_Toc17065"/>
      <w:r>
        <w:rPr>
          <w:i w:val="0"/>
          <w:iCs w:val="0"/>
          <w:color w:val="auto"/>
          <w:sz w:val="24"/>
          <w:szCs w:val="24"/>
        </w:rPr>
        <w:sym w:font="Wingdings 2" w:char="00A3"/>
      </w:r>
      <w:r>
        <w:rPr>
          <w:i w:val="0"/>
          <w:iCs w:val="0"/>
          <w:color w:val="auto"/>
          <w:sz w:val="24"/>
          <w:szCs w:val="24"/>
        </w:rPr>
        <w:t>1.3 勘察设计费的说明：</w:t>
      </w:r>
      <w:r>
        <w:rPr>
          <w:i w:val="0"/>
          <w:iCs w:val="0"/>
          <w:color w:val="auto"/>
          <w:sz w:val="24"/>
          <w:szCs w:val="24"/>
          <w:u w:val="single"/>
        </w:rPr>
        <w:t xml:space="preserve">                              </w:t>
      </w:r>
      <w:r>
        <w:rPr>
          <w:i w:val="0"/>
          <w:iCs w:val="0"/>
          <w:color w:val="auto"/>
          <w:sz w:val="24"/>
          <w:szCs w:val="24"/>
        </w:rPr>
        <w:t>。</w:t>
      </w:r>
      <w:bookmarkEnd w:id="3229"/>
    </w:p>
    <w:p w14:paraId="2B25C815">
      <w:pPr>
        <w:pageBreakBefore w:val="0"/>
        <w:kinsoku/>
        <w:wordWrap w:val="0"/>
        <w:overflowPunct/>
        <w:bidi w:val="0"/>
        <w:spacing w:line="440" w:lineRule="exact"/>
        <w:ind w:firstLine="480" w:firstLineChars="200"/>
        <w:rPr>
          <w:i w:val="0"/>
          <w:iCs w:val="0"/>
          <w:color w:val="auto"/>
          <w:sz w:val="24"/>
          <w:szCs w:val="24"/>
        </w:rPr>
      </w:pPr>
      <w:bookmarkStart w:id="3230" w:name="_Toc5687"/>
      <w:r>
        <w:rPr>
          <w:i w:val="0"/>
          <w:iCs w:val="0"/>
          <w:color w:val="auto"/>
          <w:sz w:val="24"/>
          <w:szCs w:val="24"/>
        </w:rPr>
        <w:t>1.4 工程设备费的说明：</w:t>
      </w:r>
      <w:r>
        <w:rPr>
          <w:i w:val="0"/>
          <w:iCs w:val="0"/>
          <w:color w:val="auto"/>
          <w:sz w:val="24"/>
          <w:szCs w:val="24"/>
          <w:u w:val="single"/>
        </w:rPr>
        <w:t xml:space="preserve">                              </w:t>
      </w:r>
      <w:r>
        <w:rPr>
          <w:i w:val="0"/>
          <w:iCs w:val="0"/>
          <w:color w:val="auto"/>
          <w:sz w:val="24"/>
          <w:szCs w:val="24"/>
        </w:rPr>
        <w:t>。</w:t>
      </w:r>
      <w:bookmarkEnd w:id="3230"/>
    </w:p>
    <w:p w14:paraId="7FB59F43">
      <w:pPr>
        <w:pageBreakBefore w:val="0"/>
        <w:kinsoku/>
        <w:wordWrap w:val="0"/>
        <w:overflowPunct/>
        <w:bidi w:val="0"/>
        <w:spacing w:line="440" w:lineRule="exact"/>
        <w:ind w:firstLine="480" w:firstLineChars="200"/>
        <w:rPr>
          <w:i w:val="0"/>
          <w:iCs w:val="0"/>
          <w:color w:val="auto"/>
          <w:sz w:val="24"/>
          <w:szCs w:val="24"/>
        </w:rPr>
      </w:pPr>
      <w:bookmarkStart w:id="3231" w:name="_Toc7772"/>
      <w:r>
        <w:rPr>
          <w:i w:val="0"/>
          <w:iCs w:val="0"/>
          <w:color w:val="auto"/>
          <w:sz w:val="24"/>
          <w:szCs w:val="24"/>
        </w:rPr>
        <w:t>1.5 必备的备品备件费的说明：</w:t>
      </w:r>
      <w:r>
        <w:rPr>
          <w:i w:val="0"/>
          <w:iCs w:val="0"/>
          <w:color w:val="auto"/>
          <w:sz w:val="24"/>
          <w:szCs w:val="24"/>
          <w:u w:val="single"/>
        </w:rPr>
        <w:t xml:space="preserve">                        </w:t>
      </w:r>
      <w:r>
        <w:rPr>
          <w:i w:val="0"/>
          <w:iCs w:val="0"/>
          <w:color w:val="auto"/>
          <w:sz w:val="24"/>
          <w:szCs w:val="24"/>
        </w:rPr>
        <w:t>。</w:t>
      </w:r>
      <w:bookmarkEnd w:id="3231"/>
    </w:p>
    <w:p w14:paraId="08E18C18">
      <w:pPr>
        <w:pageBreakBefore w:val="0"/>
        <w:kinsoku/>
        <w:wordWrap w:val="0"/>
        <w:overflowPunct/>
        <w:bidi w:val="0"/>
        <w:spacing w:line="440" w:lineRule="exact"/>
        <w:ind w:firstLine="480" w:firstLineChars="200"/>
        <w:rPr>
          <w:i w:val="0"/>
          <w:iCs w:val="0"/>
          <w:color w:val="auto"/>
          <w:sz w:val="24"/>
          <w:szCs w:val="24"/>
        </w:rPr>
      </w:pPr>
      <w:bookmarkStart w:id="3232" w:name="_Toc13685"/>
      <w:r>
        <w:rPr>
          <w:i w:val="0"/>
          <w:iCs w:val="0"/>
          <w:color w:val="auto"/>
          <w:sz w:val="24"/>
          <w:szCs w:val="24"/>
        </w:rPr>
        <w:t>1.6 建筑安装工程费的说明：</w:t>
      </w:r>
      <w:r>
        <w:rPr>
          <w:i w:val="0"/>
          <w:iCs w:val="0"/>
          <w:color w:val="auto"/>
          <w:sz w:val="24"/>
          <w:szCs w:val="24"/>
          <w:u w:val="single"/>
        </w:rPr>
        <w:t xml:space="preserve">                          </w:t>
      </w:r>
      <w:r>
        <w:rPr>
          <w:i w:val="0"/>
          <w:iCs w:val="0"/>
          <w:color w:val="auto"/>
          <w:sz w:val="24"/>
          <w:szCs w:val="24"/>
        </w:rPr>
        <w:t>。</w:t>
      </w:r>
      <w:bookmarkEnd w:id="3232"/>
    </w:p>
    <w:p w14:paraId="7E1CD402">
      <w:pPr>
        <w:pageBreakBefore w:val="0"/>
        <w:kinsoku/>
        <w:wordWrap w:val="0"/>
        <w:overflowPunct/>
        <w:bidi w:val="0"/>
        <w:spacing w:line="440" w:lineRule="exact"/>
        <w:ind w:firstLine="480" w:firstLineChars="200"/>
        <w:rPr>
          <w:i w:val="0"/>
          <w:iCs w:val="0"/>
          <w:color w:val="auto"/>
          <w:sz w:val="24"/>
          <w:szCs w:val="24"/>
        </w:rPr>
      </w:pPr>
      <w:bookmarkStart w:id="3233" w:name="_Toc31167"/>
      <w:r>
        <w:rPr>
          <w:i w:val="0"/>
          <w:iCs w:val="0"/>
          <w:color w:val="auto"/>
          <w:sz w:val="24"/>
          <w:szCs w:val="24"/>
        </w:rPr>
        <w:t>1.7 技术服务费的说明：</w:t>
      </w:r>
      <w:r>
        <w:rPr>
          <w:i w:val="0"/>
          <w:iCs w:val="0"/>
          <w:color w:val="auto"/>
          <w:sz w:val="24"/>
          <w:szCs w:val="24"/>
          <w:u w:val="single"/>
        </w:rPr>
        <w:t xml:space="preserve">                              </w:t>
      </w:r>
      <w:r>
        <w:rPr>
          <w:i w:val="0"/>
          <w:iCs w:val="0"/>
          <w:color w:val="auto"/>
          <w:sz w:val="24"/>
          <w:szCs w:val="24"/>
        </w:rPr>
        <w:t>。</w:t>
      </w:r>
      <w:bookmarkEnd w:id="3233"/>
    </w:p>
    <w:p w14:paraId="1A10D1C1">
      <w:pPr>
        <w:pageBreakBefore w:val="0"/>
        <w:kinsoku/>
        <w:wordWrap w:val="0"/>
        <w:overflowPunct/>
        <w:bidi w:val="0"/>
        <w:spacing w:line="440" w:lineRule="exact"/>
        <w:ind w:firstLine="480" w:firstLineChars="200"/>
        <w:rPr>
          <w:i w:val="0"/>
          <w:iCs w:val="0"/>
          <w:color w:val="auto"/>
          <w:sz w:val="24"/>
          <w:szCs w:val="24"/>
        </w:rPr>
      </w:pPr>
      <w:bookmarkStart w:id="3234" w:name="_Toc1933"/>
      <w:r>
        <w:rPr>
          <w:i w:val="0"/>
          <w:iCs w:val="0"/>
          <w:color w:val="auto"/>
          <w:sz w:val="24"/>
          <w:szCs w:val="24"/>
        </w:rPr>
        <w:t>1.8 暂列金额的说明：</w:t>
      </w:r>
      <w:r>
        <w:rPr>
          <w:i w:val="0"/>
          <w:iCs w:val="0"/>
          <w:color w:val="auto"/>
          <w:sz w:val="24"/>
          <w:szCs w:val="24"/>
          <w:u w:val="single"/>
        </w:rPr>
        <w:t xml:space="preserve">                                </w:t>
      </w:r>
      <w:r>
        <w:rPr>
          <w:i w:val="0"/>
          <w:iCs w:val="0"/>
          <w:color w:val="auto"/>
          <w:sz w:val="24"/>
          <w:szCs w:val="24"/>
        </w:rPr>
        <w:t>。</w:t>
      </w:r>
      <w:bookmarkEnd w:id="3234"/>
    </w:p>
    <w:p w14:paraId="03E7014D">
      <w:pPr>
        <w:pageBreakBefore w:val="0"/>
        <w:kinsoku/>
        <w:wordWrap w:val="0"/>
        <w:overflowPunct/>
        <w:bidi w:val="0"/>
        <w:spacing w:line="440" w:lineRule="exact"/>
        <w:ind w:firstLine="480" w:firstLineChars="200"/>
        <w:rPr>
          <w:i w:val="0"/>
          <w:iCs w:val="0"/>
          <w:color w:val="auto"/>
          <w:sz w:val="24"/>
          <w:szCs w:val="24"/>
        </w:rPr>
      </w:pPr>
      <w:bookmarkStart w:id="3235" w:name="_Toc10194"/>
      <w:r>
        <w:rPr>
          <w:i w:val="0"/>
          <w:iCs w:val="0"/>
          <w:color w:val="auto"/>
          <w:sz w:val="24"/>
          <w:szCs w:val="24"/>
        </w:rPr>
        <w:t>1.9 暂估价的说明：由招标人列明并应包含在投标报价汇总表中。</w:t>
      </w:r>
      <w:bookmarkEnd w:id="3235"/>
    </w:p>
    <w:p w14:paraId="7192408C">
      <w:pPr>
        <w:pageBreakBefore w:val="0"/>
        <w:kinsoku/>
        <w:wordWrap w:val="0"/>
        <w:overflowPunct/>
        <w:bidi w:val="0"/>
        <w:spacing w:line="440" w:lineRule="exact"/>
        <w:ind w:firstLine="480" w:firstLineChars="200"/>
        <w:rPr>
          <w:i w:val="0"/>
          <w:iCs w:val="0"/>
          <w:color w:val="auto"/>
          <w:sz w:val="24"/>
          <w:szCs w:val="24"/>
        </w:rPr>
      </w:pPr>
      <w:bookmarkStart w:id="3236" w:name="_Toc7395"/>
      <w:r>
        <w:rPr>
          <w:i w:val="0"/>
          <w:iCs w:val="0"/>
          <w:color w:val="auto"/>
          <w:sz w:val="24"/>
          <w:szCs w:val="24"/>
        </w:rPr>
        <w:t>1.10 其它费用的说明：</w:t>
      </w:r>
      <w:r>
        <w:rPr>
          <w:i w:val="0"/>
          <w:iCs w:val="0"/>
          <w:color w:val="auto"/>
          <w:sz w:val="24"/>
          <w:szCs w:val="24"/>
          <w:u w:val="single"/>
        </w:rPr>
        <w:t xml:space="preserve">                               </w:t>
      </w:r>
      <w:r>
        <w:rPr>
          <w:i w:val="0"/>
          <w:iCs w:val="0"/>
          <w:color w:val="auto"/>
          <w:sz w:val="24"/>
          <w:szCs w:val="24"/>
        </w:rPr>
        <w:t>。</w:t>
      </w:r>
      <w:bookmarkEnd w:id="3236"/>
    </w:p>
    <w:p w14:paraId="019BD407">
      <w:pPr>
        <w:pageBreakBefore w:val="0"/>
        <w:kinsoku/>
        <w:wordWrap w:val="0"/>
        <w:overflowPunct/>
        <w:bidi w:val="0"/>
        <w:spacing w:line="440" w:lineRule="exact"/>
        <w:ind w:firstLine="420" w:firstLineChars="200"/>
        <w:rPr>
          <w:i/>
          <w:iCs/>
          <w:color w:val="auto"/>
          <w:szCs w:val="21"/>
        </w:rPr>
      </w:pPr>
    </w:p>
    <w:p w14:paraId="69666294">
      <w:pPr>
        <w:pStyle w:val="4"/>
        <w:pageBreakBefore w:val="0"/>
        <w:kinsoku/>
        <w:wordWrap w:val="0"/>
        <w:overflowPunct/>
        <w:bidi w:val="0"/>
        <w:outlineLvl w:val="2"/>
        <w:rPr>
          <w:rFonts w:ascii="Times New Roman" w:hAnsi="Times New Roman"/>
          <w:i w:val="0"/>
          <w:iCs w:val="0"/>
          <w:color w:val="auto"/>
        </w:rPr>
      </w:pPr>
      <w:r>
        <w:rPr>
          <w:rFonts w:ascii="Times New Roman" w:hAnsi="Times New Roman"/>
          <w:i/>
          <w:iCs/>
          <w:color w:val="auto"/>
        </w:rPr>
        <w:br w:type="page"/>
      </w:r>
      <w:bookmarkStart w:id="3237" w:name="_Toc31358"/>
      <w:bookmarkStart w:id="3238" w:name="_Toc19731"/>
      <w:bookmarkStart w:id="3239" w:name="_Toc25408"/>
      <w:bookmarkStart w:id="3240" w:name="_Toc28954"/>
      <w:bookmarkStart w:id="3241" w:name="_Toc13602"/>
      <w:bookmarkStart w:id="3242" w:name="_Toc22270"/>
      <w:r>
        <w:rPr>
          <w:rFonts w:ascii="Times New Roman" w:hAnsi="Times New Roman"/>
          <w:i w:val="0"/>
          <w:iCs w:val="0"/>
          <w:color w:val="auto"/>
          <w:sz w:val="24"/>
          <w:szCs w:val="24"/>
        </w:rPr>
        <w:t>（二）价格清单</w:t>
      </w:r>
      <w:bookmarkEnd w:id="3237"/>
      <w:bookmarkEnd w:id="3238"/>
      <w:bookmarkEnd w:id="3239"/>
      <w:bookmarkEnd w:id="3240"/>
      <w:bookmarkEnd w:id="3241"/>
      <w:bookmarkEnd w:id="3242"/>
    </w:p>
    <w:p w14:paraId="3B86AF73">
      <w:pPr>
        <w:pageBreakBefore w:val="0"/>
        <w:kinsoku/>
        <w:wordWrap w:val="0"/>
        <w:overflowPunct/>
        <w:bidi w:val="0"/>
        <w:ind w:firstLine="480" w:firstLineChars="200"/>
        <w:rPr>
          <w:i w:val="0"/>
          <w:iCs w:val="0"/>
          <w:color w:val="auto"/>
          <w:kern w:val="0"/>
          <w:sz w:val="24"/>
          <w:szCs w:val="24"/>
        </w:rPr>
      </w:pPr>
      <w:bookmarkStart w:id="3243" w:name="_Toc27114"/>
      <w:r>
        <w:rPr>
          <w:i w:val="0"/>
          <w:iCs w:val="0"/>
          <w:color w:val="auto"/>
          <w:sz w:val="24"/>
          <w:szCs w:val="24"/>
        </w:rPr>
        <w:t>2.1 设计费清单</w:t>
      </w:r>
      <w:bookmarkEnd w:id="3243"/>
    </w:p>
    <w:p w14:paraId="07BA09FC">
      <w:pPr>
        <w:pageBreakBefore w:val="0"/>
        <w:widowControl/>
        <w:kinsoku/>
        <w:wordWrap w:val="0"/>
        <w:overflowPunct/>
        <w:bidi w:val="0"/>
        <w:jc w:val="center"/>
        <w:rPr>
          <w:i w:val="0"/>
          <w:iCs w:val="0"/>
          <w:color w:val="auto"/>
          <w:kern w:val="0"/>
          <w:sz w:val="24"/>
          <w:szCs w:val="24"/>
        </w:rPr>
      </w:pPr>
      <w:r>
        <w:rPr>
          <w:rFonts w:hint="eastAsia"/>
          <w:i w:val="0"/>
          <w:iCs w:val="0"/>
          <w:color w:val="auto"/>
          <w:kern w:val="0"/>
          <w:sz w:val="24"/>
          <w:szCs w:val="24"/>
          <w:lang w:val="en-US" w:eastAsia="zh-CN"/>
        </w:rPr>
        <w:t xml:space="preserve">                                                        </w:t>
      </w:r>
      <w:r>
        <w:rPr>
          <w:i w:val="0"/>
          <w:iCs w:val="0"/>
          <w:color w:val="auto"/>
          <w:kern w:val="0"/>
          <w:sz w:val="24"/>
          <w:szCs w:val="24"/>
        </w:rPr>
        <w:t>单位：人民币元</w:t>
      </w:r>
    </w:p>
    <w:tbl>
      <w:tblPr>
        <w:tblStyle w:val="38"/>
        <w:tblW w:w="4998" w:type="pct"/>
        <w:jc w:val="center"/>
        <w:tblLayout w:type="autofit"/>
        <w:tblCellMar>
          <w:top w:w="0" w:type="dxa"/>
          <w:left w:w="108" w:type="dxa"/>
          <w:bottom w:w="0" w:type="dxa"/>
          <w:right w:w="108" w:type="dxa"/>
        </w:tblCellMar>
      </w:tblPr>
      <w:tblGrid>
        <w:gridCol w:w="1057"/>
        <w:gridCol w:w="2810"/>
        <w:gridCol w:w="1316"/>
        <w:gridCol w:w="2465"/>
        <w:gridCol w:w="2201"/>
      </w:tblGrid>
      <w:tr w14:paraId="3FC3D44B">
        <w:tblPrEx>
          <w:tblCellMar>
            <w:top w:w="0" w:type="dxa"/>
            <w:left w:w="108" w:type="dxa"/>
            <w:bottom w:w="0" w:type="dxa"/>
            <w:right w:w="108" w:type="dxa"/>
          </w:tblCellMar>
        </w:tblPrEx>
        <w:trPr>
          <w:trHeight w:val="702"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14:paraId="1E09CF0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425" w:type="pct"/>
            <w:tcBorders>
              <w:top w:val="single" w:color="auto" w:sz="4" w:space="0"/>
              <w:left w:val="nil"/>
              <w:bottom w:val="single" w:color="auto" w:sz="4" w:space="0"/>
              <w:right w:val="single" w:color="auto" w:sz="4" w:space="0"/>
            </w:tcBorders>
            <w:noWrap w:val="0"/>
            <w:vAlign w:val="center"/>
          </w:tcPr>
          <w:p w14:paraId="099B51E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 xml:space="preserve">项目名称 </w:t>
            </w:r>
          </w:p>
        </w:tc>
        <w:tc>
          <w:tcPr>
            <w:tcW w:w="668" w:type="pct"/>
            <w:tcBorders>
              <w:top w:val="single" w:color="auto" w:sz="4" w:space="0"/>
              <w:left w:val="nil"/>
              <w:bottom w:val="single" w:color="auto" w:sz="4" w:space="0"/>
              <w:right w:val="single" w:color="auto" w:sz="4" w:space="0"/>
            </w:tcBorders>
            <w:noWrap w:val="0"/>
            <w:vAlign w:val="center"/>
          </w:tcPr>
          <w:p w14:paraId="311704A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工作内容</w:t>
            </w:r>
          </w:p>
        </w:tc>
        <w:tc>
          <w:tcPr>
            <w:tcW w:w="1251" w:type="pct"/>
            <w:tcBorders>
              <w:top w:val="single" w:color="auto" w:sz="4" w:space="0"/>
              <w:left w:val="nil"/>
              <w:bottom w:val="single" w:color="auto" w:sz="4" w:space="0"/>
              <w:right w:val="single" w:color="auto" w:sz="4" w:space="0"/>
            </w:tcBorders>
            <w:noWrap w:val="0"/>
            <w:vAlign w:val="center"/>
          </w:tcPr>
          <w:p w14:paraId="71B0A4A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金 额（元）</w:t>
            </w:r>
          </w:p>
        </w:tc>
        <w:tc>
          <w:tcPr>
            <w:tcW w:w="1117" w:type="pct"/>
            <w:tcBorders>
              <w:top w:val="single" w:color="auto" w:sz="4" w:space="0"/>
              <w:left w:val="nil"/>
              <w:bottom w:val="single" w:color="auto" w:sz="4" w:space="0"/>
              <w:right w:val="single" w:color="auto" w:sz="4" w:space="0"/>
            </w:tcBorders>
            <w:noWrap w:val="0"/>
            <w:vAlign w:val="center"/>
          </w:tcPr>
          <w:p w14:paraId="7425683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备注</w:t>
            </w:r>
          </w:p>
        </w:tc>
      </w:tr>
      <w:tr w14:paraId="1E47E5E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77E8587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1F151C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6836A15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1393338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39F1B44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2531DFF">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D879E5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2C2B13D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8B9BB1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C6540B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5167E99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5A4A88F">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97581E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55000CD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5C04A1C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918F09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0D4EAA7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5865754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EA10090">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9269D9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7E4763D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5B980E3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406528D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42D9D6F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5D0CC8C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BFF420C">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540EF9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23E4404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411F568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36E785B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0BEC343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2C3BF5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ED9F129">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3078153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3C39710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3ECABAF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7D4770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45A66E6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E8D5ADE">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A62462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2B2B33D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B775DB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1443FF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38498C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1CBB083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A5DD573">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344B4C7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4396282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44C0A4E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68BF801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4FB0C53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ED945D9">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5A1C850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6AAEAD6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0E9241B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CA7C4C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3C32BFA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7D2126D">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1AAEE3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7E0D4D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3EE782E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529215A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35F51B5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CA9FDBC">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7C6D2D2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349AC50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7492C58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319812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0876454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2167B4E">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31A877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415877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648DB2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3E7D50B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27C211C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5D17B57">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62284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2D582E3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05CA748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5108324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7938022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1B13531">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BA3D49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60D416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4210EF4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475B0D2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6CBC21F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CAD733C">
        <w:tblPrEx>
          <w:tblCellMar>
            <w:top w:w="0" w:type="dxa"/>
            <w:left w:w="108" w:type="dxa"/>
            <w:bottom w:w="0" w:type="dxa"/>
            <w:right w:w="108" w:type="dxa"/>
          </w:tblCellMar>
        </w:tblPrEx>
        <w:trPr>
          <w:trHeight w:val="702" w:hRule="atLeast"/>
          <w:jc w:val="center"/>
        </w:trPr>
        <w:tc>
          <w:tcPr>
            <w:tcW w:w="1963" w:type="pct"/>
            <w:gridSpan w:val="2"/>
            <w:tcBorders>
              <w:top w:val="nil"/>
              <w:left w:val="single" w:color="auto" w:sz="4" w:space="0"/>
              <w:bottom w:val="single" w:color="auto" w:sz="4" w:space="0"/>
              <w:right w:val="single" w:color="auto" w:sz="4" w:space="0"/>
            </w:tcBorders>
            <w:noWrap w:val="0"/>
            <w:vAlign w:val="center"/>
          </w:tcPr>
          <w:p w14:paraId="7C179A9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合计报价</w:t>
            </w:r>
          </w:p>
        </w:tc>
        <w:tc>
          <w:tcPr>
            <w:tcW w:w="3036" w:type="pct"/>
            <w:gridSpan w:val="3"/>
            <w:tcBorders>
              <w:top w:val="single" w:color="auto" w:sz="4" w:space="0"/>
              <w:left w:val="nil"/>
              <w:bottom w:val="single" w:color="auto" w:sz="4" w:space="0"/>
              <w:right w:val="single" w:color="auto" w:sz="4" w:space="0"/>
            </w:tcBorders>
            <w:noWrap w:val="0"/>
            <w:vAlign w:val="center"/>
          </w:tcPr>
          <w:p w14:paraId="68019FF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bl>
    <w:p w14:paraId="63007C70">
      <w:pPr>
        <w:pageBreakBefore w:val="0"/>
        <w:kinsoku/>
        <w:wordWrap w:val="0"/>
        <w:overflowPunct/>
        <w:bidi w:val="0"/>
        <w:rPr>
          <w:i w:val="0"/>
          <w:iCs w:val="0"/>
          <w:color w:val="auto"/>
          <w:sz w:val="24"/>
          <w:szCs w:val="24"/>
        </w:rPr>
      </w:pPr>
      <w:r>
        <w:rPr>
          <w:i w:val="0"/>
          <w:iCs w:val="0"/>
          <w:color w:val="auto"/>
        </w:rPr>
        <w:br w:type="page"/>
      </w:r>
      <w:bookmarkStart w:id="3244" w:name="_Toc10586"/>
      <w:r>
        <w:rPr>
          <w:i w:val="0"/>
          <w:iCs w:val="0"/>
          <w:color w:val="auto"/>
          <w:sz w:val="24"/>
          <w:szCs w:val="24"/>
        </w:rPr>
        <w:t>2.2 工程设备费清单</w:t>
      </w:r>
      <w:bookmarkEnd w:id="3244"/>
    </w:p>
    <w:p w14:paraId="0040ABD7">
      <w:pPr>
        <w:pageBreakBefore w:val="0"/>
        <w:kinsoku/>
        <w:wordWrap w:val="0"/>
        <w:overflowPunct/>
        <w:bidi w:val="0"/>
        <w:rPr>
          <w:i w:val="0"/>
          <w:iCs w:val="0"/>
          <w:color w:val="auto"/>
          <w:sz w:val="24"/>
          <w:szCs w:val="24"/>
        </w:rPr>
      </w:pPr>
    </w:p>
    <w:p w14:paraId="2E5DF0A3">
      <w:pPr>
        <w:pageBreakBefore w:val="0"/>
        <w:widowControl/>
        <w:kinsoku/>
        <w:wordWrap w:val="0"/>
        <w:overflowPunct/>
        <w:bidi w:val="0"/>
        <w:jc w:val="right"/>
        <w:rPr>
          <w:i w:val="0"/>
          <w:iCs w:val="0"/>
          <w:color w:val="auto"/>
          <w:kern w:val="0"/>
          <w:sz w:val="24"/>
          <w:szCs w:val="24"/>
        </w:rPr>
      </w:pPr>
      <w:r>
        <w:rPr>
          <w:i w:val="0"/>
          <w:iCs w:val="0"/>
          <w:color w:val="auto"/>
          <w:kern w:val="0"/>
          <w:sz w:val="24"/>
          <w:szCs w:val="24"/>
        </w:rPr>
        <w:t>单位：人民币元</w:t>
      </w:r>
    </w:p>
    <w:tbl>
      <w:tblPr>
        <w:tblStyle w:val="38"/>
        <w:tblW w:w="4998" w:type="pct"/>
        <w:jc w:val="center"/>
        <w:tblLayout w:type="autofit"/>
        <w:tblCellMar>
          <w:top w:w="0" w:type="dxa"/>
          <w:left w:w="108" w:type="dxa"/>
          <w:bottom w:w="0" w:type="dxa"/>
          <w:right w:w="108" w:type="dxa"/>
        </w:tblCellMar>
      </w:tblPr>
      <w:tblGrid>
        <w:gridCol w:w="1057"/>
        <w:gridCol w:w="2601"/>
        <w:gridCol w:w="1669"/>
        <w:gridCol w:w="1247"/>
        <w:gridCol w:w="1665"/>
        <w:gridCol w:w="1610"/>
      </w:tblGrid>
      <w:tr w14:paraId="05F412B2">
        <w:tblPrEx>
          <w:tblCellMar>
            <w:top w:w="0" w:type="dxa"/>
            <w:left w:w="108" w:type="dxa"/>
            <w:bottom w:w="0" w:type="dxa"/>
            <w:right w:w="108" w:type="dxa"/>
          </w:tblCellMar>
        </w:tblPrEx>
        <w:trPr>
          <w:trHeight w:val="702"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14:paraId="5A8392A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320" w:type="pct"/>
            <w:tcBorders>
              <w:top w:val="single" w:color="auto" w:sz="4" w:space="0"/>
              <w:left w:val="nil"/>
              <w:bottom w:val="single" w:color="auto" w:sz="4" w:space="0"/>
              <w:right w:val="single" w:color="auto" w:sz="4" w:space="0"/>
            </w:tcBorders>
            <w:noWrap w:val="0"/>
            <w:vAlign w:val="center"/>
          </w:tcPr>
          <w:p w14:paraId="61BDE76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主要设备名称</w:t>
            </w:r>
          </w:p>
          <w:p w14:paraId="70A133C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及供应商</w:t>
            </w:r>
          </w:p>
        </w:tc>
        <w:tc>
          <w:tcPr>
            <w:tcW w:w="847" w:type="pct"/>
            <w:tcBorders>
              <w:top w:val="single" w:color="auto" w:sz="4" w:space="0"/>
              <w:left w:val="nil"/>
              <w:bottom w:val="single" w:color="auto" w:sz="4" w:space="0"/>
              <w:right w:val="single" w:color="auto" w:sz="4" w:space="0"/>
            </w:tcBorders>
            <w:noWrap w:val="0"/>
            <w:vAlign w:val="center"/>
          </w:tcPr>
          <w:p w14:paraId="5CE505A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规格型号</w:t>
            </w:r>
          </w:p>
        </w:tc>
        <w:tc>
          <w:tcPr>
            <w:tcW w:w="633" w:type="pct"/>
            <w:tcBorders>
              <w:top w:val="single" w:color="auto" w:sz="4" w:space="0"/>
              <w:left w:val="nil"/>
              <w:bottom w:val="single" w:color="auto" w:sz="4" w:space="0"/>
              <w:right w:val="single" w:color="auto" w:sz="4" w:space="0"/>
            </w:tcBorders>
            <w:noWrap w:val="0"/>
            <w:vAlign w:val="center"/>
          </w:tcPr>
          <w:p w14:paraId="7405BC9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数量</w:t>
            </w:r>
          </w:p>
        </w:tc>
        <w:tc>
          <w:tcPr>
            <w:tcW w:w="845" w:type="pct"/>
            <w:tcBorders>
              <w:top w:val="single" w:color="auto" w:sz="4" w:space="0"/>
              <w:left w:val="nil"/>
              <w:bottom w:val="single" w:color="auto" w:sz="4" w:space="0"/>
              <w:right w:val="single" w:color="auto" w:sz="4" w:space="0"/>
            </w:tcBorders>
            <w:noWrap w:val="0"/>
            <w:vAlign w:val="center"/>
          </w:tcPr>
          <w:p w14:paraId="14A7899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单价</w:t>
            </w:r>
          </w:p>
        </w:tc>
        <w:tc>
          <w:tcPr>
            <w:tcW w:w="816" w:type="pct"/>
            <w:tcBorders>
              <w:top w:val="single" w:color="auto" w:sz="4" w:space="0"/>
              <w:left w:val="nil"/>
              <w:bottom w:val="single" w:color="auto" w:sz="4" w:space="0"/>
              <w:right w:val="single" w:color="auto" w:sz="4" w:space="0"/>
            </w:tcBorders>
            <w:noWrap w:val="0"/>
            <w:vAlign w:val="center"/>
          </w:tcPr>
          <w:p w14:paraId="6D97612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合价</w:t>
            </w:r>
          </w:p>
        </w:tc>
      </w:tr>
      <w:tr w14:paraId="088C7110">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5060078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3405157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1FC171D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77C3FD5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1DBD40E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6A45258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F9CD286">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BE2F06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398DB62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71211C1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7AE2F09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19D1E9B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68ABC4C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BA483AF">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6D2429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671BC74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75FB6D8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0F8D420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7867BDD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65E84CF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1BCF267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43464E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5E056C0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526047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6CB5AB3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039B3AC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2BBE2B3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73BC60C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0C50C3C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B655612">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7FFB8C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6C94E77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0B08A66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5CCDEF8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1382324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1500886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26520D1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CE60A9E">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0A6F10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7B75028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64B65E6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5BA5984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08C0768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0668D92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8E53E42">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F335A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5C2C4C7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5853B38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796EA4E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0AE250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6353796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44ECF35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A23063E">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7EDDBE1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74D64A0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5930822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4601CC9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5C75CB5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4497E3D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2CFD1E4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E82FCE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64FB12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2811732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6023055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6C6F360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42DD149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5921FE6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142319E">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EDE463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4540858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402D8AF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387E225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34207AC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3D64570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B99A437">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723DA5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7787553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2D7F349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507D2A2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2333ED3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738407C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80209A5">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6552A5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3EA77E8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1B41FBA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2863B25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0DF0F8C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22ED97E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3006214">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C289BB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1D5CE9E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39EFBD0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6ACFFD2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3614F43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2C43914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50E1F14">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0E04B1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21C80E7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4A008E1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0CAB90B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76C0BD7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3A23F59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073F1BD">
        <w:tblPrEx>
          <w:tblCellMar>
            <w:top w:w="0" w:type="dxa"/>
            <w:left w:w="108" w:type="dxa"/>
            <w:bottom w:w="0" w:type="dxa"/>
            <w:right w:w="108" w:type="dxa"/>
          </w:tblCellMar>
        </w:tblPrEx>
        <w:trPr>
          <w:trHeight w:val="702" w:hRule="atLeast"/>
          <w:jc w:val="center"/>
        </w:trPr>
        <w:tc>
          <w:tcPr>
            <w:tcW w:w="2704" w:type="pct"/>
            <w:gridSpan w:val="3"/>
            <w:tcBorders>
              <w:top w:val="nil"/>
              <w:left w:val="single" w:color="auto" w:sz="4" w:space="0"/>
              <w:bottom w:val="single" w:color="auto" w:sz="4" w:space="0"/>
              <w:right w:val="single" w:color="auto" w:sz="4" w:space="0"/>
            </w:tcBorders>
            <w:noWrap w:val="0"/>
            <w:vAlign w:val="center"/>
          </w:tcPr>
          <w:p w14:paraId="23D27A7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合计报价</w:t>
            </w:r>
          </w:p>
        </w:tc>
        <w:tc>
          <w:tcPr>
            <w:tcW w:w="2295" w:type="pct"/>
            <w:gridSpan w:val="3"/>
            <w:tcBorders>
              <w:top w:val="single" w:color="auto" w:sz="4" w:space="0"/>
              <w:left w:val="nil"/>
              <w:bottom w:val="single" w:color="auto" w:sz="4" w:space="0"/>
              <w:right w:val="single" w:color="auto" w:sz="4" w:space="0"/>
            </w:tcBorders>
            <w:noWrap w:val="0"/>
            <w:vAlign w:val="center"/>
          </w:tcPr>
          <w:p w14:paraId="189E615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bl>
    <w:p w14:paraId="1F088A0D">
      <w:pPr>
        <w:pageBreakBefore w:val="0"/>
        <w:kinsoku/>
        <w:wordWrap w:val="0"/>
        <w:overflowPunct/>
        <w:bidi w:val="0"/>
        <w:ind w:firstLine="210" w:firstLineChars="100"/>
        <w:rPr>
          <w:i w:val="0"/>
          <w:iCs w:val="0"/>
          <w:color w:val="auto"/>
          <w:sz w:val="24"/>
          <w:szCs w:val="24"/>
        </w:rPr>
      </w:pPr>
      <w:r>
        <w:rPr>
          <w:i w:val="0"/>
          <w:iCs w:val="0"/>
          <w:color w:val="auto"/>
        </w:rPr>
        <w:br w:type="page"/>
      </w:r>
      <w:bookmarkStart w:id="3245" w:name="_Toc3758"/>
      <w:r>
        <w:rPr>
          <w:i w:val="0"/>
          <w:iCs w:val="0"/>
          <w:color w:val="auto"/>
          <w:sz w:val="24"/>
          <w:szCs w:val="24"/>
        </w:rPr>
        <w:t>2.3 必备的备品备件费清单</w:t>
      </w:r>
      <w:bookmarkEnd w:id="3245"/>
    </w:p>
    <w:p w14:paraId="1D74EB17">
      <w:pPr>
        <w:pageBreakBefore w:val="0"/>
        <w:kinsoku/>
        <w:wordWrap w:val="0"/>
        <w:overflowPunct/>
        <w:bidi w:val="0"/>
        <w:rPr>
          <w:i w:val="0"/>
          <w:iCs w:val="0"/>
          <w:color w:val="auto"/>
          <w:sz w:val="24"/>
          <w:szCs w:val="24"/>
        </w:rPr>
      </w:pPr>
    </w:p>
    <w:p w14:paraId="331D8F8F">
      <w:pPr>
        <w:pageBreakBefore w:val="0"/>
        <w:widowControl/>
        <w:kinsoku/>
        <w:wordWrap w:val="0"/>
        <w:overflowPunct/>
        <w:bidi w:val="0"/>
        <w:jc w:val="right"/>
        <w:rPr>
          <w:i w:val="0"/>
          <w:iCs w:val="0"/>
          <w:color w:val="auto"/>
          <w:kern w:val="0"/>
          <w:sz w:val="24"/>
          <w:szCs w:val="24"/>
        </w:rPr>
      </w:pPr>
      <w:r>
        <w:rPr>
          <w:i w:val="0"/>
          <w:iCs w:val="0"/>
          <w:color w:val="auto"/>
          <w:kern w:val="0"/>
          <w:sz w:val="24"/>
          <w:szCs w:val="24"/>
        </w:rPr>
        <w:t>单位：人民币元</w:t>
      </w:r>
    </w:p>
    <w:tbl>
      <w:tblPr>
        <w:tblStyle w:val="38"/>
        <w:tblW w:w="4998" w:type="pct"/>
        <w:jc w:val="center"/>
        <w:tblLayout w:type="autofit"/>
        <w:tblCellMar>
          <w:top w:w="0" w:type="dxa"/>
          <w:left w:w="108" w:type="dxa"/>
          <w:bottom w:w="0" w:type="dxa"/>
          <w:right w:w="108" w:type="dxa"/>
        </w:tblCellMar>
      </w:tblPr>
      <w:tblGrid>
        <w:gridCol w:w="1056"/>
        <w:gridCol w:w="2183"/>
        <w:gridCol w:w="1462"/>
        <w:gridCol w:w="1454"/>
        <w:gridCol w:w="1872"/>
        <w:gridCol w:w="1822"/>
      </w:tblGrid>
      <w:tr w14:paraId="57DCA573">
        <w:tblPrEx>
          <w:tblCellMar>
            <w:top w:w="0" w:type="dxa"/>
            <w:left w:w="108" w:type="dxa"/>
            <w:bottom w:w="0" w:type="dxa"/>
            <w:right w:w="108" w:type="dxa"/>
          </w:tblCellMar>
        </w:tblPrEx>
        <w:trPr>
          <w:trHeight w:val="702" w:hRule="atLeast"/>
          <w:jc w:val="center"/>
        </w:trPr>
        <w:tc>
          <w:tcPr>
            <w:tcW w:w="536" w:type="pct"/>
            <w:tcBorders>
              <w:top w:val="single" w:color="auto" w:sz="4" w:space="0"/>
              <w:left w:val="single" w:color="auto" w:sz="4" w:space="0"/>
              <w:bottom w:val="single" w:color="auto" w:sz="4" w:space="0"/>
              <w:right w:val="single" w:color="auto" w:sz="4" w:space="0"/>
            </w:tcBorders>
            <w:noWrap w:val="0"/>
            <w:vAlign w:val="center"/>
          </w:tcPr>
          <w:p w14:paraId="08A0A1F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108" w:type="pct"/>
            <w:tcBorders>
              <w:top w:val="single" w:color="auto" w:sz="4" w:space="0"/>
              <w:left w:val="nil"/>
              <w:bottom w:val="single" w:color="auto" w:sz="4" w:space="0"/>
              <w:right w:val="single" w:color="auto" w:sz="4" w:space="0"/>
            </w:tcBorders>
            <w:noWrap w:val="0"/>
            <w:vAlign w:val="center"/>
          </w:tcPr>
          <w:p w14:paraId="452331D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备品备件名称及供应商</w:t>
            </w:r>
          </w:p>
        </w:tc>
        <w:tc>
          <w:tcPr>
            <w:tcW w:w="740" w:type="pct"/>
            <w:tcBorders>
              <w:top w:val="single" w:color="auto" w:sz="4" w:space="0"/>
              <w:left w:val="nil"/>
              <w:bottom w:val="single" w:color="auto" w:sz="4" w:space="0"/>
              <w:right w:val="single" w:color="auto" w:sz="4" w:space="0"/>
            </w:tcBorders>
            <w:noWrap w:val="0"/>
            <w:vAlign w:val="center"/>
          </w:tcPr>
          <w:p w14:paraId="2A33073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规格型号</w:t>
            </w:r>
          </w:p>
        </w:tc>
        <w:tc>
          <w:tcPr>
            <w:tcW w:w="738" w:type="pct"/>
            <w:tcBorders>
              <w:top w:val="single" w:color="auto" w:sz="4" w:space="0"/>
              <w:left w:val="nil"/>
              <w:bottom w:val="single" w:color="auto" w:sz="4" w:space="0"/>
              <w:right w:val="single" w:color="auto" w:sz="4" w:space="0"/>
            </w:tcBorders>
            <w:noWrap w:val="0"/>
            <w:vAlign w:val="center"/>
          </w:tcPr>
          <w:p w14:paraId="2FEAB5F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数量</w:t>
            </w:r>
          </w:p>
        </w:tc>
        <w:tc>
          <w:tcPr>
            <w:tcW w:w="950" w:type="pct"/>
            <w:tcBorders>
              <w:top w:val="single" w:color="auto" w:sz="4" w:space="0"/>
              <w:left w:val="nil"/>
              <w:bottom w:val="single" w:color="auto" w:sz="4" w:space="0"/>
              <w:right w:val="single" w:color="auto" w:sz="4" w:space="0"/>
            </w:tcBorders>
            <w:noWrap w:val="0"/>
            <w:vAlign w:val="center"/>
          </w:tcPr>
          <w:p w14:paraId="0602527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单价</w:t>
            </w:r>
          </w:p>
        </w:tc>
        <w:tc>
          <w:tcPr>
            <w:tcW w:w="924" w:type="pct"/>
            <w:tcBorders>
              <w:top w:val="single" w:color="auto" w:sz="4" w:space="0"/>
              <w:left w:val="nil"/>
              <w:bottom w:val="single" w:color="auto" w:sz="4" w:space="0"/>
              <w:right w:val="single" w:color="auto" w:sz="4" w:space="0"/>
            </w:tcBorders>
            <w:noWrap w:val="0"/>
            <w:vAlign w:val="center"/>
          </w:tcPr>
          <w:p w14:paraId="5CE7DD8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合价</w:t>
            </w:r>
          </w:p>
        </w:tc>
      </w:tr>
      <w:tr w14:paraId="0C569771">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730A500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66C626D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5AFD223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013739C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5E64D05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1825C96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15E91DA3">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4B62848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611AC4A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78FC1F5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50F2051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7BE4E88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3679010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0BF40F4">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4924210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586C18E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0288453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4E6CE15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19C1EAD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6903655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6E941EA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2A7343B">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207D2DD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36AAD7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3DD2B12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1AC26DD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266C947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57F1E4C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68AE22F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C638144">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6CBFDC5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1BC06C1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62FBD24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45C3107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3D240D3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6C0C151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0F6E2CF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67BDC38">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4F84857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A1FC0E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3CC33EF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7C6323E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39D3074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2B5D6BB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32B5777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2B4C767">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3C50A1D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061954D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21E4F64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7E72C94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328A615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407A0EB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F7BC1D2">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1D0E67B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42F193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7F79FE4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4A1307C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66D6F2A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364B944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12CA528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BD17DB8">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5F92C5C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7E60DE5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72A15C0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703D2E4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3B878B9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0AD4FAB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6010441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BFFDA3C">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6A81A14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703AE8A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7BFEC38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16F4ED3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43E4863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69C86EE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758C334">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5E04419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4C9C920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4BC399B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12FCC55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5D22039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30178D5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22DC869">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0B8F6FF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59AE2DB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4F06498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0610338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408218C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2727DD7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EAC2133">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76B5695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54383B6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29E2FBD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3055F56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051FE6E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497AF2C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164F67DD">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0E8F2B9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7CC0586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0A91A2A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456A365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13206E6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2DBA220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2BA40EC">
        <w:tblPrEx>
          <w:tblCellMar>
            <w:top w:w="0" w:type="dxa"/>
            <w:left w:w="108" w:type="dxa"/>
            <w:bottom w:w="0" w:type="dxa"/>
            <w:right w:w="108" w:type="dxa"/>
          </w:tblCellMar>
        </w:tblPrEx>
        <w:trPr>
          <w:trHeight w:val="702" w:hRule="atLeast"/>
          <w:jc w:val="center"/>
        </w:trPr>
        <w:tc>
          <w:tcPr>
            <w:tcW w:w="2386" w:type="pct"/>
            <w:gridSpan w:val="3"/>
            <w:tcBorders>
              <w:top w:val="nil"/>
              <w:left w:val="single" w:color="auto" w:sz="4" w:space="0"/>
              <w:bottom w:val="single" w:color="auto" w:sz="4" w:space="0"/>
              <w:right w:val="single" w:color="auto" w:sz="4" w:space="0"/>
            </w:tcBorders>
            <w:noWrap w:val="0"/>
            <w:vAlign w:val="center"/>
          </w:tcPr>
          <w:p w14:paraId="38BFECA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合计报价</w:t>
            </w:r>
          </w:p>
        </w:tc>
        <w:tc>
          <w:tcPr>
            <w:tcW w:w="2613" w:type="pct"/>
            <w:gridSpan w:val="3"/>
            <w:tcBorders>
              <w:top w:val="single" w:color="auto" w:sz="4" w:space="0"/>
              <w:left w:val="nil"/>
              <w:bottom w:val="single" w:color="auto" w:sz="4" w:space="0"/>
              <w:right w:val="single" w:color="auto" w:sz="4" w:space="0"/>
            </w:tcBorders>
            <w:noWrap w:val="0"/>
            <w:vAlign w:val="center"/>
          </w:tcPr>
          <w:p w14:paraId="4840562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bl>
    <w:p w14:paraId="67FDE8E6">
      <w:pPr>
        <w:pageBreakBefore w:val="0"/>
        <w:kinsoku/>
        <w:wordWrap w:val="0"/>
        <w:overflowPunct/>
        <w:bidi w:val="0"/>
        <w:spacing w:line="440" w:lineRule="exact"/>
        <w:rPr>
          <w:i w:val="0"/>
          <w:iCs w:val="0"/>
          <w:color w:val="auto"/>
          <w:sz w:val="24"/>
          <w:szCs w:val="24"/>
        </w:rPr>
      </w:pPr>
      <w:r>
        <w:rPr>
          <w:i w:val="0"/>
          <w:iCs w:val="0"/>
          <w:color w:val="auto"/>
          <w:szCs w:val="21"/>
        </w:rPr>
        <w:br w:type="page"/>
      </w:r>
      <w:bookmarkStart w:id="3246" w:name="_Toc23032"/>
      <w:r>
        <w:rPr>
          <w:i w:val="0"/>
          <w:iCs w:val="0"/>
          <w:color w:val="auto"/>
          <w:sz w:val="24"/>
          <w:szCs w:val="24"/>
        </w:rPr>
        <w:t>2.4 建筑安装工程费清单</w:t>
      </w:r>
      <w:bookmarkEnd w:id="3246"/>
    </w:p>
    <w:p w14:paraId="1E1AE85E">
      <w:pPr>
        <w:pageBreakBefore w:val="0"/>
        <w:kinsoku/>
        <w:wordWrap w:val="0"/>
        <w:overflowPunct/>
        <w:bidi w:val="0"/>
        <w:spacing w:line="440" w:lineRule="exact"/>
        <w:rPr>
          <w:i w:val="0"/>
          <w:iCs w:val="0"/>
          <w:color w:val="auto"/>
          <w:sz w:val="24"/>
          <w:szCs w:val="24"/>
        </w:rPr>
      </w:pPr>
    </w:p>
    <w:p w14:paraId="165CCDA3">
      <w:pPr>
        <w:pageBreakBefore w:val="0"/>
        <w:widowControl/>
        <w:kinsoku/>
        <w:wordWrap w:val="0"/>
        <w:overflowPunct/>
        <w:bidi w:val="0"/>
        <w:jc w:val="right"/>
        <w:rPr>
          <w:i w:val="0"/>
          <w:iCs w:val="0"/>
          <w:color w:val="auto"/>
          <w:kern w:val="0"/>
          <w:sz w:val="24"/>
          <w:szCs w:val="24"/>
        </w:rPr>
      </w:pPr>
      <w:r>
        <w:rPr>
          <w:i w:val="0"/>
          <w:iCs w:val="0"/>
          <w:color w:val="auto"/>
          <w:kern w:val="0"/>
          <w:sz w:val="24"/>
          <w:szCs w:val="24"/>
        </w:rPr>
        <w:t>单位：人民币元</w:t>
      </w:r>
    </w:p>
    <w:tbl>
      <w:tblPr>
        <w:tblStyle w:val="38"/>
        <w:tblW w:w="4997" w:type="pct"/>
        <w:jc w:val="center"/>
        <w:tblLayout w:type="autofit"/>
        <w:tblCellMar>
          <w:top w:w="0" w:type="dxa"/>
          <w:left w:w="108" w:type="dxa"/>
          <w:bottom w:w="0" w:type="dxa"/>
          <w:right w:w="108" w:type="dxa"/>
        </w:tblCellMar>
      </w:tblPr>
      <w:tblGrid>
        <w:gridCol w:w="1053"/>
        <w:gridCol w:w="1978"/>
        <w:gridCol w:w="2147"/>
        <w:gridCol w:w="1182"/>
        <w:gridCol w:w="1038"/>
        <w:gridCol w:w="1249"/>
        <w:gridCol w:w="1200"/>
      </w:tblGrid>
      <w:tr w14:paraId="1909462F">
        <w:tblPrEx>
          <w:tblCellMar>
            <w:top w:w="0" w:type="dxa"/>
            <w:left w:w="108" w:type="dxa"/>
            <w:bottom w:w="0" w:type="dxa"/>
            <w:right w:w="108" w:type="dxa"/>
          </w:tblCellMar>
        </w:tblPrEx>
        <w:trPr>
          <w:trHeight w:val="702" w:hRule="atLeast"/>
          <w:jc w:val="center"/>
        </w:trPr>
        <w:tc>
          <w:tcPr>
            <w:tcW w:w="535" w:type="pct"/>
            <w:tcBorders>
              <w:top w:val="single" w:color="auto" w:sz="4" w:space="0"/>
              <w:left w:val="single" w:color="auto" w:sz="4" w:space="0"/>
              <w:bottom w:val="single" w:color="auto" w:sz="4" w:space="0"/>
              <w:right w:val="single" w:color="auto" w:sz="4" w:space="0"/>
            </w:tcBorders>
            <w:noWrap w:val="0"/>
            <w:vAlign w:val="center"/>
          </w:tcPr>
          <w:p w14:paraId="3490F6A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004" w:type="pct"/>
            <w:tcBorders>
              <w:top w:val="single" w:color="auto" w:sz="4" w:space="0"/>
              <w:left w:val="nil"/>
              <w:bottom w:val="single" w:color="auto" w:sz="4" w:space="0"/>
              <w:right w:val="single" w:color="auto" w:sz="4" w:space="0"/>
            </w:tcBorders>
            <w:noWrap w:val="0"/>
            <w:vAlign w:val="center"/>
          </w:tcPr>
          <w:p w14:paraId="79367BD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 xml:space="preserve">项目名称 </w:t>
            </w:r>
          </w:p>
        </w:tc>
        <w:tc>
          <w:tcPr>
            <w:tcW w:w="1090" w:type="pct"/>
            <w:tcBorders>
              <w:top w:val="single" w:color="auto" w:sz="4" w:space="0"/>
              <w:left w:val="nil"/>
              <w:bottom w:val="single" w:color="auto" w:sz="4" w:space="0"/>
              <w:right w:val="single" w:color="auto" w:sz="4" w:space="0"/>
            </w:tcBorders>
            <w:noWrap w:val="0"/>
            <w:vAlign w:val="center"/>
          </w:tcPr>
          <w:p w14:paraId="23D8C30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工作内容</w:t>
            </w:r>
          </w:p>
        </w:tc>
        <w:tc>
          <w:tcPr>
            <w:tcW w:w="600" w:type="pct"/>
            <w:tcBorders>
              <w:top w:val="single" w:color="auto" w:sz="4" w:space="0"/>
              <w:left w:val="nil"/>
              <w:bottom w:val="single" w:color="auto" w:sz="4" w:space="0"/>
              <w:right w:val="single" w:color="auto" w:sz="4" w:space="0"/>
            </w:tcBorders>
            <w:noWrap w:val="0"/>
            <w:vAlign w:val="center"/>
          </w:tcPr>
          <w:p w14:paraId="7D4229A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单位</w:t>
            </w:r>
          </w:p>
        </w:tc>
        <w:tc>
          <w:tcPr>
            <w:tcW w:w="527" w:type="pct"/>
            <w:tcBorders>
              <w:top w:val="single" w:color="auto" w:sz="4" w:space="0"/>
              <w:left w:val="nil"/>
              <w:bottom w:val="single" w:color="auto" w:sz="4" w:space="0"/>
              <w:right w:val="single" w:color="auto" w:sz="4" w:space="0"/>
            </w:tcBorders>
            <w:noWrap w:val="0"/>
            <w:vAlign w:val="center"/>
          </w:tcPr>
          <w:p w14:paraId="64433F6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数量</w:t>
            </w:r>
          </w:p>
        </w:tc>
        <w:tc>
          <w:tcPr>
            <w:tcW w:w="634" w:type="pct"/>
            <w:tcBorders>
              <w:top w:val="single" w:color="auto" w:sz="4" w:space="0"/>
              <w:left w:val="nil"/>
              <w:bottom w:val="single" w:color="auto" w:sz="4" w:space="0"/>
              <w:right w:val="single" w:color="auto" w:sz="4" w:space="0"/>
            </w:tcBorders>
            <w:noWrap w:val="0"/>
            <w:vAlign w:val="center"/>
          </w:tcPr>
          <w:p w14:paraId="38B6FC3B">
            <w:pPr>
              <w:keepNext w:val="0"/>
              <w:keepLines w:val="0"/>
              <w:pageBreakBefore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单价</w:t>
            </w:r>
          </w:p>
        </w:tc>
        <w:tc>
          <w:tcPr>
            <w:tcW w:w="607" w:type="pct"/>
            <w:tcBorders>
              <w:top w:val="single" w:color="auto" w:sz="4" w:space="0"/>
              <w:left w:val="nil"/>
              <w:bottom w:val="single" w:color="auto" w:sz="4" w:space="0"/>
              <w:right w:val="single" w:color="auto" w:sz="4" w:space="0"/>
            </w:tcBorders>
            <w:noWrap w:val="0"/>
            <w:vAlign w:val="center"/>
          </w:tcPr>
          <w:p w14:paraId="6404504D">
            <w:pPr>
              <w:keepNext w:val="0"/>
              <w:keepLines w:val="0"/>
              <w:pageBreakBefore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合价</w:t>
            </w:r>
          </w:p>
        </w:tc>
      </w:tr>
      <w:tr w14:paraId="75450407">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303B68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7D770CD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038660B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49D7BB8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18A4EEE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4205780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31D23F6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DAE7A7D">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083CE03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4D44902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6CFBA1B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11055FB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4F309B1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02D30C5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4AB3EA1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11BDB7B4">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42884EC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12678EF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12E5C6C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5063228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1A414A3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58B5CC9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482AE50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68A5B94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88D048B">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4F9B7D2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BF71F2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59A69A2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7EB9B59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1DCF77C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1C267AB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4CD94DA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28DBE97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FC8994E">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2DB3ED7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6D9FFB4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7F43A04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2903ED9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624F227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08AC4BD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0BF6BF5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2F2C5A2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B4833C6">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496B68A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7A74062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1C29BAF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503A27F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22E67C1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1B76DB9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1662107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2F0A35F">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409F4A8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5CCB43D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3D8A569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50BB4CF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099F4AF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2C10376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0EC013D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32FABCB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9DB55CE">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0ACBE0D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40B69DA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70014C6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0198336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3F6D983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3D278BE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0A386CA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680B7C1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99AF569">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1C7F39F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7A8F555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6B5098D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526AF0B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4275E0D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46C338F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2576A7B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7309EB8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10792ECF">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2467FCE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75A1B24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788F56F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3E84FB0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1735223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6E463CD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6E32591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E569498">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687EDEF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271A84C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47B6217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4E41007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7191DFC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74F576E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112EB57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30D402F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94E5230">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10B6C9C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71E0075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0D371AD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245DD35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115C6BC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0AB87B8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2BB56C9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3D0D997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686A8A1">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6A37393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9AE1CC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0AF786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4C708C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57B8B2E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2BDF01C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5C87680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1B6E2B7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707B5DC">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5F215CD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12E5B43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119FB3D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5B5AD26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17BB396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78FBC3E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3A27583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614F41B">
        <w:tblPrEx>
          <w:tblCellMar>
            <w:top w:w="0" w:type="dxa"/>
            <w:left w:w="108" w:type="dxa"/>
            <w:bottom w:w="0" w:type="dxa"/>
            <w:right w:w="108" w:type="dxa"/>
          </w:tblCellMar>
        </w:tblPrEx>
        <w:trPr>
          <w:trHeight w:val="702" w:hRule="atLeast"/>
          <w:jc w:val="center"/>
        </w:trPr>
        <w:tc>
          <w:tcPr>
            <w:tcW w:w="1539" w:type="pct"/>
            <w:gridSpan w:val="2"/>
            <w:tcBorders>
              <w:top w:val="nil"/>
              <w:left w:val="single" w:color="auto" w:sz="4" w:space="0"/>
              <w:bottom w:val="single" w:color="auto" w:sz="4" w:space="0"/>
              <w:right w:val="single" w:color="auto" w:sz="4" w:space="0"/>
            </w:tcBorders>
            <w:noWrap w:val="0"/>
            <w:vAlign w:val="center"/>
          </w:tcPr>
          <w:p w14:paraId="026F71B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合计报价</w:t>
            </w:r>
          </w:p>
        </w:tc>
        <w:tc>
          <w:tcPr>
            <w:tcW w:w="3460" w:type="pct"/>
            <w:gridSpan w:val="5"/>
            <w:tcBorders>
              <w:top w:val="single" w:color="auto" w:sz="4" w:space="0"/>
              <w:left w:val="nil"/>
              <w:bottom w:val="single" w:color="auto" w:sz="4" w:space="0"/>
              <w:right w:val="single" w:color="auto" w:sz="4" w:space="0"/>
            </w:tcBorders>
            <w:noWrap w:val="0"/>
            <w:vAlign w:val="center"/>
          </w:tcPr>
          <w:p w14:paraId="40D2408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bl>
    <w:p w14:paraId="3351BF4B">
      <w:pPr>
        <w:pageBreakBefore w:val="0"/>
        <w:kinsoku/>
        <w:wordWrap w:val="0"/>
        <w:overflowPunct/>
        <w:bidi w:val="0"/>
        <w:spacing w:line="440" w:lineRule="exact"/>
        <w:ind w:firstLine="420" w:firstLineChars="200"/>
        <w:rPr>
          <w:i w:val="0"/>
          <w:iCs w:val="0"/>
          <w:color w:val="auto"/>
          <w:sz w:val="24"/>
          <w:szCs w:val="24"/>
        </w:rPr>
      </w:pPr>
      <w:bookmarkStart w:id="3247" w:name="_Toc5051"/>
      <w:r>
        <w:rPr>
          <w:i w:val="0"/>
          <w:iCs w:val="0"/>
          <w:color w:val="auto"/>
          <w:szCs w:val="21"/>
        </w:rPr>
        <w:br w:type="page"/>
      </w:r>
      <w:r>
        <w:rPr>
          <w:i w:val="0"/>
          <w:iCs w:val="0"/>
          <w:color w:val="auto"/>
          <w:sz w:val="24"/>
          <w:szCs w:val="24"/>
        </w:rPr>
        <w:t>2.5 技术服务费清单</w:t>
      </w:r>
      <w:bookmarkEnd w:id="3247"/>
    </w:p>
    <w:p w14:paraId="17D7CFBB">
      <w:pPr>
        <w:pageBreakBefore w:val="0"/>
        <w:kinsoku/>
        <w:wordWrap w:val="0"/>
        <w:overflowPunct/>
        <w:bidi w:val="0"/>
        <w:spacing w:line="440" w:lineRule="exact"/>
        <w:ind w:firstLine="480" w:firstLineChars="200"/>
        <w:rPr>
          <w:i w:val="0"/>
          <w:iCs w:val="0"/>
          <w:color w:val="auto"/>
          <w:sz w:val="24"/>
          <w:szCs w:val="24"/>
        </w:rPr>
      </w:pPr>
    </w:p>
    <w:p w14:paraId="2C0B53C8">
      <w:pPr>
        <w:pageBreakBefore w:val="0"/>
        <w:widowControl/>
        <w:kinsoku/>
        <w:wordWrap w:val="0"/>
        <w:overflowPunct/>
        <w:bidi w:val="0"/>
        <w:jc w:val="right"/>
        <w:rPr>
          <w:i w:val="0"/>
          <w:iCs w:val="0"/>
          <w:color w:val="auto"/>
          <w:kern w:val="0"/>
          <w:sz w:val="24"/>
          <w:szCs w:val="24"/>
        </w:rPr>
      </w:pPr>
      <w:r>
        <w:rPr>
          <w:i w:val="0"/>
          <w:iCs w:val="0"/>
          <w:color w:val="auto"/>
          <w:kern w:val="0"/>
          <w:sz w:val="24"/>
          <w:szCs w:val="24"/>
        </w:rPr>
        <w:t>单位：人民币元</w:t>
      </w:r>
    </w:p>
    <w:tbl>
      <w:tblPr>
        <w:tblStyle w:val="38"/>
        <w:tblW w:w="4998" w:type="pct"/>
        <w:jc w:val="center"/>
        <w:tblLayout w:type="autofit"/>
        <w:tblCellMar>
          <w:top w:w="0" w:type="dxa"/>
          <w:left w:w="108" w:type="dxa"/>
          <w:bottom w:w="0" w:type="dxa"/>
          <w:right w:w="108" w:type="dxa"/>
        </w:tblCellMar>
      </w:tblPr>
      <w:tblGrid>
        <w:gridCol w:w="1057"/>
        <w:gridCol w:w="2810"/>
        <w:gridCol w:w="1316"/>
        <w:gridCol w:w="2465"/>
        <w:gridCol w:w="2201"/>
      </w:tblGrid>
      <w:tr w14:paraId="661B2205">
        <w:tblPrEx>
          <w:tblCellMar>
            <w:top w:w="0" w:type="dxa"/>
            <w:left w:w="108" w:type="dxa"/>
            <w:bottom w:w="0" w:type="dxa"/>
            <w:right w:w="108" w:type="dxa"/>
          </w:tblCellMar>
        </w:tblPrEx>
        <w:trPr>
          <w:trHeight w:val="702"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14:paraId="1DF357A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425" w:type="pct"/>
            <w:tcBorders>
              <w:top w:val="single" w:color="auto" w:sz="4" w:space="0"/>
              <w:left w:val="nil"/>
              <w:bottom w:val="single" w:color="auto" w:sz="4" w:space="0"/>
              <w:right w:val="single" w:color="auto" w:sz="4" w:space="0"/>
            </w:tcBorders>
            <w:noWrap w:val="0"/>
            <w:vAlign w:val="center"/>
          </w:tcPr>
          <w:p w14:paraId="6A27DB1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 xml:space="preserve">项目名称 </w:t>
            </w:r>
          </w:p>
        </w:tc>
        <w:tc>
          <w:tcPr>
            <w:tcW w:w="668" w:type="pct"/>
            <w:tcBorders>
              <w:top w:val="single" w:color="auto" w:sz="4" w:space="0"/>
              <w:left w:val="nil"/>
              <w:bottom w:val="single" w:color="auto" w:sz="4" w:space="0"/>
              <w:right w:val="single" w:color="auto" w:sz="4" w:space="0"/>
            </w:tcBorders>
            <w:noWrap w:val="0"/>
            <w:vAlign w:val="center"/>
          </w:tcPr>
          <w:p w14:paraId="32153D7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工作内容</w:t>
            </w:r>
          </w:p>
        </w:tc>
        <w:tc>
          <w:tcPr>
            <w:tcW w:w="1251" w:type="pct"/>
            <w:tcBorders>
              <w:top w:val="single" w:color="auto" w:sz="4" w:space="0"/>
              <w:left w:val="nil"/>
              <w:bottom w:val="single" w:color="auto" w:sz="4" w:space="0"/>
              <w:right w:val="single" w:color="auto" w:sz="4" w:space="0"/>
            </w:tcBorders>
            <w:noWrap w:val="0"/>
            <w:vAlign w:val="center"/>
          </w:tcPr>
          <w:p w14:paraId="2058677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金 额</w:t>
            </w:r>
          </w:p>
        </w:tc>
        <w:tc>
          <w:tcPr>
            <w:tcW w:w="1117" w:type="pct"/>
            <w:tcBorders>
              <w:top w:val="single" w:color="auto" w:sz="4" w:space="0"/>
              <w:left w:val="nil"/>
              <w:bottom w:val="single" w:color="auto" w:sz="4" w:space="0"/>
              <w:right w:val="single" w:color="auto" w:sz="4" w:space="0"/>
            </w:tcBorders>
            <w:noWrap w:val="0"/>
            <w:vAlign w:val="center"/>
          </w:tcPr>
          <w:p w14:paraId="7946B5E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备注</w:t>
            </w:r>
          </w:p>
        </w:tc>
      </w:tr>
      <w:tr w14:paraId="73820A9D">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6F56F1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C32677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7F43ABB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0E9364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73492A5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DD06D63">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E76084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E74930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72460E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C72594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6395977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3A16F03">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59DE284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74D75E3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2CA7AD0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58D66E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4589D35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593C37A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8704664">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16F87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B15F1A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1823B62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0B06DD6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525CF68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653EF31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6CF4415">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11E22F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21EA849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3293F30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4ABB491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305FC07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4955616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7BD01B9">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163111D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E3D1F6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E43D8B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3FF8BC9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7A69DC1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50C0C02">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EB4AB4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52284A7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1BB9F68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0951EF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1330420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006225A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B3514D1">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3E3828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60D9329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21CD39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25AF31D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4EAC239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1ADE785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12090286">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857E19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51FD65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BAFAB6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7BA2FB3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051EC87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D5CA1AD">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2431FE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58647AF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6DFC9D4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5153CD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4565E46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2FD8F7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F1182C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48A542D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8220B1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65C0AA0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4A0D5A2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CE8E4B4">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7B9A9F8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98AB90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7CE1E0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07C68A3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73D95BE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7D46446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2848E1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14A29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3D83A25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4265C0A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74E2D0D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513DFE5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703E680">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166A53B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FFA9DF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C0C10A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54C42B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72EE69E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26AB6A9">
        <w:tblPrEx>
          <w:tblCellMar>
            <w:top w:w="0" w:type="dxa"/>
            <w:left w:w="108" w:type="dxa"/>
            <w:bottom w:w="0" w:type="dxa"/>
            <w:right w:w="108" w:type="dxa"/>
          </w:tblCellMar>
        </w:tblPrEx>
        <w:trPr>
          <w:trHeight w:val="702" w:hRule="atLeast"/>
          <w:jc w:val="center"/>
        </w:trPr>
        <w:tc>
          <w:tcPr>
            <w:tcW w:w="1963" w:type="pct"/>
            <w:gridSpan w:val="2"/>
            <w:tcBorders>
              <w:top w:val="nil"/>
              <w:left w:val="single" w:color="auto" w:sz="4" w:space="0"/>
              <w:bottom w:val="single" w:color="auto" w:sz="4" w:space="0"/>
              <w:right w:val="single" w:color="auto" w:sz="4" w:space="0"/>
            </w:tcBorders>
            <w:noWrap w:val="0"/>
            <w:vAlign w:val="center"/>
          </w:tcPr>
          <w:p w14:paraId="36609C1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合计报价</w:t>
            </w:r>
          </w:p>
        </w:tc>
        <w:tc>
          <w:tcPr>
            <w:tcW w:w="3036" w:type="pct"/>
            <w:gridSpan w:val="3"/>
            <w:tcBorders>
              <w:top w:val="single" w:color="auto" w:sz="4" w:space="0"/>
              <w:left w:val="nil"/>
              <w:bottom w:val="single" w:color="auto" w:sz="4" w:space="0"/>
              <w:right w:val="single" w:color="auto" w:sz="4" w:space="0"/>
            </w:tcBorders>
            <w:noWrap w:val="0"/>
            <w:vAlign w:val="center"/>
          </w:tcPr>
          <w:p w14:paraId="62B34B9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bl>
    <w:p w14:paraId="647DD4A7">
      <w:pPr>
        <w:pageBreakBefore w:val="0"/>
        <w:kinsoku/>
        <w:wordWrap w:val="0"/>
        <w:overflowPunct/>
        <w:bidi w:val="0"/>
        <w:rPr>
          <w:i w:val="0"/>
          <w:iCs w:val="0"/>
          <w:color w:val="auto"/>
          <w:sz w:val="24"/>
          <w:szCs w:val="24"/>
        </w:rPr>
      </w:pPr>
      <w:r>
        <w:rPr>
          <w:i w:val="0"/>
          <w:iCs w:val="0"/>
          <w:color w:val="auto"/>
          <w:szCs w:val="21"/>
        </w:rPr>
        <w:br w:type="page"/>
      </w:r>
      <w:bookmarkStart w:id="3248" w:name="_Toc3920"/>
      <w:r>
        <w:rPr>
          <w:i w:val="0"/>
          <w:iCs w:val="0"/>
          <w:color w:val="auto"/>
          <w:sz w:val="24"/>
          <w:szCs w:val="24"/>
        </w:rPr>
        <w:t>2.</w:t>
      </w:r>
      <w:r>
        <w:rPr>
          <w:rFonts w:hint="eastAsia"/>
          <w:i w:val="0"/>
          <w:iCs w:val="0"/>
          <w:color w:val="auto"/>
          <w:sz w:val="24"/>
          <w:szCs w:val="24"/>
          <w:lang w:val="en-US" w:eastAsia="zh-CN"/>
        </w:rPr>
        <w:t>6</w:t>
      </w:r>
      <w:r>
        <w:rPr>
          <w:i w:val="0"/>
          <w:iCs w:val="0"/>
          <w:color w:val="auto"/>
          <w:sz w:val="24"/>
          <w:szCs w:val="24"/>
        </w:rPr>
        <w:t xml:space="preserve"> 其它费用清单</w:t>
      </w:r>
      <w:bookmarkEnd w:id="3248"/>
    </w:p>
    <w:p w14:paraId="617CFED0">
      <w:pPr>
        <w:pageBreakBefore w:val="0"/>
        <w:kinsoku/>
        <w:wordWrap w:val="0"/>
        <w:overflowPunct/>
        <w:bidi w:val="0"/>
        <w:rPr>
          <w:i w:val="0"/>
          <w:iCs w:val="0"/>
          <w:color w:val="auto"/>
          <w:sz w:val="24"/>
          <w:szCs w:val="24"/>
        </w:rPr>
      </w:pPr>
    </w:p>
    <w:p w14:paraId="2219B07B">
      <w:pPr>
        <w:pageBreakBefore w:val="0"/>
        <w:widowControl/>
        <w:kinsoku/>
        <w:wordWrap w:val="0"/>
        <w:overflowPunct/>
        <w:bidi w:val="0"/>
        <w:jc w:val="right"/>
        <w:rPr>
          <w:i w:val="0"/>
          <w:iCs w:val="0"/>
          <w:color w:val="auto"/>
          <w:kern w:val="0"/>
          <w:sz w:val="24"/>
          <w:szCs w:val="24"/>
        </w:rPr>
      </w:pPr>
      <w:r>
        <w:rPr>
          <w:i w:val="0"/>
          <w:iCs w:val="0"/>
          <w:color w:val="auto"/>
          <w:kern w:val="0"/>
          <w:sz w:val="24"/>
          <w:szCs w:val="24"/>
        </w:rPr>
        <w:t>单位：人民币元</w:t>
      </w:r>
    </w:p>
    <w:tbl>
      <w:tblPr>
        <w:tblStyle w:val="38"/>
        <w:tblW w:w="4998" w:type="pct"/>
        <w:jc w:val="center"/>
        <w:tblLayout w:type="autofit"/>
        <w:tblCellMar>
          <w:top w:w="0" w:type="dxa"/>
          <w:left w:w="108" w:type="dxa"/>
          <w:bottom w:w="0" w:type="dxa"/>
          <w:right w:w="108" w:type="dxa"/>
        </w:tblCellMar>
      </w:tblPr>
      <w:tblGrid>
        <w:gridCol w:w="1057"/>
        <w:gridCol w:w="2810"/>
        <w:gridCol w:w="1316"/>
        <w:gridCol w:w="2465"/>
        <w:gridCol w:w="2201"/>
      </w:tblGrid>
      <w:tr w14:paraId="1B905DC2">
        <w:tblPrEx>
          <w:tblCellMar>
            <w:top w:w="0" w:type="dxa"/>
            <w:left w:w="108" w:type="dxa"/>
            <w:bottom w:w="0" w:type="dxa"/>
            <w:right w:w="108" w:type="dxa"/>
          </w:tblCellMar>
        </w:tblPrEx>
        <w:trPr>
          <w:trHeight w:val="702"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14:paraId="0824CA9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425" w:type="pct"/>
            <w:tcBorders>
              <w:top w:val="single" w:color="auto" w:sz="4" w:space="0"/>
              <w:left w:val="nil"/>
              <w:bottom w:val="single" w:color="auto" w:sz="4" w:space="0"/>
              <w:right w:val="single" w:color="auto" w:sz="4" w:space="0"/>
            </w:tcBorders>
            <w:noWrap w:val="0"/>
            <w:vAlign w:val="center"/>
          </w:tcPr>
          <w:p w14:paraId="4857D93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 xml:space="preserve">项目名称 </w:t>
            </w:r>
          </w:p>
        </w:tc>
        <w:tc>
          <w:tcPr>
            <w:tcW w:w="668" w:type="pct"/>
            <w:tcBorders>
              <w:top w:val="single" w:color="auto" w:sz="4" w:space="0"/>
              <w:left w:val="nil"/>
              <w:bottom w:val="single" w:color="auto" w:sz="4" w:space="0"/>
              <w:right w:val="single" w:color="auto" w:sz="4" w:space="0"/>
            </w:tcBorders>
            <w:noWrap w:val="0"/>
            <w:vAlign w:val="center"/>
          </w:tcPr>
          <w:p w14:paraId="0AEFCF9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内容</w:t>
            </w:r>
          </w:p>
        </w:tc>
        <w:tc>
          <w:tcPr>
            <w:tcW w:w="1251" w:type="pct"/>
            <w:tcBorders>
              <w:top w:val="single" w:color="auto" w:sz="4" w:space="0"/>
              <w:left w:val="nil"/>
              <w:bottom w:val="single" w:color="auto" w:sz="4" w:space="0"/>
              <w:right w:val="single" w:color="auto" w:sz="4" w:space="0"/>
            </w:tcBorders>
            <w:noWrap w:val="0"/>
            <w:vAlign w:val="center"/>
          </w:tcPr>
          <w:p w14:paraId="1CEF25A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金 额</w:t>
            </w:r>
          </w:p>
        </w:tc>
        <w:tc>
          <w:tcPr>
            <w:tcW w:w="1117" w:type="pct"/>
            <w:tcBorders>
              <w:top w:val="single" w:color="auto" w:sz="4" w:space="0"/>
              <w:left w:val="nil"/>
              <w:bottom w:val="single" w:color="auto" w:sz="4" w:space="0"/>
              <w:right w:val="single" w:color="auto" w:sz="4" w:space="0"/>
            </w:tcBorders>
            <w:noWrap w:val="0"/>
            <w:vAlign w:val="center"/>
          </w:tcPr>
          <w:p w14:paraId="5CEE527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备注</w:t>
            </w:r>
          </w:p>
        </w:tc>
      </w:tr>
      <w:tr w14:paraId="01802F21">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792CD7A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5618CF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FFB7A0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4FC9039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23070C8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B1FEA66">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3CF295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26B29B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39C4AE2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7EA4001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34F55CB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AF405C3">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5132693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416A731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D20907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08DEDB4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12865A9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17C7201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331D20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EF58F3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2643EBB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4B6CE41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AFD92D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12A2505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2F47CB0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CD36460">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C2FCE6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1C5F5C1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13EAFE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6EED24F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195BFCE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68B76B9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D689CCA">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FF4C5B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4618051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661E216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013F86D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5F7C3D8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2AEF7C3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F7785E6">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40BC3C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162EF62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1F14AD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1F89B05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15B393B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100489D">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DB3330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11FECD1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2241152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110906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340FADB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6EEF5D6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D4870B5">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316EFAC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251344E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1027D29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69A222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5314AB3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4FF02E7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17D2514E">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792FED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949ED8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71C1F4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04F085C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19E77A0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55CFE34">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BB9E77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D06C5E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33BAF87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709940D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3373E76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D20D777">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C9CB51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39D7427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371DB74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986E25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08FC019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5B139BB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329B0D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5BA85F1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2C0DA8F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353CA61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4DE9EDB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1D80924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7098EA0">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35A384C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2AEEEDE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B9598C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BBCF44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06B1099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396D8FB">
        <w:tblPrEx>
          <w:tblCellMar>
            <w:top w:w="0" w:type="dxa"/>
            <w:left w:w="108" w:type="dxa"/>
            <w:bottom w:w="0" w:type="dxa"/>
            <w:right w:w="108" w:type="dxa"/>
          </w:tblCellMar>
        </w:tblPrEx>
        <w:trPr>
          <w:trHeight w:val="702" w:hRule="atLeast"/>
          <w:jc w:val="center"/>
        </w:trPr>
        <w:tc>
          <w:tcPr>
            <w:tcW w:w="1963" w:type="pct"/>
            <w:gridSpan w:val="2"/>
            <w:tcBorders>
              <w:top w:val="nil"/>
              <w:left w:val="single" w:color="auto" w:sz="4" w:space="0"/>
              <w:bottom w:val="single" w:color="auto" w:sz="4" w:space="0"/>
              <w:right w:val="single" w:color="auto" w:sz="4" w:space="0"/>
            </w:tcBorders>
            <w:noWrap w:val="0"/>
            <w:vAlign w:val="center"/>
          </w:tcPr>
          <w:p w14:paraId="5C321AA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合计报价</w:t>
            </w:r>
          </w:p>
        </w:tc>
        <w:tc>
          <w:tcPr>
            <w:tcW w:w="3036" w:type="pct"/>
            <w:gridSpan w:val="3"/>
            <w:tcBorders>
              <w:top w:val="single" w:color="auto" w:sz="4" w:space="0"/>
              <w:left w:val="nil"/>
              <w:bottom w:val="single" w:color="auto" w:sz="4" w:space="0"/>
              <w:right w:val="single" w:color="auto" w:sz="4" w:space="0"/>
            </w:tcBorders>
            <w:noWrap w:val="0"/>
            <w:vAlign w:val="center"/>
          </w:tcPr>
          <w:p w14:paraId="481E000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bl>
    <w:p w14:paraId="3B4A603D">
      <w:pPr>
        <w:pageBreakBefore w:val="0"/>
        <w:kinsoku/>
        <w:wordWrap w:val="0"/>
        <w:overflowPunct/>
        <w:bidi w:val="0"/>
        <w:rPr>
          <w:i w:val="0"/>
          <w:iCs w:val="0"/>
          <w:color w:val="auto"/>
          <w:sz w:val="24"/>
          <w:szCs w:val="24"/>
        </w:rPr>
      </w:pPr>
      <w:r>
        <w:rPr>
          <w:i w:val="0"/>
          <w:iCs w:val="0"/>
          <w:color w:val="auto"/>
          <w:sz w:val="24"/>
          <w:szCs w:val="24"/>
        </w:rPr>
        <w:br w:type="page"/>
      </w:r>
      <w:bookmarkStart w:id="3249" w:name="_Toc14471"/>
      <w:r>
        <w:rPr>
          <w:i w:val="0"/>
          <w:iCs w:val="0"/>
          <w:color w:val="auto"/>
          <w:sz w:val="24"/>
          <w:szCs w:val="24"/>
        </w:rPr>
        <w:t>2.</w:t>
      </w:r>
      <w:r>
        <w:rPr>
          <w:rFonts w:hint="eastAsia"/>
          <w:i w:val="0"/>
          <w:iCs w:val="0"/>
          <w:color w:val="auto"/>
          <w:sz w:val="24"/>
          <w:szCs w:val="24"/>
          <w:lang w:val="en-US" w:eastAsia="zh-CN"/>
        </w:rPr>
        <w:t>7</w:t>
      </w:r>
      <w:r>
        <w:rPr>
          <w:i w:val="0"/>
          <w:iCs w:val="0"/>
          <w:color w:val="auto"/>
          <w:sz w:val="24"/>
          <w:szCs w:val="24"/>
        </w:rPr>
        <w:t xml:space="preserve"> 投标报价汇总表</w:t>
      </w:r>
      <w:bookmarkEnd w:id="3249"/>
    </w:p>
    <w:p w14:paraId="1DD48A21">
      <w:pPr>
        <w:pageBreakBefore w:val="0"/>
        <w:kinsoku/>
        <w:wordWrap w:val="0"/>
        <w:overflowPunct/>
        <w:bidi w:val="0"/>
        <w:rPr>
          <w:i w:val="0"/>
          <w:iCs w:val="0"/>
          <w:color w:val="auto"/>
          <w:sz w:val="24"/>
          <w:szCs w:val="24"/>
        </w:rPr>
      </w:pPr>
    </w:p>
    <w:tbl>
      <w:tblPr>
        <w:tblStyle w:val="38"/>
        <w:tblW w:w="4997" w:type="pct"/>
        <w:jc w:val="center"/>
        <w:tblLayout w:type="autofit"/>
        <w:tblCellMar>
          <w:top w:w="0" w:type="dxa"/>
          <w:left w:w="108" w:type="dxa"/>
          <w:bottom w:w="0" w:type="dxa"/>
          <w:right w:w="108" w:type="dxa"/>
        </w:tblCellMar>
      </w:tblPr>
      <w:tblGrid>
        <w:gridCol w:w="1053"/>
        <w:gridCol w:w="3207"/>
        <w:gridCol w:w="2626"/>
        <w:gridCol w:w="2961"/>
      </w:tblGrid>
      <w:tr w14:paraId="68943967">
        <w:tblPrEx>
          <w:tblCellMar>
            <w:top w:w="0" w:type="dxa"/>
            <w:left w:w="108" w:type="dxa"/>
            <w:bottom w:w="0" w:type="dxa"/>
            <w:right w:w="108" w:type="dxa"/>
          </w:tblCellMar>
        </w:tblPrEx>
        <w:trPr>
          <w:trHeight w:val="567" w:hRule="atLeast"/>
          <w:jc w:val="center"/>
        </w:trPr>
        <w:tc>
          <w:tcPr>
            <w:tcW w:w="535" w:type="pct"/>
            <w:tcBorders>
              <w:top w:val="single" w:color="auto" w:sz="4" w:space="0"/>
              <w:left w:val="single" w:color="auto" w:sz="4" w:space="0"/>
              <w:bottom w:val="single" w:color="auto" w:sz="4" w:space="0"/>
              <w:right w:val="single" w:color="auto" w:sz="4" w:space="0"/>
            </w:tcBorders>
            <w:noWrap w:val="0"/>
            <w:vAlign w:val="center"/>
          </w:tcPr>
          <w:p w14:paraId="0EA9E7DE">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628" w:type="pct"/>
            <w:tcBorders>
              <w:top w:val="single" w:color="auto" w:sz="4" w:space="0"/>
              <w:left w:val="nil"/>
              <w:bottom w:val="single" w:color="auto" w:sz="4" w:space="0"/>
              <w:right w:val="single" w:color="auto" w:sz="4" w:space="0"/>
            </w:tcBorders>
            <w:noWrap w:val="0"/>
            <w:vAlign w:val="center"/>
          </w:tcPr>
          <w:p w14:paraId="3A632533">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r>
              <w:rPr>
                <w:i w:val="0"/>
                <w:iCs w:val="0"/>
                <w:color w:val="auto"/>
                <w:kern w:val="0"/>
                <w:sz w:val="24"/>
                <w:szCs w:val="24"/>
              </w:rPr>
              <w:t>项目名称</w:t>
            </w:r>
          </w:p>
        </w:tc>
        <w:tc>
          <w:tcPr>
            <w:tcW w:w="1333" w:type="pct"/>
            <w:tcBorders>
              <w:top w:val="single" w:color="auto" w:sz="4" w:space="0"/>
              <w:left w:val="nil"/>
              <w:bottom w:val="single" w:color="auto" w:sz="4" w:space="0"/>
              <w:right w:val="single" w:color="auto" w:sz="4" w:space="0"/>
            </w:tcBorders>
            <w:noWrap w:val="0"/>
            <w:vAlign w:val="center"/>
          </w:tcPr>
          <w:p w14:paraId="1EA5E53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r>
              <w:rPr>
                <w:i w:val="0"/>
                <w:iCs w:val="0"/>
                <w:color w:val="auto"/>
                <w:kern w:val="0"/>
                <w:sz w:val="24"/>
                <w:szCs w:val="24"/>
              </w:rPr>
              <w:t>金额（人民币元）</w:t>
            </w:r>
          </w:p>
        </w:tc>
        <w:tc>
          <w:tcPr>
            <w:tcW w:w="1503" w:type="pct"/>
            <w:tcBorders>
              <w:top w:val="single" w:color="auto" w:sz="4" w:space="0"/>
              <w:left w:val="nil"/>
              <w:bottom w:val="single" w:color="auto" w:sz="4" w:space="0"/>
              <w:right w:val="single" w:color="auto" w:sz="4" w:space="0"/>
            </w:tcBorders>
            <w:noWrap w:val="0"/>
            <w:vAlign w:val="center"/>
          </w:tcPr>
          <w:p w14:paraId="1AD5D7E7">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r>
              <w:rPr>
                <w:i w:val="0"/>
                <w:iCs w:val="0"/>
                <w:color w:val="auto"/>
                <w:kern w:val="0"/>
                <w:sz w:val="24"/>
                <w:szCs w:val="24"/>
              </w:rPr>
              <w:t>备注</w:t>
            </w:r>
          </w:p>
        </w:tc>
      </w:tr>
      <w:tr w14:paraId="2FF9D5A8">
        <w:tblPrEx>
          <w:tblCellMar>
            <w:top w:w="0" w:type="dxa"/>
            <w:left w:w="108" w:type="dxa"/>
            <w:bottom w:w="0" w:type="dxa"/>
            <w:right w:w="108" w:type="dxa"/>
          </w:tblCellMar>
        </w:tblPrEx>
        <w:trPr>
          <w:trHeight w:val="653" w:hRule="atLeast"/>
          <w:jc w:val="center"/>
        </w:trPr>
        <w:tc>
          <w:tcPr>
            <w:tcW w:w="535" w:type="pct"/>
            <w:tcBorders>
              <w:top w:val="nil"/>
              <w:left w:val="single" w:color="auto" w:sz="4" w:space="0"/>
              <w:bottom w:val="single" w:color="auto" w:sz="4" w:space="0"/>
              <w:right w:val="single" w:color="auto" w:sz="4" w:space="0"/>
            </w:tcBorders>
            <w:noWrap w:val="0"/>
            <w:vAlign w:val="center"/>
          </w:tcPr>
          <w:p w14:paraId="07A4121E">
            <w:pPr>
              <w:widowControl/>
              <w:wordWrap w:val="0"/>
              <w:ind w:firstLine="0" w:firstLineChars="0"/>
              <w:jc w:val="center"/>
              <w:rPr>
                <w:rFonts w:hint="eastAsia" w:ascii="Times New Roman" w:hAnsi="Times New Roman" w:eastAsia="宋体"/>
                <w:color w:val="auto"/>
                <w:kern w:val="0"/>
                <w:sz w:val="24"/>
                <w:szCs w:val="24"/>
                <w:lang w:val="en-US" w:eastAsia="zh-CN" w:bidi="ar-SA"/>
              </w:rPr>
            </w:pPr>
            <w:r>
              <w:rPr>
                <w:rFonts w:hint="eastAsia"/>
                <w:color w:val="auto"/>
                <w:kern w:val="0"/>
                <w:sz w:val="24"/>
                <w:lang w:val="en-US" w:eastAsia="zh-CN"/>
              </w:rPr>
              <w:t>1</w:t>
            </w:r>
          </w:p>
        </w:tc>
        <w:tc>
          <w:tcPr>
            <w:tcW w:w="1628" w:type="pct"/>
            <w:tcBorders>
              <w:top w:val="single" w:color="auto" w:sz="4" w:space="0"/>
              <w:left w:val="nil"/>
              <w:bottom w:val="single" w:color="auto" w:sz="4" w:space="0"/>
              <w:right w:val="single" w:color="auto" w:sz="4" w:space="0"/>
            </w:tcBorders>
            <w:noWrap w:val="0"/>
            <w:vAlign w:val="center"/>
          </w:tcPr>
          <w:p w14:paraId="735D046C">
            <w:pPr>
              <w:widowControl/>
              <w:wordWrap w:val="0"/>
              <w:ind w:firstLine="0" w:firstLineChars="0"/>
              <w:jc w:val="center"/>
              <w:rPr>
                <w:rFonts w:hint="eastAsia" w:ascii="Times New Roman" w:hAnsi="Times New Roman" w:eastAsia="宋体"/>
                <w:color w:val="auto"/>
                <w:kern w:val="0"/>
                <w:sz w:val="24"/>
                <w:szCs w:val="24"/>
                <w:lang w:val="en-US" w:eastAsia="zh-CN" w:bidi="ar-SA"/>
              </w:rPr>
            </w:pPr>
            <w:r>
              <w:rPr>
                <w:rFonts w:hint="eastAsia"/>
                <w:color w:val="auto"/>
                <w:kern w:val="0"/>
                <w:sz w:val="24"/>
                <w:lang w:val="en-US" w:eastAsia="zh-CN"/>
              </w:rPr>
              <w:t>设计费</w:t>
            </w:r>
          </w:p>
        </w:tc>
        <w:tc>
          <w:tcPr>
            <w:tcW w:w="1333" w:type="pct"/>
            <w:tcBorders>
              <w:top w:val="nil"/>
              <w:left w:val="nil"/>
              <w:bottom w:val="single" w:color="auto" w:sz="4" w:space="0"/>
              <w:right w:val="single" w:color="auto" w:sz="4" w:space="0"/>
            </w:tcBorders>
            <w:noWrap w:val="0"/>
            <w:vAlign w:val="center"/>
          </w:tcPr>
          <w:p w14:paraId="24E590E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66F740B7">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2D4A614A">
        <w:tblPrEx>
          <w:tblCellMar>
            <w:top w:w="0" w:type="dxa"/>
            <w:left w:w="108" w:type="dxa"/>
            <w:bottom w:w="0" w:type="dxa"/>
            <w:right w:w="108" w:type="dxa"/>
          </w:tblCellMar>
        </w:tblPrEx>
        <w:trPr>
          <w:trHeight w:val="653" w:hRule="atLeast"/>
          <w:jc w:val="center"/>
        </w:trPr>
        <w:tc>
          <w:tcPr>
            <w:tcW w:w="535" w:type="pct"/>
            <w:tcBorders>
              <w:top w:val="nil"/>
              <w:left w:val="single" w:color="auto" w:sz="4" w:space="0"/>
              <w:bottom w:val="single" w:color="auto" w:sz="4" w:space="0"/>
              <w:right w:val="single" w:color="auto" w:sz="4" w:space="0"/>
            </w:tcBorders>
            <w:noWrap w:val="0"/>
            <w:vAlign w:val="center"/>
          </w:tcPr>
          <w:p w14:paraId="52D40E89">
            <w:pPr>
              <w:widowControl/>
              <w:wordWrap w:val="0"/>
              <w:ind w:firstLine="0" w:firstLineChars="0"/>
              <w:jc w:val="center"/>
              <w:rPr>
                <w:rFonts w:hint="eastAsia" w:ascii="Times New Roman" w:hAnsi="Times New Roman" w:eastAsia="宋体"/>
                <w:color w:val="auto"/>
                <w:kern w:val="0"/>
                <w:sz w:val="24"/>
                <w:szCs w:val="24"/>
                <w:lang w:val="en-US" w:eastAsia="zh-CN" w:bidi="ar-SA"/>
              </w:rPr>
            </w:pPr>
            <w:r>
              <w:rPr>
                <w:rFonts w:hint="eastAsia"/>
                <w:color w:val="auto"/>
                <w:kern w:val="0"/>
                <w:sz w:val="24"/>
                <w:lang w:val="en-US" w:eastAsia="zh-CN"/>
              </w:rPr>
              <w:t>2</w:t>
            </w:r>
          </w:p>
        </w:tc>
        <w:tc>
          <w:tcPr>
            <w:tcW w:w="1628" w:type="pct"/>
            <w:tcBorders>
              <w:top w:val="single" w:color="auto" w:sz="4" w:space="0"/>
              <w:left w:val="nil"/>
              <w:bottom w:val="single" w:color="auto" w:sz="4" w:space="0"/>
              <w:right w:val="single" w:color="auto" w:sz="4" w:space="0"/>
            </w:tcBorders>
            <w:noWrap w:val="0"/>
            <w:vAlign w:val="center"/>
          </w:tcPr>
          <w:p w14:paraId="0D7D00F2">
            <w:pPr>
              <w:widowControl/>
              <w:wordWrap w:val="0"/>
              <w:ind w:firstLine="0" w:firstLineChars="0"/>
              <w:jc w:val="center"/>
              <w:rPr>
                <w:rFonts w:ascii="Times New Roman" w:hAnsi="Times New Roman" w:eastAsia="宋体"/>
                <w:color w:val="auto"/>
                <w:kern w:val="0"/>
                <w:sz w:val="24"/>
                <w:szCs w:val="24"/>
                <w:lang w:val="en-US" w:eastAsia="zh-CN" w:bidi="ar-SA"/>
              </w:rPr>
            </w:pPr>
            <w:r>
              <w:rPr>
                <w:color w:val="auto"/>
                <w:sz w:val="24"/>
              </w:rPr>
              <w:t>建筑安装工程费</w:t>
            </w:r>
          </w:p>
        </w:tc>
        <w:tc>
          <w:tcPr>
            <w:tcW w:w="1333" w:type="pct"/>
            <w:tcBorders>
              <w:top w:val="nil"/>
              <w:left w:val="nil"/>
              <w:bottom w:val="single" w:color="auto" w:sz="4" w:space="0"/>
              <w:right w:val="single" w:color="auto" w:sz="4" w:space="0"/>
            </w:tcBorders>
            <w:noWrap w:val="0"/>
            <w:vAlign w:val="center"/>
          </w:tcPr>
          <w:p w14:paraId="3FE3F076">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44078944">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3AE44444">
        <w:tblPrEx>
          <w:tblCellMar>
            <w:top w:w="0" w:type="dxa"/>
            <w:left w:w="108" w:type="dxa"/>
            <w:bottom w:w="0" w:type="dxa"/>
            <w:right w:w="108" w:type="dxa"/>
          </w:tblCellMar>
        </w:tblPrEx>
        <w:trPr>
          <w:trHeight w:val="653" w:hRule="atLeast"/>
          <w:jc w:val="center"/>
        </w:trPr>
        <w:tc>
          <w:tcPr>
            <w:tcW w:w="535" w:type="pct"/>
            <w:tcBorders>
              <w:top w:val="nil"/>
              <w:left w:val="single" w:color="auto" w:sz="4" w:space="0"/>
              <w:bottom w:val="single" w:color="auto" w:sz="4" w:space="0"/>
              <w:right w:val="single" w:color="auto" w:sz="4" w:space="0"/>
            </w:tcBorders>
            <w:noWrap w:val="0"/>
            <w:vAlign w:val="center"/>
          </w:tcPr>
          <w:p w14:paraId="51E81367">
            <w:pPr>
              <w:widowControl/>
              <w:wordWrap w:val="0"/>
              <w:ind w:firstLine="0" w:firstLineChars="0"/>
              <w:jc w:val="center"/>
              <w:rPr>
                <w:rFonts w:hint="eastAsia" w:ascii="Times New Roman" w:hAnsi="Times New Roman" w:eastAsia="宋体"/>
                <w:color w:val="auto"/>
                <w:kern w:val="0"/>
                <w:sz w:val="24"/>
                <w:szCs w:val="24"/>
                <w:lang w:val="en-US" w:eastAsia="zh-CN" w:bidi="ar-SA"/>
              </w:rPr>
            </w:pPr>
            <w:r>
              <w:rPr>
                <w:rFonts w:hint="eastAsia"/>
                <w:color w:val="auto"/>
                <w:kern w:val="0"/>
                <w:sz w:val="24"/>
                <w:lang w:val="en-US" w:eastAsia="zh-CN"/>
              </w:rPr>
              <w:t>3</w:t>
            </w:r>
          </w:p>
        </w:tc>
        <w:tc>
          <w:tcPr>
            <w:tcW w:w="1628" w:type="pct"/>
            <w:tcBorders>
              <w:top w:val="single" w:color="auto" w:sz="4" w:space="0"/>
              <w:left w:val="nil"/>
              <w:bottom w:val="single" w:color="auto" w:sz="4" w:space="0"/>
              <w:right w:val="single" w:color="auto" w:sz="4" w:space="0"/>
            </w:tcBorders>
            <w:noWrap w:val="0"/>
            <w:vAlign w:val="center"/>
          </w:tcPr>
          <w:p w14:paraId="4204DE9F">
            <w:pPr>
              <w:widowControl/>
              <w:wordWrap w:val="0"/>
              <w:ind w:firstLine="0" w:firstLineChars="0"/>
              <w:jc w:val="center"/>
              <w:rPr>
                <w:rFonts w:ascii="Times New Roman" w:hAnsi="Times New Roman" w:eastAsia="宋体"/>
                <w:color w:val="auto"/>
                <w:kern w:val="0"/>
                <w:sz w:val="24"/>
                <w:szCs w:val="24"/>
                <w:lang w:val="en-US" w:eastAsia="zh-CN" w:bidi="ar-SA"/>
              </w:rPr>
            </w:pPr>
            <w:r>
              <w:rPr>
                <w:rFonts w:hint="eastAsia" w:ascii="Times New Roman" w:hAnsi="Times New Roman" w:eastAsia="宋体"/>
                <w:color w:val="auto"/>
                <w:kern w:val="0"/>
                <w:sz w:val="24"/>
                <w:szCs w:val="24"/>
                <w:lang w:val="en-US" w:eastAsia="zh-CN" w:bidi="ar-SA"/>
              </w:rPr>
              <w:t>建设项目场地准备及建设单位临时设施费</w:t>
            </w:r>
          </w:p>
        </w:tc>
        <w:tc>
          <w:tcPr>
            <w:tcW w:w="1333" w:type="pct"/>
            <w:tcBorders>
              <w:top w:val="nil"/>
              <w:left w:val="nil"/>
              <w:bottom w:val="single" w:color="auto" w:sz="4" w:space="0"/>
              <w:right w:val="single" w:color="auto" w:sz="4" w:space="0"/>
            </w:tcBorders>
            <w:noWrap w:val="0"/>
            <w:vAlign w:val="center"/>
          </w:tcPr>
          <w:p w14:paraId="385D89EB">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2C70A5BB">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0D4401B0">
        <w:tblPrEx>
          <w:tblCellMar>
            <w:top w:w="0" w:type="dxa"/>
            <w:left w:w="108" w:type="dxa"/>
            <w:bottom w:w="0" w:type="dxa"/>
            <w:right w:w="108" w:type="dxa"/>
          </w:tblCellMar>
        </w:tblPrEx>
        <w:trPr>
          <w:trHeight w:val="653" w:hRule="atLeast"/>
          <w:jc w:val="center"/>
        </w:trPr>
        <w:tc>
          <w:tcPr>
            <w:tcW w:w="535" w:type="pct"/>
            <w:tcBorders>
              <w:top w:val="nil"/>
              <w:left w:val="single" w:color="auto" w:sz="4" w:space="0"/>
              <w:bottom w:val="single" w:color="auto" w:sz="4" w:space="0"/>
              <w:right w:val="single" w:color="auto" w:sz="4" w:space="0"/>
            </w:tcBorders>
            <w:noWrap w:val="0"/>
            <w:vAlign w:val="center"/>
          </w:tcPr>
          <w:p w14:paraId="4CF55397">
            <w:pPr>
              <w:widowControl/>
              <w:wordWrap w:val="0"/>
              <w:ind w:firstLine="0" w:firstLineChars="0"/>
              <w:jc w:val="center"/>
              <w:rPr>
                <w:rFonts w:hint="eastAsia" w:ascii="Times New Roman" w:hAnsi="Times New Roman" w:eastAsia="宋体"/>
                <w:color w:val="auto"/>
                <w:kern w:val="0"/>
                <w:sz w:val="24"/>
                <w:szCs w:val="24"/>
                <w:lang w:val="en-US" w:eastAsia="zh-CN" w:bidi="ar-SA"/>
              </w:rPr>
            </w:pPr>
            <w:r>
              <w:rPr>
                <w:rFonts w:hint="eastAsia"/>
                <w:color w:val="auto"/>
                <w:kern w:val="0"/>
                <w:sz w:val="24"/>
                <w:lang w:val="en-US" w:eastAsia="zh-CN"/>
              </w:rPr>
              <w:t>4</w:t>
            </w:r>
          </w:p>
        </w:tc>
        <w:tc>
          <w:tcPr>
            <w:tcW w:w="1628" w:type="pct"/>
            <w:tcBorders>
              <w:top w:val="single" w:color="auto" w:sz="4" w:space="0"/>
              <w:left w:val="nil"/>
              <w:bottom w:val="single" w:color="auto" w:sz="4" w:space="0"/>
              <w:right w:val="single" w:color="auto" w:sz="4" w:space="0"/>
            </w:tcBorders>
            <w:noWrap w:val="0"/>
            <w:vAlign w:val="center"/>
          </w:tcPr>
          <w:p w14:paraId="12E587F3">
            <w:pPr>
              <w:widowControl/>
              <w:wordWrap w:val="0"/>
              <w:ind w:firstLine="0" w:firstLineChars="0"/>
              <w:jc w:val="center"/>
              <w:rPr>
                <w:rFonts w:ascii="Times New Roman" w:hAnsi="Times New Roman" w:eastAsia="宋体"/>
                <w:color w:val="auto"/>
                <w:kern w:val="0"/>
                <w:sz w:val="24"/>
                <w:szCs w:val="24"/>
                <w:lang w:val="en-US" w:eastAsia="zh-CN" w:bidi="ar-SA"/>
              </w:rPr>
            </w:pPr>
            <w:r>
              <w:rPr>
                <w:rFonts w:hint="eastAsia"/>
                <w:color w:val="auto"/>
                <w:kern w:val="0"/>
                <w:sz w:val="24"/>
              </w:rPr>
              <w:t>其他费用</w:t>
            </w:r>
          </w:p>
        </w:tc>
        <w:tc>
          <w:tcPr>
            <w:tcW w:w="1333" w:type="pct"/>
            <w:tcBorders>
              <w:top w:val="nil"/>
              <w:left w:val="nil"/>
              <w:bottom w:val="single" w:color="auto" w:sz="4" w:space="0"/>
              <w:right w:val="single" w:color="auto" w:sz="4" w:space="0"/>
            </w:tcBorders>
            <w:noWrap w:val="0"/>
            <w:vAlign w:val="center"/>
          </w:tcPr>
          <w:p w14:paraId="1571E7CC">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6FBFC4DF">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55AE58AF">
        <w:tblPrEx>
          <w:tblCellMar>
            <w:top w:w="0" w:type="dxa"/>
            <w:left w:w="108" w:type="dxa"/>
            <w:bottom w:w="0" w:type="dxa"/>
            <w:right w:w="108" w:type="dxa"/>
          </w:tblCellMar>
        </w:tblPrEx>
        <w:trPr>
          <w:trHeight w:val="653" w:hRule="atLeast"/>
          <w:jc w:val="center"/>
        </w:trPr>
        <w:tc>
          <w:tcPr>
            <w:tcW w:w="535" w:type="pct"/>
            <w:tcBorders>
              <w:top w:val="nil"/>
              <w:left w:val="single" w:color="auto" w:sz="4" w:space="0"/>
              <w:bottom w:val="single" w:color="auto" w:sz="4" w:space="0"/>
              <w:right w:val="single" w:color="auto" w:sz="4" w:space="0"/>
            </w:tcBorders>
            <w:noWrap w:val="0"/>
            <w:vAlign w:val="center"/>
          </w:tcPr>
          <w:p w14:paraId="1B888ADC">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p w14:paraId="7782866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00D29FDB">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2CED28D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27307F17">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0B373E02">
        <w:tblPrEx>
          <w:tblCellMar>
            <w:top w:w="0" w:type="dxa"/>
            <w:left w:w="108" w:type="dxa"/>
            <w:bottom w:w="0" w:type="dxa"/>
            <w:right w:w="108" w:type="dxa"/>
          </w:tblCellMar>
        </w:tblPrEx>
        <w:trPr>
          <w:trHeight w:val="653" w:hRule="atLeast"/>
          <w:jc w:val="center"/>
        </w:trPr>
        <w:tc>
          <w:tcPr>
            <w:tcW w:w="535" w:type="pct"/>
            <w:tcBorders>
              <w:top w:val="nil"/>
              <w:left w:val="single" w:color="auto" w:sz="4" w:space="0"/>
              <w:bottom w:val="single" w:color="auto" w:sz="4" w:space="0"/>
              <w:right w:val="single" w:color="auto" w:sz="4" w:space="0"/>
            </w:tcBorders>
            <w:noWrap w:val="0"/>
            <w:vAlign w:val="center"/>
          </w:tcPr>
          <w:p w14:paraId="54A9F13A">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384BD318">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5A90F9BB">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20859862">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5AB13B27">
        <w:tblPrEx>
          <w:tblCellMar>
            <w:top w:w="0" w:type="dxa"/>
            <w:left w:w="108" w:type="dxa"/>
            <w:bottom w:w="0" w:type="dxa"/>
            <w:right w:w="108" w:type="dxa"/>
          </w:tblCellMar>
        </w:tblPrEx>
        <w:trPr>
          <w:trHeight w:val="562" w:hRule="atLeast"/>
          <w:jc w:val="center"/>
        </w:trPr>
        <w:tc>
          <w:tcPr>
            <w:tcW w:w="535" w:type="pct"/>
            <w:tcBorders>
              <w:top w:val="nil"/>
              <w:left w:val="single" w:color="auto" w:sz="4" w:space="0"/>
              <w:bottom w:val="single" w:color="auto" w:sz="4" w:space="0"/>
              <w:right w:val="single" w:color="auto" w:sz="4" w:space="0"/>
            </w:tcBorders>
            <w:noWrap w:val="0"/>
            <w:vAlign w:val="center"/>
          </w:tcPr>
          <w:p w14:paraId="12FBA177">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4F27762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3D9E2006">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47D5566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7B1F4BFC">
        <w:tblPrEx>
          <w:tblCellMar>
            <w:top w:w="0" w:type="dxa"/>
            <w:left w:w="108" w:type="dxa"/>
            <w:bottom w:w="0" w:type="dxa"/>
            <w:right w:w="108" w:type="dxa"/>
          </w:tblCellMar>
        </w:tblPrEx>
        <w:trPr>
          <w:trHeight w:val="556" w:hRule="atLeast"/>
          <w:jc w:val="center"/>
        </w:trPr>
        <w:tc>
          <w:tcPr>
            <w:tcW w:w="535" w:type="pct"/>
            <w:tcBorders>
              <w:top w:val="nil"/>
              <w:left w:val="single" w:color="auto" w:sz="4" w:space="0"/>
              <w:bottom w:val="single" w:color="auto" w:sz="4" w:space="0"/>
              <w:right w:val="single" w:color="auto" w:sz="4" w:space="0"/>
            </w:tcBorders>
            <w:noWrap w:val="0"/>
            <w:vAlign w:val="center"/>
          </w:tcPr>
          <w:p w14:paraId="04CD7D8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7DA4AB8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0EED552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2F36E68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7A64275D">
        <w:tblPrEx>
          <w:tblCellMar>
            <w:top w:w="0" w:type="dxa"/>
            <w:left w:w="108" w:type="dxa"/>
            <w:bottom w:w="0" w:type="dxa"/>
            <w:right w:w="108" w:type="dxa"/>
          </w:tblCellMar>
        </w:tblPrEx>
        <w:trPr>
          <w:trHeight w:val="6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3F6951B2">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19B378C8">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15C39676">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70DFAF59">
            <w:pPr>
              <w:keepNext w:val="0"/>
              <w:keepLines w:val="0"/>
              <w:pageBreakBefore w:val="0"/>
              <w:widowControl/>
              <w:kinsoku/>
              <w:wordWrap w:val="0"/>
              <w:overflowPunct/>
              <w:topLinePunct w:val="0"/>
              <w:autoSpaceDE/>
              <w:autoSpaceDN/>
              <w:bidi w:val="0"/>
              <w:adjustRightInd/>
              <w:snapToGrid/>
              <w:spacing w:line="400" w:lineRule="exact"/>
              <w:ind w:left="0" w:leftChars="0" w:right="-42" w:rightChars="-20" w:firstLine="0" w:firstLineChars="0"/>
              <w:textAlignment w:val="auto"/>
              <w:outlineLvl w:val="9"/>
              <w:rPr>
                <w:i w:val="0"/>
                <w:iCs w:val="0"/>
                <w:color w:val="auto"/>
                <w:kern w:val="0"/>
                <w:sz w:val="24"/>
                <w:szCs w:val="24"/>
              </w:rPr>
            </w:pPr>
          </w:p>
        </w:tc>
      </w:tr>
      <w:tr w14:paraId="6AD24EC5">
        <w:tblPrEx>
          <w:tblCellMar>
            <w:top w:w="0" w:type="dxa"/>
            <w:left w:w="108" w:type="dxa"/>
            <w:bottom w:w="0" w:type="dxa"/>
            <w:right w:w="108" w:type="dxa"/>
          </w:tblCellMar>
        </w:tblPrEx>
        <w:trPr>
          <w:trHeight w:val="6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5C214D1F">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44646BCD">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00C4415B">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0C50AD22">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rFonts w:eastAsia="黑体"/>
                <w:i w:val="0"/>
                <w:iCs w:val="0"/>
                <w:color w:val="auto"/>
                <w:sz w:val="24"/>
                <w:szCs w:val="24"/>
              </w:rPr>
            </w:pPr>
          </w:p>
        </w:tc>
      </w:tr>
      <w:tr w14:paraId="438332E8">
        <w:tblPrEx>
          <w:tblCellMar>
            <w:top w:w="0" w:type="dxa"/>
            <w:left w:w="108" w:type="dxa"/>
            <w:bottom w:w="0" w:type="dxa"/>
            <w:right w:w="108" w:type="dxa"/>
          </w:tblCellMar>
        </w:tblPrEx>
        <w:trPr>
          <w:trHeight w:val="533" w:hRule="atLeast"/>
          <w:jc w:val="center"/>
        </w:trPr>
        <w:tc>
          <w:tcPr>
            <w:tcW w:w="535" w:type="pct"/>
            <w:tcBorders>
              <w:top w:val="nil"/>
              <w:left w:val="single" w:color="auto" w:sz="4" w:space="0"/>
              <w:bottom w:val="single" w:color="auto" w:sz="4" w:space="0"/>
              <w:right w:val="single" w:color="auto" w:sz="4" w:space="0"/>
            </w:tcBorders>
            <w:noWrap w:val="0"/>
            <w:vAlign w:val="center"/>
          </w:tcPr>
          <w:p w14:paraId="799496FA">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7440F4C3">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266B0BD2">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65A23C06">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rFonts w:eastAsia="黑体"/>
                <w:i w:val="0"/>
                <w:iCs w:val="0"/>
                <w:color w:val="auto"/>
                <w:sz w:val="24"/>
                <w:szCs w:val="24"/>
              </w:rPr>
            </w:pPr>
          </w:p>
        </w:tc>
      </w:tr>
      <w:tr w14:paraId="7CAFE1B3">
        <w:tblPrEx>
          <w:tblCellMar>
            <w:top w:w="0" w:type="dxa"/>
            <w:left w:w="108" w:type="dxa"/>
            <w:bottom w:w="0" w:type="dxa"/>
            <w:right w:w="108" w:type="dxa"/>
          </w:tblCellMar>
        </w:tblPrEx>
        <w:trPr>
          <w:trHeight w:val="567" w:hRule="atLeast"/>
          <w:jc w:val="center"/>
        </w:trPr>
        <w:tc>
          <w:tcPr>
            <w:tcW w:w="535" w:type="pct"/>
            <w:tcBorders>
              <w:top w:val="nil"/>
              <w:left w:val="single" w:color="auto" w:sz="4" w:space="0"/>
              <w:bottom w:val="single" w:color="auto" w:sz="4" w:space="0"/>
              <w:right w:val="single" w:color="auto" w:sz="4" w:space="0"/>
            </w:tcBorders>
            <w:noWrap w:val="0"/>
            <w:vAlign w:val="center"/>
          </w:tcPr>
          <w:p w14:paraId="18F77181">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2A345B6A">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71B131CB">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6A362D38">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756D0A97">
        <w:tblPrEx>
          <w:tblCellMar>
            <w:top w:w="0" w:type="dxa"/>
            <w:left w:w="108" w:type="dxa"/>
            <w:bottom w:w="0" w:type="dxa"/>
            <w:right w:w="108" w:type="dxa"/>
          </w:tblCellMar>
        </w:tblPrEx>
        <w:trPr>
          <w:trHeight w:val="567" w:hRule="atLeast"/>
          <w:jc w:val="center"/>
        </w:trPr>
        <w:tc>
          <w:tcPr>
            <w:tcW w:w="535" w:type="pct"/>
            <w:tcBorders>
              <w:top w:val="nil"/>
              <w:left w:val="single" w:color="auto" w:sz="4" w:space="0"/>
              <w:bottom w:val="single" w:color="auto" w:sz="4" w:space="0"/>
              <w:right w:val="single" w:color="auto" w:sz="4" w:space="0"/>
            </w:tcBorders>
            <w:noWrap w:val="0"/>
            <w:vAlign w:val="center"/>
          </w:tcPr>
          <w:p w14:paraId="79140CC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664564EE">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51622E5E">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5EA0B415">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1449CA90">
        <w:tblPrEx>
          <w:tblCellMar>
            <w:top w:w="0" w:type="dxa"/>
            <w:left w:w="108" w:type="dxa"/>
            <w:bottom w:w="0" w:type="dxa"/>
            <w:right w:w="108" w:type="dxa"/>
          </w:tblCellMar>
        </w:tblPrEx>
        <w:trPr>
          <w:trHeight w:val="567" w:hRule="atLeast"/>
          <w:jc w:val="center"/>
        </w:trPr>
        <w:tc>
          <w:tcPr>
            <w:tcW w:w="535" w:type="pct"/>
            <w:tcBorders>
              <w:top w:val="nil"/>
              <w:left w:val="single" w:color="auto" w:sz="4" w:space="0"/>
              <w:bottom w:val="single" w:color="auto" w:sz="4" w:space="0"/>
              <w:right w:val="single" w:color="auto" w:sz="4" w:space="0"/>
            </w:tcBorders>
            <w:noWrap w:val="0"/>
            <w:vAlign w:val="center"/>
          </w:tcPr>
          <w:p w14:paraId="7AC0402D">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p w14:paraId="4704AAED">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39323E66">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03C528AF">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0BBB535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2E50A402">
        <w:tblPrEx>
          <w:tblCellMar>
            <w:top w:w="0" w:type="dxa"/>
            <w:left w:w="108" w:type="dxa"/>
            <w:bottom w:w="0" w:type="dxa"/>
            <w:right w:w="108" w:type="dxa"/>
          </w:tblCellMar>
        </w:tblPrEx>
        <w:trPr>
          <w:trHeight w:val="567" w:hRule="atLeast"/>
          <w:jc w:val="center"/>
        </w:trPr>
        <w:tc>
          <w:tcPr>
            <w:tcW w:w="535" w:type="pct"/>
            <w:tcBorders>
              <w:top w:val="nil"/>
              <w:left w:val="single" w:color="auto" w:sz="4" w:space="0"/>
              <w:bottom w:val="single" w:color="auto" w:sz="4" w:space="0"/>
              <w:right w:val="single" w:color="auto" w:sz="4" w:space="0"/>
            </w:tcBorders>
            <w:noWrap w:val="0"/>
            <w:vAlign w:val="center"/>
          </w:tcPr>
          <w:p w14:paraId="55319838">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p w14:paraId="65C248F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5AA4623E">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40DAB7D4">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4AFCD484">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58838998">
        <w:tblPrEx>
          <w:tblCellMar>
            <w:top w:w="0" w:type="dxa"/>
            <w:left w:w="108" w:type="dxa"/>
            <w:bottom w:w="0" w:type="dxa"/>
            <w:right w:w="108" w:type="dxa"/>
          </w:tblCellMar>
        </w:tblPrEx>
        <w:trPr>
          <w:trHeight w:val="567" w:hRule="atLeast"/>
          <w:jc w:val="center"/>
        </w:trPr>
        <w:tc>
          <w:tcPr>
            <w:tcW w:w="535" w:type="pct"/>
            <w:tcBorders>
              <w:top w:val="nil"/>
              <w:left w:val="single" w:color="auto" w:sz="4" w:space="0"/>
              <w:bottom w:val="single" w:color="auto" w:sz="4" w:space="0"/>
              <w:right w:val="single" w:color="auto" w:sz="4" w:space="0"/>
            </w:tcBorders>
            <w:noWrap w:val="0"/>
            <w:vAlign w:val="center"/>
          </w:tcPr>
          <w:p w14:paraId="2ED03AB1">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5F23D446">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626907B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0ABF913D">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r>
      <w:tr w14:paraId="38E224A2">
        <w:tblPrEx>
          <w:tblCellMar>
            <w:top w:w="0" w:type="dxa"/>
            <w:left w:w="108" w:type="dxa"/>
            <w:bottom w:w="0" w:type="dxa"/>
            <w:right w:w="108" w:type="dxa"/>
          </w:tblCellMar>
        </w:tblPrEx>
        <w:trPr>
          <w:trHeight w:val="567" w:hRule="atLeast"/>
          <w:jc w:val="center"/>
        </w:trPr>
        <w:tc>
          <w:tcPr>
            <w:tcW w:w="2163" w:type="pct"/>
            <w:gridSpan w:val="2"/>
            <w:tcBorders>
              <w:top w:val="nil"/>
              <w:left w:val="single" w:color="auto" w:sz="4" w:space="0"/>
              <w:bottom w:val="single" w:color="auto" w:sz="4" w:space="0"/>
              <w:right w:val="single" w:color="auto" w:sz="4" w:space="0"/>
            </w:tcBorders>
            <w:noWrap w:val="0"/>
            <w:vAlign w:val="center"/>
          </w:tcPr>
          <w:p w14:paraId="163E86A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r>
              <w:rPr>
                <w:i w:val="0"/>
                <w:iCs w:val="0"/>
                <w:color w:val="auto"/>
                <w:kern w:val="0"/>
                <w:sz w:val="24"/>
                <w:szCs w:val="24"/>
              </w:rPr>
              <w:t>投标报价</w:t>
            </w:r>
          </w:p>
        </w:tc>
        <w:tc>
          <w:tcPr>
            <w:tcW w:w="2836" w:type="pct"/>
            <w:gridSpan w:val="2"/>
            <w:tcBorders>
              <w:top w:val="nil"/>
              <w:left w:val="nil"/>
              <w:bottom w:val="single" w:color="auto" w:sz="4" w:space="0"/>
              <w:right w:val="single" w:color="auto" w:sz="4" w:space="0"/>
            </w:tcBorders>
            <w:noWrap w:val="0"/>
            <w:vAlign w:val="center"/>
          </w:tcPr>
          <w:p w14:paraId="5CD54287">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r>
    </w:tbl>
    <w:p w14:paraId="433E1742">
      <w:pPr>
        <w:pageBreakBefore w:val="0"/>
        <w:kinsoku/>
        <w:wordWrap w:val="0"/>
        <w:overflowPunct/>
        <w:bidi w:val="0"/>
        <w:spacing w:line="440" w:lineRule="exact"/>
        <w:jc w:val="center"/>
        <w:rPr>
          <w:i w:val="0"/>
          <w:iCs w:val="0"/>
          <w:color w:val="auto"/>
        </w:rPr>
      </w:pPr>
      <w:r>
        <w:rPr>
          <w:rFonts w:eastAsia="黑体"/>
          <w:i w:val="0"/>
          <w:iCs w:val="0"/>
          <w:color w:val="auto"/>
          <w:sz w:val="20"/>
          <w:szCs w:val="20"/>
        </w:rPr>
        <w:br w:type="page"/>
      </w:r>
      <w:bookmarkStart w:id="3250" w:name="_Toc144974864"/>
      <w:bookmarkStart w:id="3251" w:name="_Toc247514288"/>
      <w:bookmarkStart w:id="3252" w:name="_Toc152042585"/>
      <w:bookmarkStart w:id="3253" w:name="_Toc152045796"/>
      <w:bookmarkStart w:id="3254" w:name="_Toc247527836"/>
    </w:p>
    <w:bookmarkEnd w:id="3250"/>
    <w:bookmarkEnd w:id="3251"/>
    <w:bookmarkEnd w:id="3252"/>
    <w:bookmarkEnd w:id="3253"/>
    <w:bookmarkEnd w:id="3254"/>
    <w:p w14:paraId="3B2952E0">
      <w:pPr>
        <w:keepNext w:val="0"/>
        <w:keepLines w:val="0"/>
        <w:pageBreakBefore w:val="0"/>
        <w:widowControl w:val="0"/>
        <w:kinsoku/>
        <w:wordWrap w:val="0"/>
        <w:overflowPunct/>
        <w:topLinePunct/>
        <w:autoSpaceDE/>
        <w:autoSpaceDN/>
        <w:bidi w:val="0"/>
        <w:adjustRightInd/>
        <w:snapToGrid/>
        <w:spacing w:line="440" w:lineRule="exact"/>
        <w:jc w:val="center"/>
        <w:textAlignment w:val="auto"/>
        <w:outlineLvl w:val="1"/>
        <w:rPr>
          <w:rFonts w:ascii="Times New Roman" w:hAnsi="Times New Roman"/>
          <w:b/>
          <w:bCs/>
          <w:i w:val="0"/>
          <w:iCs w:val="0"/>
          <w:color w:val="auto"/>
          <w:sz w:val="28"/>
          <w:szCs w:val="28"/>
        </w:rPr>
      </w:pPr>
      <w:bookmarkStart w:id="3255" w:name="_Toc28931"/>
      <w:bookmarkStart w:id="3256" w:name="_Toc17925"/>
      <w:bookmarkStart w:id="3257" w:name="_Toc22168"/>
      <w:bookmarkStart w:id="3258" w:name="_Toc18006"/>
      <w:bookmarkStart w:id="3259" w:name="_Toc4182"/>
      <w:r>
        <w:rPr>
          <w:rFonts w:hint="eastAsia" w:ascii="宋体" w:hAnsi="宋体" w:eastAsia="宋体" w:cs="宋体"/>
          <w:b/>
          <w:bCs/>
          <w:i w:val="0"/>
          <w:iCs w:val="0"/>
          <w:color w:val="auto"/>
          <w:sz w:val="28"/>
          <w:szCs w:val="28"/>
          <w:lang w:eastAsia="zh-CN"/>
        </w:rPr>
        <w:t>六</w:t>
      </w:r>
      <w:r>
        <w:rPr>
          <w:rFonts w:hint="eastAsia" w:ascii="宋体" w:hAnsi="宋体" w:eastAsia="宋体" w:cs="宋体"/>
          <w:b/>
          <w:bCs/>
          <w:i w:val="0"/>
          <w:iCs w:val="0"/>
          <w:color w:val="auto"/>
          <w:sz w:val="28"/>
          <w:szCs w:val="28"/>
        </w:rPr>
        <w:t>、</w:t>
      </w:r>
      <w:bookmarkStart w:id="3260" w:name="_Toc152042596"/>
      <w:bookmarkStart w:id="3261" w:name="_Toc247527847"/>
      <w:bookmarkStart w:id="3262" w:name="_Toc152045807"/>
      <w:bookmarkStart w:id="3263" w:name="_Toc247514299"/>
      <w:bookmarkStart w:id="3264" w:name="_Toc144974875"/>
      <w:r>
        <w:rPr>
          <w:rFonts w:hint="eastAsia" w:ascii="宋体" w:hAnsi="宋体" w:eastAsia="宋体" w:cs="宋体"/>
          <w:b/>
          <w:bCs/>
          <w:i w:val="0"/>
          <w:iCs w:val="0"/>
          <w:color w:val="auto"/>
          <w:sz w:val="28"/>
          <w:szCs w:val="28"/>
        </w:rPr>
        <w:t>资格审查资料</w:t>
      </w:r>
      <w:bookmarkEnd w:id="3255"/>
      <w:bookmarkEnd w:id="3256"/>
      <w:bookmarkEnd w:id="3257"/>
      <w:bookmarkEnd w:id="3260"/>
      <w:bookmarkEnd w:id="3261"/>
      <w:bookmarkEnd w:id="3262"/>
      <w:bookmarkEnd w:id="3263"/>
      <w:bookmarkEnd w:id="3264"/>
    </w:p>
    <w:bookmarkEnd w:id="3258"/>
    <w:bookmarkEnd w:id="3259"/>
    <w:p w14:paraId="2D325D38">
      <w:pPr>
        <w:pStyle w:val="4"/>
        <w:pageBreakBefore w:val="0"/>
        <w:kinsoku/>
        <w:wordWrap w:val="0"/>
        <w:overflowPunct/>
        <w:bidi w:val="0"/>
        <w:ind w:firstLine="118"/>
        <w:rPr>
          <w:rFonts w:ascii="Times New Roman" w:hAnsi="Times New Roman"/>
          <w:i w:val="0"/>
          <w:iCs w:val="0"/>
          <w:color w:val="auto"/>
          <w:sz w:val="24"/>
          <w:szCs w:val="24"/>
        </w:rPr>
      </w:pPr>
      <w:bookmarkStart w:id="3265" w:name="_Toc12044"/>
      <w:bookmarkStart w:id="3266" w:name="_Toc11104"/>
      <w:bookmarkStart w:id="3267" w:name="_Toc152045808"/>
      <w:bookmarkStart w:id="3268" w:name="_Toc7698"/>
      <w:bookmarkStart w:id="3269" w:name="_Toc19291"/>
      <w:bookmarkStart w:id="3270" w:name="_Toc152042597"/>
      <w:bookmarkStart w:id="3271" w:name="_Toc247527848"/>
      <w:bookmarkStart w:id="3272" w:name="_Toc247514300"/>
      <w:bookmarkStart w:id="3273" w:name="_Toc23863"/>
      <w:bookmarkStart w:id="3274" w:name="_Toc144974876"/>
      <w:bookmarkStart w:id="3275" w:name="_Toc2065"/>
      <w:r>
        <w:rPr>
          <w:rFonts w:ascii="Times New Roman" w:hAnsi="Times New Roman"/>
          <w:i w:val="0"/>
          <w:iCs w:val="0"/>
          <w:color w:val="auto"/>
          <w:sz w:val="24"/>
          <w:szCs w:val="24"/>
        </w:rPr>
        <w:t>（一）投标人基本情况表</w:t>
      </w:r>
      <w:bookmarkEnd w:id="3265"/>
      <w:bookmarkEnd w:id="3266"/>
      <w:bookmarkEnd w:id="3267"/>
      <w:bookmarkEnd w:id="3268"/>
      <w:bookmarkEnd w:id="3269"/>
      <w:bookmarkEnd w:id="3270"/>
      <w:bookmarkEnd w:id="3271"/>
      <w:bookmarkEnd w:id="3272"/>
      <w:bookmarkEnd w:id="3273"/>
      <w:bookmarkEnd w:id="3274"/>
      <w:bookmarkEnd w:id="3275"/>
    </w:p>
    <w:p w14:paraId="2735E999">
      <w:pPr>
        <w:pageBreakBefore w:val="0"/>
        <w:kinsoku/>
        <w:wordWrap w:val="0"/>
        <w:overflowPunct/>
        <w:topLinePunct/>
        <w:bidi w:val="0"/>
        <w:spacing w:line="440" w:lineRule="exact"/>
        <w:rPr>
          <w:rFonts w:eastAsia="黑体"/>
          <w:i w:val="0"/>
          <w:iCs w:val="0"/>
          <w:color w:val="auto"/>
          <w:sz w:val="23"/>
          <w:szCs w:val="23"/>
        </w:rPr>
      </w:pPr>
    </w:p>
    <w:tbl>
      <w:tblPr>
        <w:tblStyle w:val="3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85"/>
        <w:gridCol w:w="1030"/>
        <w:gridCol w:w="1094"/>
        <w:gridCol w:w="966"/>
        <w:gridCol w:w="483"/>
        <w:gridCol w:w="359"/>
        <w:gridCol w:w="1238"/>
        <w:gridCol w:w="564"/>
        <w:gridCol w:w="987"/>
        <w:gridCol w:w="1145"/>
      </w:tblGrid>
      <w:tr w14:paraId="66C67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06D35BA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rFonts w:hint="eastAsia" w:eastAsia="宋体"/>
                <w:i w:val="0"/>
                <w:iCs w:val="0"/>
                <w:color w:val="auto"/>
                <w:sz w:val="24"/>
                <w:szCs w:val="24"/>
                <w:lang w:eastAsia="zh-CN"/>
              </w:rPr>
            </w:pPr>
            <w:r>
              <w:rPr>
                <w:rFonts w:hint="eastAsia"/>
                <w:i w:val="0"/>
                <w:iCs w:val="0"/>
                <w:color w:val="auto"/>
                <w:sz w:val="24"/>
                <w:szCs w:val="24"/>
                <w:lang w:eastAsia="zh-CN"/>
              </w:rPr>
              <w:t>营业执照编号</w:t>
            </w:r>
          </w:p>
        </w:tc>
        <w:tc>
          <w:tcPr>
            <w:tcW w:w="3991" w:type="pct"/>
            <w:gridSpan w:val="9"/>
            <w:tcBorders>
              <w:top w:val="single" w:color="auto" w:sz="4" w:space="0"/>
              <w:left w:val="single" w:color="auto" w:sz="4" w:space="0"/>
              <w:bottom w:val="single" w:color="auto" w:sz="4" w:space="0"/>
              <w:right w:val="single" w:color="auto" w:sz="4" w:space="0"/>
            </w:tcBorders>
            <w:noWrap w:val="0"/>
            <w:vAlign w:val="center"/>
          </w:tcPr>
          <w:p w14:paraId="3BBF2F67">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10C95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138241C7">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投标人名称</w:t>
            </w:r>
          </w:p>
        </w:tc>
        <w:tc>
          <w:tcPr>
            <w:tcW w:w="3991" w:type="pct"/>
            <w:gridSpan w:val="9"/>
            <w:tcBorders>
              <w:top w:val="single" w:color="auto" w:sz="4" w:space="0"/>
              <w:left w:val="single" w:color="auto" w:sz="4" w:space="0"/>
              <w:bottom w:val="single" w:color="auto" w:sz="4" w:space="0"/>
              <w:right w:val="single" w:color="auto" w:sz="4" w:space="0"/>
            </w:tcBorders>
            <w:noWrap w:val="0"/>
            <w:vAlign w:val="center"/>
          </w:tcPr>
          <w:p w14:paraId="543DEC8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6AB8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79A5F91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注册地址</w:t>
            </w:r>
          </w:p>
        </w:tc>
        <w:tc>
          <w:tcPr>
            <w:tcW w:w="1995" w:type="pct"/>
            <w:gridSpan w:val="5"/>
            <w:tcBorders>
              <w:top w:val="single" w:color="auto" w:sz="4" w:space="0"/>
              <w:left w:val="single" w:color="auto" w:sz="4" w:space="0"/>
              <w:bottom w:val="single" w:color="auto" w:sz="4" w:space="0"/>
              <w:right w:val="single" w:color="auto" w:sz="4" w:space="0"/>
            </w:tcBorders>
            <w:noWrap w:val="0"/>
            <w:vAlign w:val="center"/>
          </w:tcPr>
          <w:p w14:paraId="391D4E1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50C2CFB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邮政编码</w:t>
            </w:r>
          </w:p>
        </w:tc>
        <w:tc>
          <w:tcPr>
            <w:tcW w:w="1367" w:type="pct"/>
            <w:gridSpan w:val="3"/>
            <w:tcBorders>
              <w:top w:val="single" w:color="auto" w:sz="4" w:space="0"/>
              <w:left w:val="single" w:color="auto" w:sz="4" w:space="0"/>
              <w:bottom w:val="single" w:color="auto" w:sz="4" w:space="0"/>
              <w:right w:val="single" w:color="auto" w:sz="4" w:space="0"/>
            </w:tcBorders>
            <w:noWrap w:val="0"/>
            <w:vAlign w:val="center"/>
          </w:tcPr>
          <w:p w14:paraId="2D92BCF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13AE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008" w:type="pct"/>
            <w:vMerge w:val="restart"/>
            <w:tcBorders>
              <w:top w:val="single" w:color="auto" w:sz="4" w:space="0"/>
              <w:left w:val="single" w:color="auto" w:sz="4" w:space="0"/>
              <w:bottom w:val="single" w:color="auto" w:sz="4" w:space="0"/>
              <w:right w:val="single" w:color="auto" w:sz="4" w:space="0"/>
            </w:tcBorders>
            <w:noWrap w:val="0"/>
            <w:vAlign w:val="center"/>
          </w:tcPr>
          <w:p w14:paraId="4777BA9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联系方式</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38509A4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联系人</w:t>
            </w:r>
          </w:p>
        </w:tc>
        <w:tc>
          <w:tcPr>
            <w:tcW w:w="1472" w:type="pct"/>
            <w:gridSpan w:val="4"/>
            <w:tcBorders>
              <w:top w:val="single" w:color="auto" w:sz="4" w:space="0"/>
              <w:left w:val="single" w:color="auto" w:sz="4" w:space="0"/>
              <w:bottom w:val="single" w:color="auto" w:sz="4" w:space="0"/>
              <w:right w:val="single" w:color="auto" w:sz="4" w:space="0"/>
            </w:tcBorders>
            <w:noWrap w:val="0"/>
            <w:vAlign w:val="center"/>
          </w:tcPr>
          <w:p w14:paraId="0B621E9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6BA7B95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电 话</w:t>
            </w:r>
          </w:p>
        </w:tc>
        <w:tc>
          <w:tcPr>
            <w:tcW w:w="1367" w:type="pct"/>
            <w:gridSpan w:val="3"/>
            <w:tcBorders>
              <w:top w:val="single" w:color="auto" w:sz="4" w:space="0"/>
              <w:left w:val="single" w:color="auto" w:sz="4" w:space="0"/>
              <w:bottom w:val="single" w:color="auto" w:sz="4" w:space="0"/>
              <w:right w:val="single" w:color="auto" w:sz="4" w:space="0"/>
            </w:tcBorders>
            <w:noWrap w:val="0"/>
            <w:vAlign w:val="center"/>
          </w:tcPr>
          <w:p w14:paraId="45A6CF2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2C9A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008" w:type="pct"/>
            <w:vMerge w:val="continue"/>
            <w:tcBorders>
              <w:top w:val="single" w:color="auto" w:sz="4" w:space="0"/>
              <w:left w:val="single" w:color="auto" w:sz="4" w:space="0"/>
              <w:bottom w:val="single" w:color="auto" w:sz="4" w:space="0"/>
              <w:right w:val="single" w:color="auto" w:sz="4" w:space="0"/>
            </w:tcBorders>
            <w:noWrap w:val="0"/>
            <w:vAlign w:val="center"/>
          </w:tcPr>
          <w:p w14:paraId="268D3B1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21E2D4F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传  真</w:t>
            </w:r>
          </w:p>
        </w:tc>
        <w:tc>
          <w:tcPr>
            <w:tcW w:w="1472" w:type="pct"/>
            <w:gridSpan w:val="4"/>
            <w:tcBorders>
              <w:top w:val="single" w:color="auto" w:sz="4" w:space="0"/>
              <w:left w:val="single" w:color="auto" w:sz="4" w:space="0"/>
              <w:bottom w:val="single" w:color="auto" w:sz="4" w:space="0"/>
              <w:right w:val="single" w:color="auto" w:sz="4" w:space="0"/>
            </w:tcBorders>
            <w:noWrap w:val="0"/>
            <w:vAlign w:val="center"/>
          </w:tcPr>
          <w:p w14:paraId="5C288C5F">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551180FA">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网 址</w:t>
            </w:r>
          </w:p>
        </w:tc>
        <w:tc>
          <w:tcPr>
            <w:tcW w:w="1367" w:type="pct"/>
            <w:gridSpan w:val="3"/>
            <w:tcBorders>
              <w:top w:val="single" w:color="auto" w:sz="4" w:space="0"/>
              <w:left w:val="single" w:color="auto" w:sz="4" w:space="0"/>
              <w:bottom w:val="single" w:color="auto" w:sz="4" w:space="0"/>
              <w:right w:val="single" w:color="auto" w:sz="4" w:space="0"/>
            </w:tcBorders>
            <w:noWrap w:val="0"/>
            <w:vAlign w:val="center"/>
          </w:tcPr>
          <w:p w14:paraId="03BCDFD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5C171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1819D62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法定代表人</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2D68C13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姓名</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42625E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735" w:type="pct"/>
            <w:gridSpan w:val="2"/>
            <w:tcBorders>
              <w:top w:val="single" w:color="auto" w:sz="4" w:space="0"/>
              <w:left w:val="single" w:color="auto" w:sz="4" w:space="0"/>
              <w:bottom w:val="single" w:color="auto" w:sz="4" w:space="0"/>
              <w:right w:val="single" w:color="auto" w:sz="4" w:space="0"/>
            </w:tcBorders>
            <w:noWrap w:val="0"/>
            <w:vAlign w:val="center"/>
          </w:tcPr>
          <w:p w14:paraId="2C376C1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技术职称</w:t>
            </w:r>
          </w:p>
        </w:tc>
        <w:tc>
          <w:tcPr>
            <w:tcW w:w="1096" w:type="pct"/>
            <w:gridSpan w:val="3"/>
            <w:tcBorders>
              <w:top w:val="single" w:color="auto" w:sz="4" w:space="0"/>
              <w:left w:val="single" w:color="auto" w:sz="4" w:space="0"/>
              <w:bottom w:val="single" w:color="auto" w:sz="4" w:space="0"/>
              <w:right w:val="single" w:color="auto" w:sz="4" w:space="0"/>
            </w:tcBorders>
            <w:noWrap w:val="0"/>
            <w:vAlign w:val="center"/>
          </w:tcPr>
          <w:p w14:paraId="3D5CC3BA">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01" w:type="pct"/>
            <w:tcBorders>
              <w:top w:val="single" w:color="auto" w:sz="4" w:space="0"/>
              <w:left w:val="single" w:color="auto" w:sz="4" w:space="0"/>
              <w:bottom w:val="single" w:color="auto" w:sz="4" w:space="0"/>
              <w:right w:val="single" w:color="auto" w:sz="4" w:space="0"/>
            </w:tcBorders>
            <w:noWrap w:val="0"/>
            <w:vAlign w:val="center"/>
          </w:tcPr>
          <w:p w14:paraId="5C7528C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电话</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7A5570F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6629A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7CA10A2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技术负责人</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438664F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姓名</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438D63E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735" w:type="pct"/>
            <w:gridSpan w:val="2"/>
            <w:tcBorders>
              <w:top w:val="single" w:color="auto" w:sz="4" w:space="0"/>
              <w:left w:val="single" w:color="auto" w:sz="4" w:space="0"/>
              <w:bottom w:val="single" w:color="auto" w:sz="4" w:space="0"/>
              <w:right w:val="single" w:color="auto" w:sz="4" w:space="0"/>
            </w:tcBorders>
            <w:noWrap w:val="0"/>
            <w:vAlign w:val="center"/>
          </w:tcPr>
          <w:p w14:paraId="5659EA0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技术职称</w:t>
            </w:r>
          </w:p>
        </w:tc>
        <w:tc>
          <w:tcPr>
            <w:tcW w:w="1096" w:type="pct"/>
            <w:gridSpan w:val="3"/>
            <w:tcBorders>
              <w:top w:val="single" w:color="auto" w:sz="4" w:space="0"/>
              <w:left w:val="single" w:color="auto" w:sz="4" w:space="0"/>
              <w:bottom w:val="single" w:color="auto" w:sz="4" w:space="0"/>
              <w:right w:val="single" w:color="auto" w:sz="4" w:space="0"/>
            </w:tcBorders>
            <w:noWrap w:val="0"/>
            <w:vAlign w:val="center"/>
          </w:tcPr>
          <w:p w14:paraId="0CF7D93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01" w:type="pct"/>
            <w:tcBorders>
              <w:top w:val="single" w:color="auto" w:sz="4" w:space="0"/>
              <w:left w:val="single" w:color="auto" w:sz="4" w:space="0"/>
              <w:bottom w:val="single" w:color="auto" w:sz="4" w:space="0"/>
              <w:right w:val="single" w:color="auto" w:sz="4" w:space="0"/>
            </w:tcBorders>
            <w:noWrap w:val="0"/>
            <w:vAlign w:val="center"/>
          </w:tcPr>
          <w:p w14:paraId="4AF5B7A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电话</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4CBA9A7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42733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657BB61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成立时间</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5219F93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2913" w:type="pct"/>
            <w:gridSpan w:val="7"/>
            <w:tcBorders>
              <w:top w:val="single" w:color="auto" w:sz="4" w:space="0"/>
              <w:left w:val="single" w:color="auto" w:sz="4" w:space="0"/>
              <w:bottom w:val="single" w:color="auto" w:sz="4" w:space="0"/>
              <w:right w:val="single" w:color="auto" w:sz="4" w:space="0"/>
            </w:tcBorders>
            <w:noWrap w:val="0"/>
            <w:vAlign w:val="center"/>
          </w:tcPr>
          <w:p w14:paraId="56CAE1E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员工总人数：</w:t>
            </w:r>
          </w:p>
        </w:tc>
      </w:tr>
      <w:tr w14:paraId="15494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2E27E9DA">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企业资质等级</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3CE7A52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90" w:type="pct"/>
            <w:vMerge w:val="restart"/>
            <w:tcBorders>
              <w:top w:val="single" w:color="auto" w:sz="4" w:space="0"/>
              <w:left w:val="single" w:color="auto" w:sz="4" w:space="0"/>
              <w:right w:val="single" w:color="auto" w:sz="4" w:space="0"/>
            </w:tcBorders>
            <w:noWrap w:val="0"/>
            <w:vAlign w:val="center"/>
          </w:tcPr>
          <w:p w14:paraId="060B475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其中</w:t>
            </w:r>
          </w:p>
        </w:tc>
        <w:tc>
          <w:tcPr>
            <w:tcW w:w="1341" w:type="pct"/>
            <w:gridSpan w:val="4"/>
            <w:tcBorders>
              <w:top w:val="single" w:color="auto" w:sz="4" w:space="0"/>
              <w:left w:val="single" w:color="auto" w:sz="4" w:space="0"/>
              <w:bottom w:val="single" w:color="auto" w:sz="4" w:space="0"/>
              <w:right w:val="single" w:color="auto" w:sz="4" w:space="0"/>
            </w:tcBorders>
            <w:noWrap w:val="0"/>
            <w:vAlign w:val="center"/>
          </w:tcPr>
          <w:p w14:paraId="29CB458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项目经理</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65BC8FE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026BF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0EA5F42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注册资金</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668262F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90" w:type="pct"/>
            <w:vMerge w:val="continue"/>
            <w:tcBorders>
              <w:left w:val="single" w:color="auto" w:sz="4" w:space="0"/>
              <w:right w:val="single" w:color="auto" w:sz="4" w:space="0"/>
            </w:tcBorders>
            <w:noWrap w:val="0"/>
            <w:vAlign w:val="center"/>
          </w:tcPr>
          <w:p w14:paraId="748D9A9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1341" w:type="pct"/>
            <w:gridSpan w:val="4"/>
            <w:tcBorders>
              <w:top w:val="single" w:color="auto" w:sz="4" w:space="0"/>
              <w:left w:val="single" w:color="auto" w:sz="4" w:space="0"/>
              <w:bottom w:val="single" w:color="auto" w:sz="4" w:space="0"/>
              <w:right w:val="single" w:color="auto" w:sz="4" w:space="0"/>
            </w:tcBorders>
            <w:noWrap w:val="0"/>
            <w:vAlign w:val="center"/>
          </w:tcPr>
          <w:p w14:paraId="5B08BD9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高级职称人员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0489538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7B8CA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7F87212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开户银行</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397BA4D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90" w:type="pct"/>
            <w:vMerge w:val="continue"/>
            <w:tcBorders>
              <w:left w:val="single" w:color="auto" w:sz="4" w:space="0"/>
              <w:right w:val="single" w:color="auto" w:sz="4" w:space="0"/>
            </w:tcBorders>
            <w:noWrap w:val="0"/>
            <w:vAlign w:val="center"/>
          </w:tcPr>
          <w:p w14:paraId="2143627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1341" w:type="pct"/>
            <w:gridSpan w:val="4"/>
            <w:tcBorders>
              <w:top w:val="single" w:color="auto" w:sz="4" w:space="0"/>
              <w:left w:val="single" w:color="auto" w:sz="4" w:space="0"/>
              <w:bottom w:val="single" w:color="auto" w:sz="4" w:space="0"/>
              <w:right w:val="single" w:color="auto" w:sz="4" w:space="0"/>
            </w:tcBorders>
            <w:noWrap w:val="0"/>
            <w:vAlign w:val="center"/>
          </w:tcPr>
          <w:p w14:paraId="67590DC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中级职称人员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5C61736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5F273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46CC353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账号</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109D8B0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90" w:type="pct"/>
            <w:vMerge w:val="continue"/>
            <w:tcBorders>
              <w:left w:val="single" w:color="auto" w:sz="4" w:space="0"/>
              <w:bottom w:val="single" w:color="auto" w:sz="4" w:space="0"/>
              <w:right w:val="single" w:color="auto" w:sz="4" w:space="0"/>
            </w:tcBorders>
            <w:noWrap w:val="0"/>
            <w:vAlign w:val="center"/>
          </w:tcPr>
          <w:p w14:paraId="4B1798F7">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1341" w:type="pct"/>
            <w:gridSpan w:val="4"/>
            <w:tcBorders>
              <w:top w:val="single" w:color="auto" w:sz="4" w:space="0"/>
              <w:left w:val="single" w:color="auto" w:sz="4" w:space="0"/>
              <w:bottom w:val="single" w:color="auto" w:sz="4" w:space="0"/>
              <w:right w:val="single" w:color="auto" w:sz="4" w:space="0"/>
            </w:tcBorders>
            <w:noWrap w:val="0"/>
            <w:vAlign w:val="center"/>
          </w:tcPr>
          <w:p w14:paraId="0A9AFC8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初级职称人员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59276DC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0B16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8" w:hRule="atLeast"/>
          <w:jc w:val="center"/>
        </w:trPr>
        <w:tc>
          <w:tcPr>
            <w:tcW w:w="1008" w:type="pct"/>
            <w:tcBorders>
              <w:top w:val="single" w:color="auto" w:sz="4" w:space="0"/>
              <w:left w:val="single" w:color="auto" w:sz="4" w:space="0"/>
              <w:right w:val="single" w:color="auto" w:sz="4" w:space="0"/>
            </w:tcBorders>
            <w:noWrap w:val="0"/>
            <w:vAlign w:val="center"/>
          </w:tcPr>
          <w:p w14:paraId="2527643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经营范围</w:t>
            </w:r>
          </w:p>
        </w:tc>
        <w:tc>
          <w:tcPr>
            <w:tcW w:w="3991" w:type="pct"/>
            <w:gridSpan w:val="9"/>
            <w:tcBorders>
              <w:top w:val="single" w:color="auto" w:sz="4" w:space="0"/>
              <w:left w:val="single" w:color="auto" w:sz="4" w:space="0"/>
              <w:right w:val="single" w:color="auto" w:sz="4" w:space="0"/>
            </w:tcBorders>
            <w:noWrap w:val="0"/>
            <w:vAlign w:val="center"/>
          </w:tcPr>
          <w:p w14:paraId="220F922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46C38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5F6ED4DA">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备注</w:t>
            </w:r>
          </w:p>
        </w:tc>
        <w:tc>
          <w:tcPr>
            <w:tcW w:w="3991" w:type="pct"/>
            <w:gridSpan w:val="9"/>
            <w:tcBorders>
              <w:top w:val="single" w:color="auto" w:sz="4" w:space="0"/>
              <w:left w:val="single" w:color="auto" w:sz="4" w:space="0"/>
              <w:bottom w:val="single" w:color="auto" w:sz="4" w:space="0"/>
              <w:right w:val="single" w:color="auto" w:sz="4" w:space="0"/>
            </w:tcBorders>
            <w:noWrap w:val="0"/>
            <w:vAlign w:val="center"/>
          </w:tcPr>
          <w:p w14:paraId="23DF244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bl>
    <w:p w14:paraId="471E1E73">
      <w:pPr>
        <w:pageBreakBefore w:val="0"/>
        <w:kinsoku/>
        <w:wordWrap w:val="0"/>
        <w:overflowPunct/>
        <w:topLinePunct/>
        <w:bidi w:val="0"/>
        <w:spacing w:line="440" w:lineRule="exact"/>
        <w:rPr>
          <w:i w:val="0"/>
          <w:iCs w:val="0"/>
          <w:color w:val="auto"/>
          <w:sz w:val="20"/>
        </w:rPr>
        <w:sectPr>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rFonts w:hint="eastAsia"/>
          <w:b w:val="0"/>
          <w:bCs/>
          <w:color w:val="auto"/>
          <w:sz w:val="18"/>
          <w:szCs w:val="18"/>
        </w:rPr>
        <w:t>注：本表后附营业执照（联合体各方）、资质证书（联合体各方）、安全生产许可证（施工企业）等资料的扫描件。</w:t>
      </w:r>
    </w:p>
    <w:p w14:paraId="62EE676A">
      <w:pPr>
        <w:pStyle w:val="4"/>
        <w:pageBreakBefore w:val="0"/>
        <w:kinsoku/>
        <w:wordWrap w:val="0"/>
        <w:overflowPunct/>
        <w:bidi w:val="0"/>
        <w:ind w:firstLine="118"/>
        <w:rPr>
          <w:rFonts w:ascii="Times New Roman" w:hAnsi="Times New Roman"/>
          <w:i w:val="0"/>
          <w:iCs w:val="0"/>
          <w:color w:val="auto"/>
          <w:sz w:val="24"/>
          <w:szCs w:val="24"/>
        </w:rPr>
      </w:pPr>
      <w:bookmarkStart w:id="3276" w:name="_Toc3924"/>
      <w:bookmarkStart w:id="3277" w:name="_Toc11709"/>
      <w:bookmarkStart w:id="3278" w:name="_Toc152045809"/>
      <w:bookmarkStart w:id="3279" w:name="_Toc29254"/>
      <w:bookmarkStart w:id="3280" w:name="_Toc247514301"/>
      <w:bookmarkStart w:id="3281" w:name="_Toc30779"/>
      <w:bookmarkStart w:id="3282" w:name="_Toc152042598"/>
      <w:bookmarkStart w:id="3283" w:name="_Toc30727"/>
      <w:bookmarkStart w:id="3284" w:name="_Toc247527849"/>
      <w:bookmarkStart w:id="3285" w:name="_Toc144974877"/>
      <w:bookmarkStart w:id="3286" w:name="_Toc16279"/>
      <w:r>
        <w:rPr>
          <w:rFonts w:ascii="Times New Roman" w:hAnsi="Times New Roman"/>
          <w:i w:val="0"/>
          <w:iCs w:val="0"/>
          <w:color w:val="auto"/>
          <w:sz w:val="24"/>
          <w:szCs w:val="24"/>
        </w:rPr>
        <w:t>（二）近年财务状况表</w:t>
      </w:r>
      <w:bookmarkEnd w:id="3276"/>
      <w:bookmarkEnd w:id="3277"/>
      <w:bookmarkEnd w:id="3278"/>
      <w:bookmarkEnd w:id="3279"/>
      <w:bookmarkEnd w:id="3280"/>
      <w:bookmarkEnd w:id="3281"/>
      <w:bookmarkEnd w:id="3282"/>
      <w:bookmarkEnd w:id="3283"/>
      <w:bookmarkEnd w:id="3284"/>
      <w:bookmarkEnd w:id="3285"/>
      <w:bookmarkEnd w:id="3286"/>
    </w:p>
    <w:p w14:paraId="279555D5">
      <w:pPr>
        <w:pageBreakBefore w:val="0"/>
        <w:kinsoku/>
        <w:wordWrap w:val="0"/>
        <w:overflowPunct/>
        <w:topLinePunct/>
        <w:bidi w:val="0"/>
        <w:spacing w:line="440" w:lineRule="exact"/>
        <w:jc w:val="center"/>
        <w:rPr>
          <w:rFonts w:eastAsia="黑体"/>
          <w:i w:val="0"/>
          <w:iCs w:val="0"/>
          <w:color w:val="auto"/>
          <w:sz w:val="20"/>
          <w:szCs w:val="20"/>
        </w:rPr>
      </w:pPr>
    </w:p>
    <w:p w14:paraId="42689E4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400" w:firstLineChars="200"/>
        <w:jc w:val="both"/>
        <w:textAlignment w:val="auto"/>
        <w:outlineLvl w:val="2"/>
        <w:rPr>
          <w:rStyle w:val="49"/>
          <w:i w:val="0"/>
          <w:iCs w:val="0"/>
          <w:color w:val="auto"/>
        </w:rPr>
      </w:pPr>
      <w:r>
        <w:rPr>
          <w:rFonts w:eastAsia="黑体"/>
          <w:i w:val="0"/>
          <w:iCs w:val="0"/>
          <w:color w:val="auto"/>
          <w:sz w:val="20"/>
          <w:szCs w:val="20"/>
        </w:rPr>
        <w:br w:type="page"/>
      </w:r>
      <w:bookmarkStart w:id="3287" w:name="_Toc25177"/>
      <w:bookmarkStart w:id="3288" w:name="_Toc19634"/>
      <w:bookmarkStart w:id="3289" w:name="_Toc144974879"/>
      <w:bookmarkStart w:id="3290" w:name="_Toc152042600"/>
      <w:bookmarkStart w:id="3291" w:name="_Toc247527851"/>
      <w:bookmarkStart w:id="3292" w:name="_Toc152045811"/>
      <w:bookmarkStart w:id="3293" w:name="_Toc247514303"/>
      <w:bookmarkStart w:id="3294" w:name="_Toc18715"/>
      <w:bookmarkStart w:id="3295" w:name="_Toc31749"/>
      <w:bookmarkStart w:id="3296" w:name="_Toc32172"/>
      <w:bookmarkStart w:id="3297" w:name="_Toc433"/>
      <w:r>
        <w:rPr>
          <w:rStyle w:val="49"/>
          <w:i w:val="0"/>
          <w:iCs w:val="0"/>
          <w:color w:val="auto"/>
        </w:rPr>
        <w:t>（三）近年完成的类似项目情况表</w:t>
      </w:r>
      <w:r>
        <w:rPr>
          <w:rStyle w:val="49"/>
          <w:rFonts w:hint="eastAsia"/>
          <w:i w:val="0"/>
          <w:iCs w:val="0"/>
          <w:color w:val="auto"/>
        </w:rPr>
        <w:t>（工程总承包项目）</w:t>
      </w:r>
      <w:bookmarkEnd w:id="3287"/>
      <w:bookmarkEnd w:id="3288"/>
    </w:p>
    <w:p w14:paraId="600101A9">
      <w:pPr>
        <w:pageBreakBefore w:val="0"/>
        <w:kinsoku/>
        <w:wordWrap w:val="0"/>
        <w:overflowPunct/>
        <w:bidi w:val="0"/>
        <w:spacing w:line="440" w:lineRule="exact"/>
        <w:jc w:val="center"/>
        <w:rPr>
          <w:rFonts w:eastAsia="黑体"/>
          <w:i w:val="0"/>
          <w:iCs w:val="0"/>
          <w:color w:val="auto"/>
          <w:sz w:val="23"/>
          <w:szCs w:val="23"/>
        </w:rPr>
      </w:pP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2455"/>
        <w:gridCol w:w="2134"/>
        <w:gridCol w:w="2644"/>
      </w:tblGrid>
      <w:tr w14:paraId="1EE4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pct"/>
            <w:noWrap w:val="0"/>
            <w:vAlign w:val="center"/>
          </w:tcPr>
          <w:p w14:paraId="5790C96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项目名称</w:t>
            </w:r>
          </w:p>
        </w:tc>
        <w:tc>
          <w:tcPr>
            <w:tcW w:w="3668" w:type="pct"/>
            <w:gridSpan w:val="3"/>
            <w:noWrap w:val="0"/>
            <w:vAlign w:val="top"/>
          </w:tcPr>
          <w:p w14:paraId="1AD9B71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highlight w:val="black"/>
              </w:rPr>
            </w:pPr>
          </w:p>
        </w:tc>
      </w:tr>
      <w:tr w14:paraId="1618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31" w:type="pct"/>
            <w:noWrap w:val="0"/>
            <w:vAlign w:val="center"/>
          </w:tcPr>
          <w:p w14:paraId="78DD740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项目所在地</w:t>
            </w:r>
          </w:p>
        </w:tc>
        <w:tc>
          <w:tcPr>
            <w:tcW w:w="3668" w:type="pct"/>
            <w:gridSpan w:val="3"/>
            <w:noWrap w:val="0"/>
            <w:vAlign w:val="top"/>
          </w:tcPr>
          <w:p w14:paraId="4AD9DBC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7597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31" w:type="pct"/>
            <w:noWrap w:val="0"/>
            <w:vAlign w:val="center"/>
          </w:tcPr>
          <w:p w14:paraId="78852B5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发包人名称</w:t>
            </w:r>
          </w:p>
        </w:tc>
        <w:tc>
          <w:tcPr>
            <w:tcW w:w="3668" w:type="pct"/>
            <w:gridSpan w:val="3"/>
            <w:noWrap w:val="0"/>
            <w:vAlign w:val="top"/>
          </w:tcPr>
          <w:p w14:paraId="2DC4E33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6AC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31" w:type="pct"/>
            <w:noWrap w:val="0"/>
            <w:vAlign w:val="center"/>
          </w:tcPr>
          <w:p w14:paraId="3213934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发包人地址</w:t>
            </w:r>
          </w:p>
        </w:tc>
        <w:tc>
          <w:tcPr>
            <w:tcW w:w="3668" w:type="pct"/>
            <w:gridSpan w:val="3"/>
            <w:noWrap w:val="0"/>
            <w:vAlign w:val="top"/>
          </w:tcPr>
          <w:p w14:paraId="1E4D2D6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57F8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31" w:type="pct"/>
            <w:noWrap w:val="0"/>
            <w:vAlign w:val="center"/>
          </w:tcPr>
          <w:p w14:paraId="1C5E6A8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发包人电话</w:t>
            </w:r>
          </w:p>
        </w:tc>
        <w:tc>
          <w:tcPr>
            <w:tcW w:w="3668" w:type="pct"/>
            <w:gridSpan w:val="3"/>
            <w:noWrap w:val="0"/>
            <w:vAlign w:val="top"/>
          </w:tcPr>
          <w:p w14:paraId="4A7B416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B2A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31" w:type="pct"/>
            <w:noWrap w:val="0"/>
            <w:vAlign w:val="center"/>
          </w:tcPr>
          <w:p w14:paraId="01839BE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合同价格</w:t>
            </w:r>
          </w:p>
        </w:tc>
        <w:tc>
          <w:tcPr>
            <w:tcW w:w="3668" w:type="pct"/>
            <w:gridSpan w:val="3"/>
            <w:noWrap w:val="0"/>
            <w:vAlign w:val="top"/>
          </w:tcPr>
          <w:p w14:paraId="6572D8C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A92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31" w:type="pct"/>
            <w:noWrap w:val="0"/>
            <w:vAlign w:val="center"/>
          </w:tcPr>
          <w:p w14:paraId="5F5C6A9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开工日期</w:t>
            </w:r>
          </w:p>
        </w:tc>
        <w:tc>
          <w:tcPr>
            <w:tcW w:w="3668" w:type="pct"/>
            <w:gridSpan w:val="3"/>
            <w:noWrap w:val="0"/>
            <w:vAlign w:val="top"/>
          </w:tcPr>
          <w:p w14:paraId="2223CB63">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6473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31" w:type="pct"/>
            <w:noWrap w:val="0"/>
            <w:vAlign w:val="center"/>
          </w:tcPr>
          <w:p w14:paraId="6330521F">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竣工日期</w:t>
            </w:r>
          </w:p>
        </w:tc>
        <w:tc>
          <w:tcPr>
            <w:tcW w:w="3668" w:type="pct"/>
            <w:gridSpan w:val="3"/>
            <w:noWrap w:val="0"/>
            <w:vAlign w:val="top"/>
          </w:tcPr>
          <w:p w14:paraId="29D3D3C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50B5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31" w:type="pct"/>
            <w:noWrap w:val="0"/>
            <w:vAlign w:val="center"/>
          </w:tcPr>
          <w:p w14:paraId="3EE85637">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承担的工作</w:t>
            </w:r>
          </w:p>
        </w:tc>
        <w:tc>
          <w:tcPr>
            <w:tcW w:w="3668" w:type="pct"/>
            <w:gridSpan w:val="3"/>
            <w:noWrap w:val="0"/>
            <w:vAlign w:val="top"/>
          </w:tcPr>
          <w:p w14:paraId="1BD2957F">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4207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31" w:type="pct"/>
            <w:noWrap w:val="0"/>
            <w:vAlign w:val="center"/>
          </w:tcPr>
          <w:p w14:paraId="67C9B1F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工程质量</w:t>
            </w:r>
          </w:p>
        </w:tc>
        <w:tc>
          <w:tcPr>
            <w:tcW w:w="3668" w:type="pct"/>
            <w:gridSpan w:val="3"/>
            <w:noWrap w:val="0"/>
            <w:vAlign w:val="top"/>
          </w:tcPr>
          <w:p w14:paraId="3A586D1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28C9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31" w:type="pct"/>
            <w:noWrap w:val="0"/>
            <w:vAlign w:val="center"/>
          </w:tcPr>
          <w:p w14:paraId="27047C6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项目经理</w:t>
            </w:r>
          </w:p>
        </w:tc>
        <w:tc>
          <w:tcPr>
            <w:tcW w:w="1245" w:type="pct"/>
            <w:noWrap w:val="0"/>
            <w:vAlign w:val="top"/>
          </w:tcPr>
          <w:p w14:paraId="10F49E5E">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c>
          <w:tcPr>
            <w:tcW w:w="1082" w:type="pct"/>
            <w:vMerge w:val="restart"/>
            <w:noWrap w:val="0"/>
            <w:vAlign w:val="center"/>
          </w:tcPr>
          <w:p w14:paraId="72C0C8F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rFonts w:hint="eastAsia" w:eastAsia="宋体"/>
                <w:i w:val="0"/>
                <w:iCs w:val="0"/>
                <w:color w:val="auto"/>
                <w:sz w:val="24"/>
                <w:szCs w:val="24"/>
                <w:lang w:eastAsia="zh-CN"/>
              </w:rPr>
            </w:pPr>
            <w:r>
              <w:rPr>
                <w:rFonts w:hint="eastAsia"/>
                <w:i w:val="0"/>
                <w:iCs w:val="0"/>
                <w:color w:val="auto"/>
                <w:sz w:val="24"/>
                <w:szCs w:val="24"/>
                <w:lang w:eastAsia="zh-CN"/>
              </w:rPr>
              <w:t>设计负责人</w:t>
            </w:r>
          </w:p>
        </w:tc>
        <w:tc>
          <w:tcPr>
            <w:tcW w:w="1340" w:type="pct"/>
            <w:vMerge w:val="restart"/>
            <w:noWrap w:val="0"/>
            <w:vAlign w:val="center"/>
          </w:tcPr>
          <w:p w14:paraId="585FE94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41C1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31" w:type="pct"/>
            <w:noWrap w:val="0"/>
            <w:vAlign w:val="center"/>
          </w:tcPr>
          <w:p w14:paraId="2C0386B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技术负责人</w:t>
            </w:r>
          </w:p>
        </w:tc>
        <w:tc>
          <w:tcPr>
            <w:tcW w:w="1245" w:type="pct"/>
            <w:noWrap w:val="0"/>
            <w:vAlign w:val="top"/>
          </w:tcPr>
          <w:p w14:paraId="31C48B7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c>
          <w:tcPr>
            <w:tcW w:w="1082" w:type="pct"/>
            <w:vMerge w:val="continue"/>
            <w:noWrap w:val="0"/>
            <w:vAlign w:val="top"/>
          </w:tcPr>
          <w:p w14:paraId="1600EEE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rFonts w:hint="eastAsia" w:eastAsia="宋体"/>
                <w:i w:val="0"/>
                <w:iCs w:val="0"/>
                <w:color w:val="auto"/>
                <w:sz w:val="24"/>
                <w:szCs w:val="24"/>
                <w:lang w:eastAsia="zh-CN"/>
              </w:rPr>
            </w:pPr>
          </w:p>
        </w:tc>
        <w:tc>
          <w:tcPr>
            <w:tcW w:w="1340" w:type="pct"/>
            <w:vMerge w:val="continue"/>
            <w:noWrap w:val="0"/>
            <w:vAlign w:val="top"/>
          </w:tcPr>
          <w:p w14:paraId="3C29FFE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05F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31" w:type="pct"/>
            <w:noWrap w:val="0"/>
            <w:vAlign w:val="center"/>
          </w:tcPr>
          <w:p w14:paraId="6A4BDD4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项目描述</w:t>
            </w:r>
          </w:p>
        </w:tc>
        <w:tc>
          <w:tcPr>
            <w:tcW w:w="3668" w:type="pct"/>
            <w:gridSpan w:val="3"/>
            <w:noWrap w:val="0"/>
            <w:vAlign w:val="top"/>
          </w:tcPr>
          <w:p w14:paraId="5FDEF86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2B336F1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5987EE7F">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0A74270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768072E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095074C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3C5985D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0C5D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31" w:type="pct"/>
            <w:noWrap w:val="0"/>
            <w:vAlign w:val="center"/>
          </w:tcPr>
          <w:p w14:paraId="4B6553A3">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备注</w:t>
            </w:r>
          </w:p>
        </w:tc>
        <w:tc>
          <w:tcPr>
            <w:tcW w:w="3668" w:type="pct"/>
            <w:gridSpan w:val="3"/>
            <w:noWrap w:val="0"/>
            <w:vAlign w:val="top"/>
          </w:tcPr>
          <w:p w14:paraId="0CB3669E">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bl>
    <w:p w14:paraId="5AC1DA75">
      <w:pPr>
        <w:keepNext w:val="0"/>
        <w:keepLines w:val="0"/>
        <w:pageBreakBefore w:val="0"/>
        <w:widowControl w:val="0"/>
        <w:kinsoku/>
        <w:wordWrap w:val="0"/>
        <w:overflowPunct/>
        <w:topLinePunct w:val="0"/>
        <w:autoSpaceDE/>
        <w:autoSpaceDN/>
        <w:bidi w:val="0"/>
        <w:adjustRightInd/>
        <w:snapToGrid/>
        <w:spacing w:line="440" w:lineRule="exact"/>
        <w:textAlignment w:val="auto"/>
        <w:outlineLvl w:val="2"/>
        <w:rPr>
          <w:rStyle w:val="49"/>
          <w:i w:val="0"/>
          <w:iCs w:val="0"/>
          <w:color w:val="auto"/>
        </w:rPr>
      </w:pPr>
      <w:r>
        <w:rPr>
          <w:rStyle w:val="49"/>
          <w:i w:val="0"/>
          <w:iCs w:val="0"/>
          <w:color w:val="auto"/>
        </w:rPr>
        <w:br w:type="page"/>
      </w:r>
      <w:bookmarkStart w:id="3298" w:name="_Toc7327"/>
      <w:bookmarkStart w:id="3299" w:name="_Toc13339"/>
      <w:r>
        <w:rPr>
          <w:rStyle w:val="49"/>
          <w:i w:val="0"/>
          <w:iCs w:val="0"/>
          <w:color w:val="auto"/>
        </w:rPr>
        <w:t>（四）正在实施的和新承接的项目情况表</w:t>
      </w:r>
      <w:bookmarkEnd w:id="3289"/>
      <w:bookmarkEnd w:id="3290"/>
      <w:bookmarkEnd w:id="3291"/>
      <w:bookmarkEnd w:id="3292"/>
      <w:bookmarkEnd w:id="3293"/>
      <w:bookmarkEnd w:id="3294"/>
      <w:bookmarkEnd w:id="3295"/>
      <w:bookmarkEnd w:id="3298"/>
      <w:bookmarkEnd w:id="3299"/>
    </w:p>
    <w:bookmarkEnd w:id="3296"/>
    <w:bookmarkEnd w:id="3297"/>
    <w:p w14:paraId="7B2BC590">
      <w:pPr>
        <w:pageBreakBefore w:val="0"/>
        <w:kinsoku/>
        <w:wordWrap w:val="0"/>
        <w:overflowPunct/>
        <w:bidi w:val="0"/>
        <w:spacing w:line="440" w:lineRule="exact"/>
        <w:rPr>
          <w:rFonts w:eastAsia="黑体"/>
          <w:i w:val="0"/>
          <w:iCs w:val="0"/>
          <w:color w:val="auto"/>
          <w:sz w:val="20"/>
          <w:szCs w:val="20"/>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407"/>
      </w:tblGrid>
      <w:tr w14:paraId="5C63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43" w:type="pct"/>
            <w:noWrap w:val="0"/>
            <w:vAlign w:val="center"/>
          </w:tcPr>
          <w:p w14:paraId="3EAEDBC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项目名称</w:t>
            </w:r>
          </w:p>
        </w:tc>
        <w:tc>
          <w:tcPr>
            <w:tcW w:w="3756" w:type="pct"/>
            <w:noWrap w:val="0"/>
            <w:vAlign w:val="top"/>
          </w:tcPr>
          <w:p w14:paraId="19251DD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6D43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43" w:type="pct"/>
            <w:noWrap w:val="0"/>
            <w:vAlign w:val="center"/>
          </w:tcPr>
          <w:p w14:paraId="463F0D7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项目所在地</w:t>
            </w:r>
          </w:p>
        </w:tc>
        <w:tc>
          <w:tcPr>
            <w:tcW w:w="3756" w:type="pct"/>
            <w:noWrap w:val="0"/>
            <w:vAlign w:val="top"/>
          </w:tcPr>
          <w:p w14:paraId="41D66F7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0E0B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3" w:type="pct"/>
            <w:noWrap w:val="0"/>
            <w:vAlign w:val="center"/>
          </w:tcPr>
          <w:p w14:paraId="6EC6632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发包人名称</w:t>
            </w:r>
          </w:p>
        </w:tc>
        <w:tc>
          <w:tcPr>
            <w:tcW w:w="3756" w:type="pct"/>
            <w:noWrap w:val="0"/>
            <w:vAlign w:val="top"/>
          </w:tcPr>
          <w:p w14:paraId="460BDC8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4B93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43" w:type="pct"/>
            <w:noWrap w:val="0"/>
            <w:vAlign w:val="center"/>
          </w:tcPr>
          <w:p w14:paraId="6AA199A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发包人地址</w:t>
            </w:r>
          </w:p>
        </w:tc>
        <w:tc>
          <w:tcPr>
            <w:tcW w:w="3756" w:type="pct"/>
            <w:noWrap w:val="0"/>
            <w:vAlign w:val="top"/>
          </w:tcPr>
          <w:p w14:paraId="6769AF6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7DA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43" w:type="pct"/>
            <w:noWrap w:val="0"/>
            <w:vAlign w:val="center"/>
          </w:tcPr>
          <w:p w14:paraId="73E460E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发包人电话</w:t>
            </w:r>
          </w:p>
        </w:tc>
        <w:tc>
          <w:tcPr>
            <w:tcW w:w="3756" w:type="pct"/>
            <w:noWrap w:val="0"/>
            <w:vAlign w:val="top"/>
          </w:tcPr>
          <w:p w14:paraId="236EADCA">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B29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43" w:type="pct"/>
            <w:noWrap w:val="0"/>
            <w:vAlign w:val="center"/>
          </w:tcPr>
          <w:p w14:paraId="0C9242A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签约合同价</w:t>
            </w:r>
          </w:p>
        </w:tc>
        <w:tc>
          <w:tcPr>
            <w:tcW w:w="3756" w:type="pct"/>
            <w:noWrap w:val="0"/>
            <w:vAlign w:val="top"/>
          </w:tcPr>
          <w:p w14:paraId="201A0F8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262D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43" w:type="pct"/>
            <w:noWrap w:val="0"/>
            <w:vAlign w:val="center"/>
          </w:tcPr>
          <w:p w14:paraId="30DCAFD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开工日期</w:t>
            </w:r>
          </w:p>
        </w:tc>
        <w:tc>
          <w:tcPr>
            <w:tcW w:w="3756" w:type="pct"/>
            <w:noWrap w:val="0"/>
            <w:vAlign w:val="top"/>
          </w:tcPr>
          <w:p w14:paraId="68EFB257">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6FB2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43" w:type="pct"/>
            <w:noWrap w:val="0"/>
            <w:vAlign w:val="center"/>
          </w:tcPr>
          <w:p w14:paraId="0368F023">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计划竣工日期</w:t>
            </w:r>
          </w:p>
        </w:tc>
        <w:tc>
          <w:tcPr>
            <w:tcW w:w="3756" w:type="pct"/>
            <w:noWrap w:val="0"/>
            <w:vAlign w:val="top"/>
          </w:tcPr>
          <w:p w14:paraId="776CF3D3">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3C7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43" w:type="pct"/>
            <w:noWrap w:val="0"/>
            <w:vAlign w:val="center"/>
          </w:tcPr>
          <w:p w14:paraId="66F2C4E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承担的工作</w:t>
            </w:r>
          </w:p>
        </w:tc>
        <w:tc>
          <w:tcPr>
            <w:tcW w:w="3756" w:type="pct"/>
            <w:noWrap w:val="0"/>
            <w:vAlign w:val="top"/>
          </w:tcPr>
          <w:p w14:paraId="31D5068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4EF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43" w:type="pct"/>
            <w:noWrap w:val="0"/>
            <w:vAlign w:val="center"/>
          </w:tcPr>
          <w:p w14:paraId="79CFE31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工程质量</w:t>
            </w:r>
          </w:p>
        </w:tc>
        <w:tc>
          <w:tcPr>
            <w:tcW w:w="3756" w:type="pct"/>
            <w:noWrap w:val="0"/>
            <w:vAlign w:val="top"/>
          </w:tcPr>
          <w:p w14:paraId="50260D9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5318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43" w:type="pct"/>
            <w:noWrap w:val="0"/>
            <w:vAlign w:val="center"/>
          </w:tcPr>
          <w:p w14:paraId="52FA071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项目经理</w:t>
            </w:r>
          </w:p>
        </w:tc>
        <w:tc>
          <w:tcPr>
            <w:tcW w:w="3756" w:type="pct"/>
            <w:noWrap w:val="0"/>
            <w:vAlign w:val="top"/>
          </w:tcPr>
          <w:p w14:paraId="57AA70D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C26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43" w:type="pct"/>
            <w:noWrap w:val="0"/>
            <w:vAlign w:val="center"/>
          </w:tcPr>
          <w:p w14:paraId="4970B01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技术负责人</w:t>
            </w:r>
          </w:p>
        </w:tc>
        <w:tc>
          <w:tcPr>
            <w:tcW w:w="3756" w:type="pct"/>
            <w:noWrap w:val="0"/>
            <w:vAlign w:val="top"/>
          </w:tcPr>
          <w:p w14:paraId="78BB9B9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4CCB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43" w:type="pct"/>
            <w:noWrap w:val="0"/>
            <w:vAlign w:val="center"/>
          </w:tcPr>
          <w:p w14:paraId="403B829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项目描述</w:t>
            </w:r>
          </w:p>
        </w:tc>
        <w:tc>
          <w:tcPr>
            <w:tcW w:w="3756" w:type="pct"/>
            <w:noWrap w:val="0"/>
            <w:vAlign w:val="top"/>
          </w:tcPr>
          <w:p w14:paraId="5A6AB5A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1D3F42A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25DF612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1FB15D2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6895EA2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245FAD4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0F7748B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48AE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43" w:type="pct"/>
            <w:noWrap w:val="0"/>
            <w:vAlign w:val="center"/>
          </w:tcPr>
          <w:p w14:paraId="4CEEF72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备注</w:t>
            </w:r>
          </w:p>
        </w:tc>
        <w:tc>
          <w:tcPr>
            <w:tcW w:w="3756" w:type="pct"/>
            <w:noWrap w:val="0"/>
            <w:vAlign w:val="top"/>
          </w:tcPr>
          <w:p w14:paraId="24B6ABD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bl>
    <w:p w14:paraId="2106C67A">
      <w:pPr>
        <w:pageBreakBefore w:val="0"/>
        <w:kinsoku/>
        <w:wordWrap w:val="0"/>
        <w:overflowPunct/>
        <w:bidi w:val="0"/>
        <w:spacing w:line="440" w:lineRule="exact"/>
        <w:rPr>
          <w:i w:val="0"/>
          <w:iCs w:val="0"/>
          <w:color w:val="auto"/>
        </w:rPr>
      </w:pPr>
      <w:bookmarkStart w:id="3300" w:name="_Toc144974880"/>
      <w:bookmarkStart w:id="3301" w:name="_Toc152045812"/>
      <w:bookmarkStart w:id="3302" w:name="_Toc247527852"/>
      <w:bookmarkStart w:id="3303" w:name="_Toc247514304"/>
      <w:bookmarkStart w:id="3304" w:name="_Toc152042601"/>
    </w:p>
    <w:p w14:paraId="602BA62F">
      <w:pPr>
        <w:keepNext w:val="0"/>
        <w:keepLines w:val="0"/>
        <w:pageBreakBefore w:val="0"/>
        <w:widowControl w:val="0"/>
        <w:kinsoku/>
        <w:wordWrap w:val="0"/>
        <w:overflowPunct/>
        <w:topLinePunct w:val="0"/>
        <w:autoSpaceDE/>
        <w:autoSpaceDN/>
        <w:bidi w:val="0"/>
        <w:adjustRightInd/>
        <w:snapToGrid/>
        <w:spacing w:line="440" w:lineRule="exact"/>
        <w:textAlignment w:val="auto"/>
        <w:outlineLvl w:val="2"/>
        <w:rPr>
          <w:rStyle w:val="49"/>
          <w:i w:val="0"/>
          <w:iCs w:val="0"/>
          <w:color w:val="auto"/>
        </w:rPr>
      </w:pPr>
      <w:r>
        <w:rPr>
          <w:i w:val="0"/>
          <w:iCs w:val="0"/>
          <w:color w:val="auto"/>
        </w:rPr>
        <w:br w:type="page"/>
      </w:r>
      <w:bookmarkStart w:id="3305" w:name="_Toc12200"/>
      <w:bookmarkStart w:id="3306" w:name="_Toc21175"/>
      <w:bookmarkStart w:id="3307" w:name="_Toc9662"/>
      <w:bookmarkStart w:id="3308" w:name="_Toc11589"/>
      <w:bookmarkStart w:id="3309" w:name="_Toc15973"/>
      <w:bookmarkStart w:id="3310" w:name="_Toc8180"/>
      <w:r>
        <w:rPr>
          <w:rStyle w:val="49"/>
          <w:i/>
          <w:iCs/>
          <w:color w:val="auto"/>
        </w:rPr>
        <w:t>（五）近年发生的重大诉讼及仲裁情况</w:t>
      </w:r>
      <w:bookmarkEnd w:id="3300"/>
      <w:bookmarkEnd w:id="3301"/>
      <w:bookmarkEnd w:id="3302"/>
      <w:bookmarkEnd w:id="3303"/>
      <w:bookmarkEnd w:id="3304"/>
      <w:bookmarkEnd w:id="3305"/>
      <w:bookmarkEnd w:id="3306"/>
      <w:bookmarkEnd w:id="3307"/>
      <w:bookmarkEnd w:id="3308"/>
    </w:p>
    <w:bookmarkEnd w:id="3309"/>
    <w:bookmarkEnd w:id="3310"/>
    <w:p w14:paraId="092A2992">
      <w:pPr>
        <w:keepNext w:val="0"/>
        <w:keepLines w:val="0"/>
        <w:pageBreakBefore w:val="0"/>
        <w:widowControl w:val="0"/>
        <w:kinsoku/>
        <w:wordWrap w:val="0"/>
        <w:overflowPunct/>
        <w:topLinePunct w:val="0"/>
        <w:autoSpaceDE/>
        <w:autoSpaceDN/>
        <w:bidi w:val="0"/>
        <w:adjustRightInd/>
        <w:snapToGrid/>
        <w:spacing w:line="440" w:lineRule="exact"/>
        <w:textAlignment w:val="auto"/>
        <w:outlineLvl w:val="2"/>
        <w:rPr>
          <w:rStyle w:val="49"/>
          <w:i w:val="0"/>
          <w:iCs w:val="0"/>
          <w:color w:val="auto"/>
        </w:rPr>
      </w:pPr>
      <w:r>
        <w:rPr>
          <w:i w:val="0"/>
          <w:iCs w:val="0"/>
          <w:color w:val="auto"/>
        </w:rPr>
        <w:br w:type="page"/>
      </w:r>
      <w:bookmarkStart w:id="3311" w:name="_Toc144974872"/>
      <w:bookmarkStart w:id="3312" w:name="_Toc21777"/>
      <w:bookmarkStart w:id="3313" w:name="_Toc152042593"/>
      <w:bookmarkStart w:id="3314" w:name="_Toc179632824"/>
      <w:bookmarkStart w:id="3315" w:name="_Toc24293"/>
      <w:bookmarkStart w:id="3316" w:name="_Toc11464"/>
      <w:bookmarkStart w:id="3317" w:name="_Toc152045804"/>
      <w:bookmarkStart w:id="3318" w:name="_Toc14663"/>
      <w:bookmarkStart w:id="3319" w:name="_Toc11908"/>
      <w:bookmarkStart w:id="3320" w:name="_Toc1309"/>
      <w:bookmarkStart w:id="3321" w:name="_Toc247527853"/>
      <w:bookmarkStart w:id="3322" w:name="_Toc247514305"/>
      <w:bookmarkStart w:id="3323" w:name="_Toc144974881"/>
      <w:bookmarkStart w:id="3324" w:name="_Toc152045813"/>
      <w:bookmarkStart w:id="3325" w:name="_Toc247530162"/>
      <w:bookmarkStart w:id="3326" w:name="_Toc152042602"/>
      <w:r>
        <w:rPr>
          <w:rStyle w:val="49"/>
          <w:i w:val="0"/>
          <w:iCs w:val="0"/>
          <w:color w:val="auto"/>
        </w:rPr>
        <w:t>（</w:t>
      </w:r>
      <w:r>
        <w:rPr>
          <w:rStyle w:val="49"/>
          <w:rFonts w:hint="eastAsia"/>
          <w:i w:val="0"/>
          <w:iCs w:val="0"/>
          <w:color w:val="auto"/>
        </w:rPr>
        <w:t>六</w:t>
      </w:r>
      <w:r>
        <w:rPr>
          <w:rStyle w:val="49"/>
          <w:i w:val="0"/>
          <w:iCs w:val="0"/>
          <w:color w:val="auto"/>
        </w:rPr>
        <w:t>）项目管理</w:t>
      </w:r>
      <w:bookmarkEnd w:id="3311"/>
      <w:bookmarkEnd w:id="3312"/>
      <w:bookmarkEnd w:id="3313"/>
      <w:bookmarkEnd w:id="3314"/>
      <w:bookmarkEnd w:id="3315"/>
      <w:bookmarkEnd w:id="3316"/>
      <w:bookmarkEnd w:id="3317"/>
      <w:r>
        <w:rPr>
          <w:rStyle w:val="49"/>
          <w:rFonts w:hint="eastAsia"/>
          <w:i w:val="0"/>
          <w:iCs w:val="0"/>
          <w:color w:val="auto"/>
        </w:rPr>
        <w:t>班子配备情况表</w:t>
      </w:r>
      <w:bookmarkEnd w:id="3318"/>
    </w:p>
    <w:bookmarkEnd w:id="3319"/>
    <w:bookmarkEnd w:id="3320"/>
    <w:p w14:paraId="6B0E0AD5">
      <w:pPr>
        <w:pageBreakBefore w:val="0"/>
        <w:kinsoku/>
        <w:wordWrap w:val="0"/>
        <w:overflowPunct/>
        <w:bidi w:val="0"/>
        <w:spacing w:line="440" w:lineRule="exact"/>
        <w:jc w:val="center"/>
        <w:rPr>
          <w:rFonts w:eastAsia="黑体"/>
          <w:i w:val="0"/>
          <w:iCs w:val="0"/>
          <w:color w:val="auto"/>
          <w:sz w:val="23"/>
          <w:szCs w:val="23"/>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834"/>
        <w:gridCol w:w="831"/>
        <w:gridCol w:w="1251"/>
        <w:gridCol w:w="831"/>
        <w:gridCol w:w="834"/>
        <w:gridCol w:w="831"/>
        <w:gridCol w:w="1300"/>
        <w:gridCol w:w="1152"/>
        <w:gridCol w:w="1247"/>
      </w:tblGrid>
      <w:tr w14:paraId="77DF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restart"/>
            <w:noWrap w:val="0"/>
            <w:vAlign w:val="center"/>
          </w:tcPr>
          <w:p w14:paraId="383D8D9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职务</w:t>
            </w:r>
          </w:p>
        </w:tc>
        <w:tc>
          <w:tcPr>
            <w:tcW w:w="423" w:type="pct"/>
            <w:vMerge w:val="restart"/>
            <w:noWrap w:val="0"/>
            <w:vAlign w:val="center"/>
          </w:tcPr>
          <w:p w14:paraId="0AEDD9E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姓名</w:t>
            </w:r>
          </w:p>
        </w:tc>
        <w:tc>
          <w:tcPr>
            <w:tcW w:w="421" w:type="pct"/>
            <w:vMerge w:val="restart"/>
            <w:noWrap w:val="0"/>
            <w:vAlign w:val="center"/>
          </w:tcPr>
          <w:p w14:paraId="13DA3D9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职称</w:t>
            </w:r>
          </w:p>
        </w:tc>
        <w:tc>
          <w:tcPr>
            <w:tcW w:w="2558" w:type="pct"/>
            <w:gridSpan w:val="5"/>
            <w:noWrap w:val="0"/>
            <w:vAlign w:val="center"/>
          </w:tcPr>
          <w:p w14:paraId="38A155B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执业或职业资格证明</w:t>
            </w:r>
          </w:p>
        </w:tc>
        <w:tc>
          <w:tcPr>
            <w:tcW w:w="1216" w:type="pct"/>
            <w:gridSpan w:val="2"/>
            <w:noWrap w:val="0"/>
            <w:vAlign w:val="center"/>
          </w:tcPr>
          <w:p w14:paraId="45427DE5">
            <w:pPr>
              <w:keepNext w:val="0"/>
              <w:keepLines w:val="0"/>
              <w:pageBreakBefore w:val="0"/>
              <w:widowControl w:val="0"/>
              <w:kinsoku/>
              <w:wordWrap w:val="0"/>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eastAsia="宋体"/>
                <w:i w:val="0"/>
                <w:iCs w:val="0"/>
                <w:color w:val="auto"/>
                <w:sz w:val="24"/>
                <w:szCs w:val="24"/>
                <w:lang w:eastAsia="zh-CN"/>
              </w:rPr>
            </w:pPr>
            <w:r>
              <w:rPr>
                <w:rFonts w:hint="eastAsia"/>
                <w:i w:val="0"/>
                <w:iCs w:val="0"/>
                <w:color w:val="auto"/>
                <w:sz w:val="24"/>
                <w:szCs w:val="24"/>
                <w:lang w:eastAsia="zh-CN"/>
              </w:rPr>
              <w:t>已承担在建工程情况</w:t>
            </w:r>
          </w:p>
        </w:tc>
      </w:tr>
      <w:tr w14:paraId="7937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continue"/>
            <w:noWrap w:val="0"/>
            <w:vAlign w:val="center"/>
          </w:tcPr>
          <w:p w14:paraId="445372E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vMerge w:val="continue"/>
            <w:noWrap w:val="0"/>
            <w:vAlign w:val="center"/>
          </w:tcPr>
          <w:p w14:paraId="00F98E8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vMerge w:val="continue"/>
            <w:noWrap w:val="0"/>
            <w:vAlign w:val="center"/>
          </w:tcPr>
          <w:p w14:paraId="2D5B56A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center"/>
          </w:tcPr>
          <w:p w14:paraId="1193909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证书名称</w:t>
            </w:r>
          </w:p>
        </w:tc>
        <w:tc>
          <w:tcPr>
            <w:tcW w:w="421" w:type="pct"/>
            <w:noWrap w:val="0"/>
            <w:vAlign w:val="center"/>
          </w:tcPr>
          <w:p w14:paraId="52BC5AE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级别</w:t>
            </w:r>
          </w:p>
        </w:tc>
        <w:tc>
          <w:tcPr>
            <w:tcW w:w="423" w:type="pct"/>
            <w:noWrap w:val="0"/>
            <w:vAlign w:val="center"/>
          </w:tcPr>
          <w:p w14:paraId="401AC85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证号</w:t>
            </w:r>
          </w:p>
        </w:tc>
        <w:tc>
          <w:tcPr>
            <w:tcW w:w="421" w:type="pct"/>
            <w:noWrap w:val="0"/>
            <w:vAlign w:val="center"/>
          </w:tcPr>
          <w:p w14:paraId="6AEDFFE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专业</w:t>
            </w:r>
          </w:p>
        </w:tc>
        <w:tc>
          <w:tcPr>
            <w:tcW w:w="657" w:type="pct"/>
            <w:noWrap w:val="0"/>
            <w:vAlign w:val="center"/>
          </w:tcPr>
          <w:p w14:paraId="696D7732">
            <w:pPr>
              <w:keepNext w:val="0"/>
              <w:keepLines w:val="0"/>
              <w:pageBreakBefore w:val="0"/>
              <w:widowControl w:val="0"/>
              <w:kinsoku/>
              <w:wordWrap w:val="0"/>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eastAsia="宋体"/>
                <w:i w:val="0"/>
                <w:iCs w:val="0"/>
                <w:color w:val="auto"/>
                <w:sz w:val="24"/>
                <w:szCs w:val="24"/>
                <w:lang w:eastAsia="zh-CN"/>
              </w:rPr>
            </w:pPr>
            <w:r>
              <w:rPr>
                <w:i w:val="0"/>
                <w:iCs w:val="0"/>
                <w:color w:val="auto"/>
                <w:sz w:val="24"/>
                <w:szCs w:val="24"/>
              </w:rPr>
              <w:t>养老保险</w:t>
            </w:r>
            <w:r>
              <w:rPr>
                <w:rFonts w:hint="eastAsia"/>
                <w:i w:val="0"/>
                <w:iCs w:val="0"/>
                <w:color w:val="auto"/>
                <w:sz w:val="24"/>
                <w:szCs w:val="24"/>
                <w:lang w:eastAsia="zh-CN"/>
              </w:rPr>
              <w:t>缴纳单位</w:t>
            </w:r>
          </w:p>
        </w:tc>
        <w:tc>
          <w:tcPr>
            <w:tcW w:w="584" w:type="pct"/>
            <w:noWrap w:val="0"/>
            <w:vAlign w:val="center"/>
          </w:tcPr>
          <w:p w14:paraId="5D5BDF7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eastAsia="宋体"/>
                <w:i w:val="0"/>
                <w:iCs w:val="0"/>
                <w:color w:val="auto"/>
                <w:sz w:val="24"/>
                <w:szCs w:val="24"/>
                <w:lang w:eastAsia="zh-CN"/>
              </w:rPr>
            </w:pPr>
            <w:r>
              <w:rPr>
                <w:rFonts w:hint="eastAsia"/>
                <w:i w:val="0"/>
                <w:iCs w:val="0"/>
                <w:color w:val="auto"/>
                <w:sz w:val="24"/>
                <w:szCs w:val="24"/>
                <w:lang w:eastAsia="zh-CN"/>
              </w:rPr>
              <w:t>项目数</w:t>
            </w:r>
          </w:p>
        </w:tc>
        <w:tc>
          <w:tcPr>
            <w:tcW w:w="631" w:type="pct"/>
            <w:noWrap w:val="0"/>
            <w:vAlign w:val="center"/>
          </w:tcPr>
          <w:p w14:paraId="0BA7BF8C">
            <w:pPr>
              <w:keepNext w:val="0"/>
              <w:keepLines w:val="0"/>
              <w:pageBreakBefore w:val="0"/>
              <w:widowControl w:val="0"/>
              <w:kinsoku/>
              <w:wordWrap w:val="0"/>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eastAsia="宋体"/>
                <w:i w:val="0"/>
                <w:iCs w:val="0"/>
                <w:color w:val="auto"/>
                <w:sz w:val="24"/>
                <w:szCs w:val="24"/>
                <w:lang w:eastAsia="zh-CN"/>
              </w:rPr>
            </w:pPr>
            <w:r>
              <w:rPr>
                <w:rFonts w:hint="eastAsia"/>
                <w:i w:val="0"/>
                <w:iCs w:val="0"/>
                <w:color w:val="auto"/>
                <w:sz w:val="24"/>
                <w:szCs w:val="24"/>
                <w:lang w:eastAsia="zh-CN"/>
              </w:rPr>
              <w:t>主要项目名称</w:t>
            </w:r>
          </w:p>
        </w:tc>
      </w:tr>
      <w:tr w14:paraId="0D56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center"/>
          </w:tcPr>
          <w:p w14:paraId="14547E6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center"/>
          </w:tcPr>
          <w:p w14:paraId="5CFD6B3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center"/>
          </w:tcPr>
          <w:p w14:paraId="44DDA41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center"/>
          </w:tcPr>
          <w:p w14:paraId="1EDF917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center"/>
          </w:tcPr>
          <w:p w14:paraId="34045C7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center"/>
          </w:tcPr>
          <w:p w14:paraId="3C9A5D7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center"/>
          </w:tcPr>
          <w:p w14:paraId="7208C4E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center"/>
          </w:tcPr>
          <w:p w14:paraId="05B664D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center"/>
          </w:tcPr>
          <w:p w14:paraId="35F5F01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center"/>
          </w:tcPr>
          <w:p w14:paraId="60A0413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1314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653BFC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2B4B534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B2736D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022DCF2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B542A4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F2196E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1A589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30ECB08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2949BC3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7EE980D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6A9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6B0D80F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5E06448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45C52AA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3F07D08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1542AD4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592C590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604385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54DC0D8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09C957E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649A162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128A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059AA39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4CE5B49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1FFD8E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238ADDE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966E1D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FA3F6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82F81B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37FBA8D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17A7175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3DE7E06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4AD9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54E7C9D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27F952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74386D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5CF8873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713A13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45C4532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BAA10D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4D65898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0283460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6D00231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F91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4D0D85F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4658AAA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8E9EDF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4B3EBB8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187D78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2D7EB54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27E12C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0BF1FC2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4C4FA5F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665520E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5B4D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57BF4FE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F36C48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48FD007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1C60351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D465B7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99B487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4D1C960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56C8190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2710093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0626D7D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2831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3C8AB95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EF6D02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288C7E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27C8B6A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599D37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4765D7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CD4449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2C142DB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71449E9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1777378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5A9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1AB708A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0E8FF7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B9A8E6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6751997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42C1EB6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1E855E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4CDF0D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7E7386C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4548F5E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291EBFF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0CE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C69C35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4C93012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D20660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1310866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84762A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04C2EC5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A09709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0CA4F42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56B6C82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4929B92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24F2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51910CF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7A2CD6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428CF57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55C891A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6FCACD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152B95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867FDB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3F6C86A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2CB3DDB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0FD7017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019B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4E1482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75B9993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767D1B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160C532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BE6F9C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54398B6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CBE9B2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0D064BB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1F3BD0D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0D406A6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F53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B557E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4A2A05E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314DFF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7AE6BA8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3975FB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362CD3B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C17288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4F54FAA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4F1FDCF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6A89EDF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6F9B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B38172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C37262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D40F15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1BE63DD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194E7D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BE1970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388782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52AB7FE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15C3040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5FCE4FC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519C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2A7E0D2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7704864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0CD4DC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2FA6516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D1EF4E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5B07158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EEE63A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5EB15AD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2AB38BB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4931386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528F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06CA94B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0EAD4B5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92EB35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5282E97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13E2AC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0EC54FE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4BD08F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36A6082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536E0E1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77C6092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567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04B8D40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DEAD95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05D565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5A8236C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91CA12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3DC65F8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EE4CEE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3F75D63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1BB6689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70C8AFD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72A6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2430A8B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68E547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C0BED0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367A078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00B6B4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A5CFA1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F01D5E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5A7D7AF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6349484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6C9D860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CBF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4413ED7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77B900D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34D047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65E7FF1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D3506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13153B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046EB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01F60EE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41AC532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2071E9D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000C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0EE790C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5E32830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128BEE7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1C599DB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A98E37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056F755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2AD5C6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6F0B6A4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74C052E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3EE9542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564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BBE05C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A417E0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D3CA4F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656641E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C81D3E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0B2D21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6809FE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4D727F8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41DEB7B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1C60D2B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227C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4EA7A4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7C6E334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916FD4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75E8915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BC3018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568E1E8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BC802F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6E7203B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57E9AF8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15B2FBE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73F9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4B8895C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176201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702FC7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3BBAF91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15719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6EE42D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94866E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56CDAC5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1F54C4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7C844AF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bl>
    <w:p w14:paraId="6B1AEBCE">
      <w:pPr>
        <w:pageBreakBefore w:val="0"/>
        <w:kinsoku/>
        <w:wordWrap w:val="0"/>
        <w:overflowPunct/>
        <w:bidi w:val="0"/>
        <w:spacing w:line="440" w:lineRule="exact"/>
        <w:ind w:left="210" w:leftChars="100"/>
        <w:jc w:val="center"/>
        <w:rPr>
          <w:rFonts w:eastAsia="黑体"/>
          <w:i w:val="0"/>
          <w:iCs w:val="0"/>
          <w:color w:val="auto"/>
          <w:sz w:val="20"/>
          <w:szCs w:val="20"/>
        </w:rPr>
      </w:pPr>
    </w:p>
    <w:p w14:paraId="4948DDC5">
      <w:pPr>
        <w:pageBreakBefore w:val="0"/>
        <w:kinsoku/>
        <w:wordWrap w:val="0"/>
        <w:overflowPunct/>
        <w:bidi w:val="0"/>
        <w:rPr>
          <w:rStyle w:val="49"/>
          <w:i w:val="0"/>
          <w:iCs w:val="0"/>
          <w:color w:val="auto"/>
        </w:rPr>
      </w:pPr>
      <w:r>
        <w:rPr>
          <w:i w:val="0"/>
          <w:iCs w:val="0"/>
          <w:color w:val="auto"/>
        </w:rPr>
        <w:br w:type="page"/>
      </w:r>
      <w:bookmarkStart w:id="3327" w:name="_Toc152042594"/>
      <w:bookmarkStart w:id="3328" w:name="_Toc11052"/>
      <w:bookmarkStart w:id="3329" w:name="_Toc1809"/>
      <w:bookmarkStart w:id="3330" w:name="_Toc179632825"/>
      <w:bookmarkStart w:id="3331" w:name="_Toc29258"/>
      <w:bookmarkStart w:id="3332" w:name="_Toc152045805"/>
      <w:bookmarkStart w:id="3333" w:name="_Toc144974873"/>
      <w:bookmarkStart w:id="3334" w:name="_Toc23987"/>
      <w:bookmarkStart w:id="3335" w:name="_Toc32218"/>
      <w:bookmarkStart w:id="3336" w:name="_Toc21610"/>
      <w:r>
        <w:rPr>
          <w:rStyle w:val="49"/>
          <w:i w:val="0"/>
          <w:iCs w:val="0"/>
          <w:color w:val="auto"/>
        </w:rPr>
        <w:t>（</w:t>
      </w:r>
      <w:r>
        <w:rPr>
          <w:rStyle w:val="49"/>
          <w:rFonts w:hint="eastAsia"/>
          <w:i w:val="0"/>
          <w:iCs w:val="0"/>
          <w:color w:val="auto"/>
        </w:rPr>
        <w:t>七</w:t>
      </w:r>
      <w:r>
        <w:rPr>
          <w:rStyle w:val="49"/>
          <w:i w:val="0"/>
          <w:iCs w:val="0"/>
          <w:color w:val="auto"/>
        </w:rPr>
        <w:t>）</w:t>
      </w:r>
      <w:bookmarkEnd w:id="3327"/>
      <w:bookmarkEnd w:id="3328"/>
      <w:bookmarkEnd w:id="3329"/>
      <w:bookmarkEnd w:id="3330"/>
      <w:bookmarkEnd w:id="3331"/>
      <w:bookmarkEnd w:id="3332"/>
      <w:bookmarkEnd w:id="3333"/>
      <w:r>
        <w:rPr>
          <w:rStyle w:val="49"/>
          <w:rFonts w:hint="eastAsia"/>
          <w:i w:val="0"/>
          <w:iCs w:val="0"/>
          <w:color w:val="auto"/>
        </w:rPr>
        <w:t>项目经理、施工负责人、设计负责人、项目技术负责人简历表</w:t>
      </w:r>
    </w:p>
    <w:bookmarkEnd w:id="3334"/>
    <w:bookmarkEnd w:id="3335"/>
    <w:bookmarkEnd w:id="3336"/>
    <w:p w14:paraId="2F8DB4F1">
      <w:pPr>
        <w:rPr>
          <w:i w:val="0"/>
          <w:iCs w:val="0"/>
          <w:color w:val="auto"/>
          <w:sz w:val="24"/>
          <w:szCs w:val="24"/>
        </w:rPr>
      </w:pPr>
      <w:r>
        <w:rPr>
          <w:i w:val="0"/>
          <w:iCs w:val="0"/>
          <w:color w:val="auto"/>
          <w:sz w:val="24"/>
          <w:szCs w:val="24"/>
        </w:rPr>
        <w:t>项目经理应附身份证、职称证</w:t>
      </w:r>
      <w:r>
        <w:rPr>
          <w:rFonts w:hint="eastAsia"/>
          <w:i w:val="0"/>
          <w:iCs w:val="0"/>
          <w:color w:val="auto"/>
          <w:sz w:val="24"/>
          <w:szCs w:val="24"/>
          <w:lang w:eastAsia="zh-CN"/>
        </w:rPr>
        <w:t>（如有）</w:t>
      </w:r>
      <w:r>
        <w:rPr>
          <w:i w:val="0"/>
          <w:iCs w:val="0"/>
          <w:color w:val="auto"/>
          <w:sz w:val="24"/>
          <w:szCs w:val="24"/>
        </w:rPr>
        <w:t>、</w:t>
      </w:r>
      <w:r>
        <w:rPr>
          <w:rFonts w:hint="eastAsia"/>
          <w:i w:val="0"/>
          <w:iCs w:val="0"/>
          <w:color w:val="auto"/>
          <w:sz w:val="24"/>
          <w:szCs w:val="24"/>
          <w:lang w:val="en-US" w:eastAsia="zh-CN"/>
        </w:rPr>
        <w:t>注册</w:t>
      </w:r>
      <w:r>
        <w:rPr>
          <w:rFonts w:hint="eastAsia"/>
          <w:i w:val="0"/>
          <w:iCs w:val="0"/>
          <w:color w:val="auto"/>
          <w:sz w:val="24"/>
          <w:szCs w:val="24"/>
          <w:lang w:eastAsia="zh-CN"/>
        </w:rPr>
        <w:t>证</w:t>
      </w:r>
      <w:r>
        <w:rPr>
          <w:rFonts w:hint="eastAsia"/>
          <w:i w:val="0"/>
          <w:iCs w:val="0"/>
          <w:color w:val="auto"/>
          <w:sz w:val="24"/>
          <w:szCs w:val="24"/>
          <w:lang w:val="en-US" w:eastAsia="zh-CN"/>
        </w:rPr>
        <w:t>书</w:t>
      </w:r>
      <w:r>
        <w:rPr>
          <w:i w:val="0"/>
          <w:iCs w:val="0"/>
          <w:color w:val="auto"/>
          <w:sz w:val="24"/>
          <w:szCs w:val="24"/>
        </w:rPr>
        <w:t>、养老保险</w:t>
      </w:r>
      <w:r>
        <w:rPr>
          <w:rFonts w:hint="eastAsia"/>
          <w:i w:val="0"/>
          <w:iCs w:val="0"/>
          <w:color w:val="auto"/>
          <w:sz w:val="24"/>
          <w:szCs w:val="24"/>
          <w:lang w:eastAsia="zh-CN"/>
        </w:rPr>
        <w:t>扫描件</w:t>
      </w:r>
      <w:r>
        <w:rPr>
          <w:i w:val="0"/>
          <w:iCs w:val="0"/>
          <w:color w:val="auto"/>
          <w:sz w:val="24"/>
          <w:szCs w:val="24"/>
        </w:rPr>
        <w:t>，管理过的项目业绩须</w:t>
      </w:r>
      <w:r>
        <w:rPr>
          <w:rFonts w:hint="eastAsia"/>
          <w:i w:val="0"/>
          <w:iCs w:val="0"/>
          <w:color w:val="auto"/>
          <w:sz w:val="24"/>
          <w:szCs w:val="24"/>
          <w:lang w:eastAsia="zh-CN"/>
        </w:rPr>
        <w:t>按照招标文件要求提供证明材料</w:t>
      </w:r>
      <w:r>
        <w:rPr>
          <w:i w:val="0"/>
          <w:iCs w:val="0"/>
          <w:color w:val="auto"/>
          <w:sz w:val="24"/>
          <w:szCs w:val="24"/>
        </w:rPr>
        <w:t>；设计、施工、设备采购供应</w:t>
      </w:r>
      <w:r>
        <w:rPr>
          <w:rFonts w:hint="eastAsia"/>
          <w:i w:val="0"/>
          <w:iCs w:val="0"/>
          <w:color w:val="auto"/>
          <w:sz w:val="24"/>
          <w:szCs w:val="24"/>
          <w:lang w:eastAsia="zh-CN"/>
        </w:rPr>
        <w:t>各</w:t>
      </w:r>
      <w:r>
        <w:rPr>
          <w:i w:val="0"/>
          <w:iCs w:val="0"/>
          <w:color w:val="auto"/>
          <w:sz w:val="24"/>
          <w:szCs w:val="24"/>
        </w:rPr>
        <w:t>项目负责人应附身份证、职称证</w:t>
      </w:r>
      <w:r>
        <w:rPr>
          <w:rFonts w:hint="eastAsia"/>
          <w:i w:val="0"/>
          <w:iCs w:val="0"/>
          <w:color w:val="auto"/>
          <w:sz w:val="24"/>
          <w:szCs w:val="24"/>
          <w:lang w:eastAsia="zh-CN"/>
        </w:rPr>
        <w:t>（如有）</w:t>
      </w:r>
      <w:r>
        <w:rPr>
          <w:i w:val="0"/>
          <w:iCs w:val="0"/>
          <w:color w:val="auto"/>
          <w:sz w:val="24"/>
          <w:szCs w:val="24"/>
        </w:rPr>
        <w:t>、养老保险</w:t>
      </w:r>
      <w:r>
        <w:rPr>
          <w:rFonts w:hint="eastAsia"/>
          <w:i w:val="0"/>
          <w:iCs w:val="0"/>
          <w:color w:val="auto"/>
          <w:sz w:val="24"/>
          <w:szCs w:val="24"/>
          <w:lang w:eastAsia="zh-CN"/>
        </w:rPr>
        <w:t>扫描件</w:t>
      </w:r>
      <w:r>
        <w:rPr>
          <w:i w:val="0"/>
          <w:iCs w:val="0"/>
          <w:color w:val="auto"/>
          <w:sz w:val="24"/>
          <w:szCs w:val="24"/>
        </w:rPr>
        <w:t>，以及设计、施工负责人的</w:t>
      </w:r>
      <w:r>
        <w:rPr>
          <w:rFonts w:hint="eastAsia"/>
          <w:i w:val="0"/>
          <w:iCs w:val="0"/>
          <w:color w:val="auto"/>
          <w:sz w:val="24"/>
          <w:szCs w:val="24"/>
          <w:lang w:val="en-US" w:eastAsia="zh-CN"/>
        </w:rPr>
        <w:t>注册</w:t>
      </w:r>
      <w:r>
        <w:rPr>
          <w:i w:val="0"/>
          <w:iCs w:val="0"/>
          <w:color w:val="auto"/>
          <w:sz w:val="24"/>
          <w:szCs w:val="24"/>
        </w:rPr>
        <w:t>证书</w:t>
      </w:r>
      <w:r>
        <w:rPr>
          <w:rFonts w:hint="eastAsia"/>
          <w:i w:val="0"/>
          <w:iCs w:val="0"/>
          <w:color w:val="auto"/>
          <w:sz w:val="24"/>
          <w:szCs w:val="24"/>
          <w:lang w:eastAsia="zh-CN"/>
        </w:rPr>
        <w:t>扫描件</w:t>
      </w:r>
      <w:r>
        <w:rPr>
          <w:i w:val="0"/>
          <w:iCs w:val="0"/>
          <w:color w:val="auto"/>
          <w:sz w:val="24"/>
          <w:szCs w:val="24"/>
        </w:rPr>
        <w:t>，管理过的项目业绩须</w:t>
      </w:r>
      <w:r>
        <w:rPr>
          <w:rFonts w:hint="eastAsia"/>
          <w:i w:val="0"/>
          <w:iCs w:val="0"/>
          <w:color w:val="auto"/>
          <w:sz w:val="24"/>
          <w:szCs w:val="24"/>
          <w:lang w:eastAsia="zh-CN"/>
        </w:rPr>
        <w:t>照招标文件要求提供证明材料</w:t>
      </w:r>
      <w:r>
        <w:rPr>
          <w:i w:val="0"/>
          <w:iCs w:val="0"/>
          <w:color w:val="auto"/>
          <w:sz w:val="24"/>
          <w:szCs w:val="24"/>
        </w:rPr>
        <w:t>。</w:t>
      </w:r>
    </w:p>
    <w:p w14:paraId="2F14846B">
      <w:pPr>
        <w:rPr>
          <w:i w:val="0"/>
          <w:iCs w:val="0"/>
          <w:color w:val="auto"/>
          <w:sz w:val="24"/>
          <w:szCs w:val="24"/>
        </w:rPr>
      </w:pP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414"/>
        <w:gridCol w:w="832"/>
        <w:gridCol w:w="1070"/>
        <w:gridCol w:w="1230"/>
        <w:gridCol w:w="824"/>
        <w:gridCol w:w="1456"/>
        <w:gridCol w:w="181"/>
        <w:gridCol w:w="2475"/>
      </w:tblGrid>
      <w:tr w14:paraId="219A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noWrap w:val="0"/>
            <w:vAlign w:val="center"/>
          </w:tcPr>
          <w:p w14:paraId="08CC699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姓名</w:t>
            </w:r>
          </w:p>
        </w:tc>
        <w:tc>
          <w:tcPr>
            <w:tcW w:w="632" w:type="pct"/>
            <w:gridSpan w:val="2"/>
            <w:noWrap w:val="0"/>
            <w:vAlign w:val="center"/>
          </w:tcPr>
          <w:p w14:paraId="6C9233F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43" w:type="pct"/>
            <w:noWrap w:val="0"/>
            <w:vAlign w:val="center"/>
          </w:tcPr>
          <w:p w14:paraId="28E1AEC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年龄</w:t>
            </w:r>
          </w:p>
        </w:tc>
        <w:tc>
          <w:tcPr>
            <w:tcW w:w="624" w:type="pct"/>
            <w:noWrap w:val="0"/>
            <w:vAlign w:val="center"/>
          </w:tcPr>
          <w:p w14:paraId="0372234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1249" w:type="pct"/>
            <w:gridSpan w:val="3"/>
            <w:noWrap w:val="0"/>
            <w:vAlign w:val="center"/>
          </w:tcPr>
          <w:p w14:paraId="5600AAA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eastAsia="宋体"/>
                <w:i w:val="0"/>
                <w:iCs w:val="0"/>
                <w:color w:val="auto"/>
                <w:sz w:val="24"/>
                <w:szCs w:val="24"/>
                <w:lang w:eastAsia="zh-CN"/>
              </w:rPr>
            </w:pPr>
            <w:r>
              <w:rPr>
                <w:rFonts w:hint="eastAsia"/>
                <w:i w:val="0"/>
                <w:iCs w:val="0"/>
                <w:color w:val="auto"/>
                <w:sz w:val="24"/>
                <w:szCs w:val="24"/>
                <w:lang w:val="en-US" w:eastAsia="zh-CN"/>
              </w:rPr>
              <w:t>注册</w:t>
            </w:r>
            <w:r>
              <w:rPr>
                <w:rFonts w:hint="eastAsia"/>
                <w:i w:val="0"/>
                <w:iCs w:val="0"/>
                <w:color w:val="auto"/>
                <w:sz w:val="24"/>
                <w:szCs w:val="24"/>
                <w:lang w:eastAsia="zh-CN"/>
              </w:rPr>
              <w:t>号</w:t>
            </w:r>
          </w:p>
        </w:tc>
        <w:tc>
          <w:tcPr>
            <w:tcW w:w="1252" w:type="pct"/>
            <w:noWrap w:val="0"/>
            <w:vAlign w:val="center"/>
          </w:tcPr>
          <w:p w14:paraId="18F1FDA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477A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noWrap w:val="0"/>
            <w:vAlign w:val="center"/>
          </w:tcPr>
          <w:p w14:paraId="28492BD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职务</w:t>
            </w:r>
          </w:p>
        </w:tc>
        <w:tc>
          <w:tcPr>
            <w:tcW w:w="632" w:type="pct"/>
            <w:gridSpan w:val="2"/>
            <w:noWrap w:val="0"/>
            <w:vAlign w:val="center"/>
          </w:tcPr>
          <w:p w14:paraId="2185177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43" w:type="pct"/>
            <w:noWrap w:val="0"/>
            <w:vAlign w:val="center"/>
          </w:tcPr>
          <w:p w14:paraId="71503B0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职称</w:t>
            </w:r>
          </w:p>
        </w:tc>
        <w:tc>
          <w:tcPr>
            <w:tcW w:w="624" w:type="pct"/>
            <w:noWrap w:val="0"/>
            <w:vAlign w:val="center"/>
          </w:tcPr>
          <w:p w14:paraId="6B23748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1249" w:type="pct"/>
            <w:gridSpan w:val="3"/>
            <w:noWrap w:val="0"/>
            <w:vAlign w:val="center"/>
          </w:tcPr>
          <w:p w14:paraId="3A9A4B3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拟在本合同任职</w:t>
            </w:r>
          </w:p>
        </w:tc>
        <w:tc>
          <w:tcPr>
            <w:tcW w:w="1252" w:type="pct"/>
            <w:noWrap w:val="0"/>
            <w:vAlign w:val="center"/>
          </w:tcPr>
          <w:p w14:paraId="7FC211C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44AF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noWrap w:val="0"/>
            <w:vAlign w:val="center"/>
          </w:tcPr>
          <w:p w14:paraId="242E0E1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毕业学校</w:t>
            </w:r>
          </w:p>
        </w:tc>
        <w:tc>
          <w:tcPr>
            <w:tcW w:w="4303" w:type="pct"/>
            <w:gridSpan w:val="8"/>
            <w:noWrap w:val="0"/>
            <w:vAlign w:val="top"/>
          </w:tcPr>
          <w:p w14:paraId="18B5E6C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960" w:firstLineChars="400"/>
              <w:textAlignment w:val="auto"/>
              <w:outlineLvl w:val="9"/>
              <w:rPr>
                <w:i w:val="0"/>
                <w:iCs w:val="0"/>
                <w:color w:val="auto"/>
                <w:sz w:val="24"/>
                <w:szCs w:val="24"/>
              </w:rPr>
            </w:pPr>
            <w:r>
              <w:rPr>
                <w:i w:val="0"/>
                <w:iCs w:val="0"/>
                <w:color w:val="auto"/>
                <w:sz w:val="24"/>
                <w:szCs w:val="24"/>
              </w:rPr>
              <w:t>年毕业于            学校        专业</w:t>
            </w:r>
          </w:p>
        </w:tc>
      </w:tr>
      <w:tr w14:paraId="5119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noWrap w:val="0"/>
            <w:vAlign w:val="center"/>
          </w:tcPr>
          <w:p w14:paraId="1865509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i w:val="0"/>
                <w:iCs w:val="0"/>
                <w:color w:val="auto"/>
                <w:sz w:val="24"/>
                <w:szCs w:val="24"/>
              </w:rPr>
            </w:pPr>
            <w:r>
              <w:rPr>
                <w:rFonts w:hint="eastAsia" w:ascii="黑体" w:hAnsi="黑体" w:eastAsia="黑体" w:cs="黑体"/>
                <w:i w:val="0"/>
                <w:iCs w:val="0"/>
                <w:color w:val="auto"/>
                <w:sz w:val="24"/>
                <w:szCs w:val="24"/>
              </w:rPr>
              <w:t>主要工作经历</w:t>
            </w:r>
          </w:p>
        </w:tc>
      </w:tr>
      <w:tr w14:paraId="684B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pct"/>
            <w:gridSpan w:val="2"/>
            <w:noWrap w:val="0"/>
            <w:vAlign w:val="center"/>
          </w:tcPr>
          <w:p w14:paraId="490740A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rFonts w:hint="eastAsia"/>
                <w:i w:val="0"/>
                <w:iCs w:val="0"/>
                <w:color w:val="auto"/>
                <w:sz w:val="24"/>
                <w:szCs w:val="24"/>
                <w:lang w:eastAsia="zh-CN"/>
              </w:rPr>
              <w:t>起止</w:t>
            </w:r>
            <w:r>
              <w:rPr>
                <w:i w:val="0"/>
                <w:iCs w:val="0"/>
                <w:color w:val="auto"/>
                <w:sz w:val="24"/>
                <w:szCs w:val="24"/>
              </w:rPr>
              <w:t>时间</w:t>
            </w:r>
          </w:p>
        </w:tc>
        <w:tc>
          <w:tcPr>
            <w:tcW w:w="2007" w:type="pct"/>
            <w:gridSpan w:val="4"/>
            <w:noWrap w:val="0"/>
            <w:vAlign w:val="center"/>
          </w:tcPr>
          <w:p w14:paraId="737B687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参加过的类似项目</w:t>
            </w:r>
          </w:p>
        </w:tc>
        <w:tc>
          <w:tcPr>
            <w:tcW w:w="739" w:type="pct"/>
            <w:noWrap w:val="0"/>
            <w:vAlign w:val="center"/>
          </w:tcPr>
          <w:p w14:paraId="0F6974D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担任职务</w:t>
            </w:r>
          </w:p>
        </w:tc>
        <w:tc>
          <w:tcPr>
            <w:tcW w:w="1347" w:type="pct"/>
            <w:gridSpan w:val="2"/>
            <w:noWrap w:val="0"/>
            <w:vAlign w:val="center"/>
          </w:tcPr>
          <w:p w14:paraId="30782D8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发包人及联系电话</w:t>
            </w:r>
          </w:p>
        </w:tc>
      </w:tr>
      <w:tr w14:paraId="6D6C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top"/>
          </w:tcPr>
          <w:p w14:paraId="42C35C6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top"/>
          </w:tcPr>
          <w:p w14:paraId="1157726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top"/>
          </w:tcPr>
          <w:p w14:paraId="2F6FF05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top"/>
          </w:tcPr>
          <w:p w14:paraId="6EA986C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69C0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top"/>
          </w:tcPr>
          <w:p w14:paraId="1F6E6B2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top"/>
          </w:tcPr>
          <w:p w14:paraId="08D5B5A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top"/>
          </w:tcPr>
          <w:p w14:paraId="02AF755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top"/>
          </w:tcPr>
          <w:p w14:paraId="2763A96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58AF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top"/>
          </w:tcPr>
          <w:p w14:paraId="5A3A5B3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top"/>
          </w:tcPr>
          <w:p w14:paraId="5C49D0E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top"/>
          </w:tcPr>
          <w:p w14:paraId="637D9D4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top"/>
          </w:tcPr>
          <w:p w14:paraId="4267D92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6FAC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5D23A16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7DFB4B9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002B3C6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2D1215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4BBA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4A9DF7E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52AA28A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666E353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0C3EB8F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5C39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1EB22B3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08FED4D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1B0F0AE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03E9E5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5B8A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68353F0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0986F6F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7F6683E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49345A3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60EA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7D2881B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5F5CD57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5612806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45C151E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55E1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23D93B2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4ACCBB2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03D469B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54F5F10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0142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2BDCF3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1DB0B45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04B01E9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401D674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bl>
    <w:p w14:paraId="1D5B9703">
      <w:pPr>
        <w:ind w:left="0" w:leftChars="0" w:firstLine="0" w:firstLineChars="0"/>
        <w:rPr>
          <w:i w:val="0"/>
          <w:iCs w:val="0"/>
          <w:color w:val="auto"/>
        </w:rPr>
      </w:pPr>
      <w:r>
        <w:rPr>
          <w:rFonts w:hint="eastAsia"/>
          <w:i w:val="0"/>
          <w:iCs w:val="0"/>
          <w:color w:val="auto"/>
          <w:lang w:eastAsia="zh-CN"/>
        </w:rPr>
        <w:t>注：投标时项目经理、施工负责人、设计负责人、项目技术负责人简历表须分别（分页）填写。</w:t>
      </w:r>
    </w:p>
    <w:p w14:paraId="44B7DAF3">
      <w:pPr>
        <w:rPr>
          <w:i w:val="0"/>
          <w:iCs w:val="0"/>
          <w:color w:val="auto"/>
        </w:rPr>
      </w:pPr>
    </w:p>
    <w:bookmarkEnd w:id="3321"/>
    <w:bookmarkEnd w:id="3322"/>
    <w:bookmarkEnd w:id="3323"/>
    <w:bookmarkEnd w:id="3324"/>
    <w:bookmarkEnd w:id="3325"/>
    <w:bookmarkEnd w:id="3326"/>
    <w:p w14:paraId="2E20AD44">
      <w:pPr>
        <w:keepNext/>
        <w:keepLines/>
        <w:pageBreakBefore w:val="0"/>
        <w:widowControl w:val="0"/>
        <w:numPr>
          <w:ilvl w:val="0"/>
          <w:numId w:val="15"/>
        </w:numPr>
        <w:kinsoku/>
        <w:wordWrap w:val="0"/>
        <w:overflowPunct/>
        <w:topLinePunct w:val="0"/>
        <w:autoSpaceDE/>
        <w:autoSpaceDN/>
        <w:bidi w:val="0"/>
        <w:adjustRightInd/>
        <w:snapToGrid/>
        <w:spacing w:line="440" w:lineRule="exact"/>
        <w:ind w:left="0" w:leftChars="0" w:right="0" w:rightChars="0" w:firstLine="0" w:firstLineChars="0"/>
        <w:jc w:val="both"/>
        <w:textAlignment w:val="auto"/>
        <w:outlineLvl w:val="2"/>
        <w:rPr>
          <w:rStyle w:val="49"/>
          <w:rFonts w:hint="eastAsia"/>
          <w:i w:val="0"/>
          <w:iCs w:val="0"/>
          <w:color w:val="auto"/>
          <w:lang w:eastAsia="zh-CN"/>
        </w:rPr>
      </w:pPr>
      <w:bookmarkStart w:id="3337" w:name="_Toc14652"/>
      <w:bookmarkStart w:id="3338" w:name="_Toc19015"/>
      <w:bookmarkStart w:id="3339" w:name="_Toc30995"/>
      <w:bookmarkStart w:id="3340" w:name="_Toc10295"/>
      <w:bookmarkStart w:id="3341" w:name="_Toc31441"/>
      <w:bookmarkStart w:id="3342" w:name="_Toc271821942"/>
      <w:r>
        <w:rPr>
          <w:rStyle w:val="49"/>
          <w:rFonts w:hint="eastAsia"/>
          <w:i w:val="0"/>
          <w:iCs w:val="0"/>
          <w:color w:val="auto"/>
          <w:lang w:eastAsia="zh-CN"/>
        </w:rPr>
        <w:t>项目管理机构其他人员汇总表</w:t>
      </w:r>
      <w:bookmarkEnd w:id="3337"/>
      <w:bookmarkEnd w:id="3338"/>
      <w:bookmarkEnd w:id="3339"/>
    </w:p>
    <w:p w14:paraId="45EAE7B9">
      <w:pPr>
        <w:keepNext/>
        <w:keepLines/>
        <w:pageBreakBefore w:val="0"/>
        <w:widowControl w:val="0"/>
        <w:numPr>
          <w:ilvl w:val="0"/>
          <w:numId w:val="0"/>
        </w:numPr>
        <w:kinsoku/>
        <w:wordWrap w:val="0"/>
        <w:overflowPunct/>
        <w:topLinePunct w:val="0"/>
        <w:autoSpaceDE/>
        <w:autoSpaceDN/>
        <w:bidi w:val="0"/>
        <w:adjustRightInd/>
        <w:snapToGrid/>
        <w:spacing w:line="440" w:lineRule="exact"/>
        <w:ind w:leftChars="0" w:right="0" w:rightChars="0" w:firstLine="480" w:firstLineChars="200"/>
        <w:jc w:val="both"/>
        <w:textAlignment w:val="auto"/>
        <w:outlineLvl w:val="9"/>
        <w:rPr>
          <w:rFonts w:hint="eastAsia" w:eastAsia="宋体"/>
          <w:i w:val="0"/>
          <w:iCs w:val="0"/>
          <w:color w:val="auto"/>
          <w:sz w:val="24"/>
          <w:szCs w:val="24"/>
          <w:lang w:eastAsia="zh-CN"/>
        </w:rPr>
      </w:pPr>
      <w:bookmarkStart w:id="3343" w:name="_Toc832715588"/>
      <w:r>
        <w:rPr>
          <w:rFonts w:hint="eastAsia"/>
          <w:i w:val="0"/>
          <w:iCs w:val="0"/>
          <w:color w:val="auto"/>
          <w:sz w:val="24"/>
          <w:szCs w:val="24"/>
          <w:lang w:eastAsia="zh-CN"/>
        </w:rPr>
        <w:t>项目管理机构其他</w:t>
      </w:r>
      <w:r>
        <w:rPr>
          <w:i w:val="0"/>
          <w:iCs w:val="0"/>
          <w:color w:val="auto"/>
          <w:sz w:val="24"/>
          <w:szCs w:val="24"/>
        </w:rPr>
        <w:t>人员应附职称证（执业证或上岗证书）、养老保险</w:t>
      </w:r>
      <w:r>
        <w:rPr>
          <w:rFonts w:hint="eastAsia"/>
          <w:i w:val="0"/>
          <w:iCs w:val="0"/>
          <w:color w:val="auto"/>
          <w:sz w:val="24"/>
          <w:szCs w:val="24"/>
          <w:lang w:eastAsia="zh-CN"/>
        </w:rPr>
        <w:t>扫描件。</w:t>
      </w:r>
      <w:bookmarkEnd w:id="3343"/>
    </w:p>
    <w:p w14:paraId="6E27AE31">
      <w:pPr>
        <w:keepNext/>
        <w:keepLines/>
        <w:pageBreakBefore w:val="0"/>
        <w:widowControl w:val="0"/>
        <w:numPr>
          <w:ilvl w:val="0"/>
          <w:numId w:val="0"/>
        </w:numPr>
        <w:kinsoku/>
        <w:wordWrap w:val="0"/>
        <w:overflowPunct/>
        <w:topLinePunct w:val="0"/>
        <w:autoSpaceDE/>
        <w:autoSpaceDN/>
        <w:bidi w:val="0"/>
        <w:adjustRightInd/>
        <w:snapToGrid/>
        <w:spacing w:line="440" w:lineRule="exact"/>
        <w:ind w:leftChars="0" w:right="0" w:rightChars="0" w:firstLine="480" w:firstLineChars="200"/>
        <w:jc w:val="both"/>
        <w:textAlignment w:val="auto"/>
        <w:outlineLvl w:val="9"/>
        <w:rPr>
          <w:rFonts w:hint="eastAsia"/>
          <w:i w:val="0"/>
          <w:iCs w:val="0"/>
          <w:color w:val="auto"/>
          <w:sz w:val="24"/>
          <w:szCs w:val="24"/>
          <w:lang w:eastAsia="zh-CN"/>
        </w:rPr>
      </w:pPr>
    </w:p>
    <w:bookmarkEnd w:id="3340"/>
    <w:bookmarkEnd w:id="3341"/>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868"/>
        <w:gridCol w:w="918"/>
        <w:gridCol w:w="918"/>
        <w:gridCol w:w="918"/>
        <w:gridCol w:w="1551"/>
        <w:gridCol w:w="919"/>
        <w:gridCol w:w="923"/>
        <w:gridCol w:w="919"/>
      </w:tblGrid>
      <w:tr w14:paraId="099F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66" w:type="pct"/>
            <w:vMerge w:val="restart"/>
            <w:noWrap w:val="0"/>
            <w:vAlign w:val="center"/>
          </w:tcPr>
          <w:p w14:paraId="083064D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序号</w:t>
            </w:r>
          </w:p>
        </w:tc>
        <w:tc>
          <w:tcPr>
            <w:tcW w:w="948" w:type="pct"/>
            <w:vMerge w:val="restart"/>
            <w:noWrap w:val="0"/>
            <w:vAlign w:val="center"/>
          </w:tcPr>
          <w:p w14:paraId="6E352C5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本项目任职</w:t>
            </w:r>
          </w:p>
        </w:tc>
        <w:tc>
          <w:tcPr>
            <w:tcW w:w="466" w:type="pct"/>
            <w:vMerge w:val="restart"/>
            <w:noWrap w:val="0"/>
            <w:vAlign w:val="center"/>
          </w:tcPr>
          <w:p w14:paraId="4E8DCE6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姓名</w:t>
            </w:r>
          </w:p>
        </w:tc>
        <w:tc>
          <w:tcPr>
            <w:tcW w:w="466" w:type="pct"/>
            <w:vMerge w:val="restart"/>
            <w:noWrap w:val="0"/>
            <w:vAlign w:val="center"/>
          </w:tcPr>
          <w:p w14:paraId="0866A1C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职称</w:t>
            </w:r>
          </w:p>
        </w:tc>
        <w:tc>
          <w:tcPr>
            <w:tcW w:w="466" w:type="pct"/>
            <w:vMerge w:val="restart"/>
            <w:noWrap w:val="0"/>
            <w:vAlign w:val="center"/>
          </w:tcPr>
          <w:p w14:paraId="79AFD9D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专业</w:t>
            </w:r>
          </w:p>
        </w:tc>
        <w:tc>
          <w:tcPr>
            <w:tcW w:w="1721" w:type="pct"/>
            <w:gridSpan w:val="3"/>
            <w:noWrap w:val="0"/>
            <w:vAlign w:val="center"/>
          </w:tcPr>
          <w:p w14:paraId="21BADCB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val="en-US" w:eastAsia="zh-CN"/>
              </w:rPr>
              <w:t>注册、</w:t>
            </w:r>
            <w:r>
              <w:rPr>
                <w:rFonts w:hint="eastAsia"/>
                <w:i w:val="0"/>
                <w:iCs w:val="0"/>
                <w:color w:val="auto"/>
                <w:sz w:val="24"/>
                <w:szCs w:val="24"/>
                <w:vertAlign w:val="baseline"/>
                <w:lang w:eastAsia="zh-CN"/>
              </w:rPr>
              <w:t>执业或职业资格证明</w:t>
            </w:r>
          </w:p>
        </w:tc>
        <w:tc>
          <w:tcPr>
            <w:tcW w:w="466" w:type="pct"/>
            <w:vMerge w:val="restart"/>
            <w:noWrap w:val="0"/>
            <w:vAlign w:val="center"/>
          </w:tcPr>
          <w:p w14:paraId="57F8788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备注</w:t>
            </w:r>
          </w:p>
        </w:tc>
      </w:tr>
      <w:tr w14:paraId="66C9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vMerge w:val="continue"/>
            <w:noWrap w:val="0"/>
            <w:vAlign w:val="center"/>
          </w:tcPr>
          <w:p w14:paraId="594B45E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vMerge w:val="continue"/>
            <w:noWrap w:val="0"/>
            <w:vAlign w:val="center"/>
          </w:tcPr>
          <w:p w14:paraId="619071B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vMerge w:val="continue"/>
            <w:noWrap w:val="0"/>
            <w:vAlign w:val="center"/>
          </w:tcPr>
          <w:p w14:paraId="1662357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vMerge w:val="continue"/>
            <w:noWrap w:val="0"/>
            <w:vAlign w:val="center"/>
          </w:tcPr>
          <w:p w14:paraId="4F09A33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vMerge w:val="continue"/>
            <w:noWrap w:val="0"/>
            <w:vAlign w:val="center"/>
          </w:tcPr>
          <w:p w14:paraId="4C6FA02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138F49F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证书名称</w:t>
            </w:r>
          </w:p>
        </w:tc>
        <w:tc>
          <w:tcPr>
            <w:tcW w:w="466" w:type="pct"/>
            <w:noWrap w:val="0"/>
            <w:vAlign w:val="center"/>
          </w:tcPr>
          <w:p w14:paraId="346CDD0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级别</w:t>
            </w:r>
          </w:p>
        </w:tc>
        <w:tc>
          <w:tcPr>
            <w:tcW w:w="467" w:type="pct"/>
            <w:noWrap w:val="0"/>
            <w:vAlign w:val="center"/>
          </w:tcPr>
          <w:p w14:paraId="61195A0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证号</w:t>
            </w:r>
          </w:p>
        </w:tc>
        <w:tc>
          <w:tcPr>
            <w:tcW w:w="466" w:type="pct"/>
            <w:vMerge w:val="continue"/>
            <w:noWrap w:val="0"/>
            <w:vAlign w:val="center"/>
          </w:tcPr>
          <w:p w14:paraId="6CC04E4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6C25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4044905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4F4179A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EB6D6F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0CFD9E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392D35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7B66F93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C1666A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EAF5F5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675481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0040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4FA9D82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0CC9555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BCCE5A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736C35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48E608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134661A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DE097D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34F32B6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723F84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7DEE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23E7769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397F8B5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4B4722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709B53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D0C039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37DCA24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20065F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59EE52E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A3A720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18A4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1FC98FB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56FB645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B8153D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AEDED1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9C913A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4863DE2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70A77A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F2A674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655C1C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77EF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0A0D28A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4167721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78975B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24E575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F9DA5E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526BE90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B3A07A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2AE4D9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1BE31D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5C7B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4A5D3C7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120B4FC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F9C033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00679B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D6C824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73B5901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35C50C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4EEEB5E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92F826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7706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507109B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7763772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CB6C06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E69B6C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F23F60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4EE818A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E176D9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3C860DF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6E33C5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6B13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3E86CEF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2FE40A7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8BAADF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2DAF2B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D2000F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35AE71E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E945B9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DB1D91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C87012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0AC1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0005F1E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1BA1E47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E463D7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DF1590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738420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4FCE836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D97222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60AF3E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0D19D6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30FF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27E44F4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6A15578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8AF616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2DA659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517827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754E407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5605D2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7AA1B0D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BF544F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08F1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3837353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37CB44B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0EEBFD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31C469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7B8DD7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19CC667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98A4EA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0C81161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B6E0B6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0EFB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4C34328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075A769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F3DE13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8A9B8F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1BD6B5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4FDAD8F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05A633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6B9FF0C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354155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5043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00DFB2F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6450B14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7C14AD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FFFBDE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62E350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0D3BCF2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C06C43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64EA70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97F827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1935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5038C98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2BDCC59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92C14F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05DC00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9090F1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7925A85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CD84E5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BD9711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F0AFFC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7CBC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1E8EBFA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7FFEFB8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A9FAB2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7261F3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ABA8B3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1F89370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1A7647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43450FF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E78394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1C8E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243386A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39C4EED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76349C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FE8687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EF6A8F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6EC9FC9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61888A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18E94EE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9A0662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bl>
    <w:p w14:paraId="32B9A1A0">
      <w:pPr>
        <w:pageBreakBefore w:val="0"/>
        <w:kinsoku/>
        <w:wordWrap w:val="0"/>
        <w:overflowPunct/>
        <w:bidi w:val="0"/>
        <w:ind w:left="0" w:leftChars="0" w:firstLine="0" w:firstLineChars="0"/>
        <w:jc w:val="left"/>
        <w:outlineLvl w:val="9"/>
        <w:rPr>
          <w:rFonts w:hint="eastAsia" w:ascii="宋体" w:hAnsi="宋体" w:eastAsia="宋体" w:cs="宋体"/>
          <w:b w:val="0"/>
          <w:bCs/>
          <w:i w:val="0"/>
          <w:iCs w:val="0"/>
          <w:color w:val="auto"/>
          <w:sz w:val="21"/>
          <w:szCs w:val="21"/>
          <w:lang w:eastAsia="zh-CN"/>
        </w:rPr>
      </w:pPr>
      <w:bookmarkStart w:id="3344" w:name="_Toc763359804"/>
      <w:r>
        <w:rPr>
          <w:rFonts w:hint="eastAsia" w:ascii="宋体" w:hAnsi="宋体" w:eastAsia="宋体" w:cs="宋体"/>
          <w:b w:val="0"/>
          <w:bCs/>
          <w:i w:val="0"/>
          <w:iCs w:val="0"/>
          <w:color w:val="auto"/>
          <w:sz w:val="21"/>
          <w:szCs w:val="21"/>
          <w:lang w:eastAsia="zh-CN"/>
        </w:rPr>
        <w:t>注：须包含专职安全生产管理人员。</w:t>
      </w:r>
      <w:bookmarkEnd w:id="3344"/>
    </w:p>
    <w:p w14:paraId="7A8DABB2">
      <w:pPr>
        <w:pageBreakBefore w:val="0"/>
        <w:kinsoku/>
        <w:wordWrap w:val="0"/>
        <w:overflowPunct/>
        <w:bidi w:val="0"/>
        <w:ind w:left="0" w:leftChars="0" w:firstLine="0" w:firstLineChars="0"/>
        <w:jc w:val="left"/>
        <w:outlineLvl w:val="9"/>
        <w:rPr>
          <w:rFonts w:hint="eastAsia" w:ascii="宋体" w:hAnsi="宋体" w:eastAsia="宋体" w:cs="宋体"/>
          <w:b w:val="0"/>
          <w:bCs/>
          <w:i w:val="0"/>
          <w:iCs w:val="0"/>
          <w:color w:val="auto"/>
          <w:sz w:val="21"/>
          <w:szCs w:val="21"/>
        </w:rPr>
      </w:pPr>
      <w:r>
        <w:rPr>
          <w:rFonts w:hint="eastAsia" w:ascii="宋体" w:hAnsi="宋体" w:eastAsia="宋体" w:cs="宋体"/>
          <w:b w:val="0"/>
          <w:bCs/>
          <w:i w:val="0"/>
          <w:iCs w:val="0"/>
          <w:color w:val="auto"/>
          <w:sz w:val="21"/>
          <w:szCs w:val="21"/>
        </w:rPr>
        <w:br w:type="page"/>
      </w:r>
      <w:bookmarkStart w:id="3345" w:name="_Toc21137"/>
      <w:bookmarkStart w:id="3346" w:name="_Toc6802"/>
      <w:bookmarkStart w:id="3347" w:name="_Toc12750"/>
      <w:bookmarkStart w:id="3348" w:name="_Toc25733"/>
    </w:p>
    <w:p w14:paraId="29490E76">
      <w:pPr>
        <w:pStyle w:val="3"/>
        <w:pageBreakBefore w:val="0"/>
        <w:kinsoku/>
        <w:wordWrap w:val="0"/>
        <w:overflowPunct/>
        <w:bidi w:val="0"/>
        <w:ind w:left="0" w:leftChars="0" w:firstLine="0" w:firstLineChars="0"/>
        <w:jc w:val="center"/>
        <w:rPr>
          <w:rFonts w:hint="eastAsia" w:ascii="宋体" w:hAnsi="宋体" w:eastAsia="宋体" w:cs="宋体"/>
          <w:b/>
          <w:bCs w:val="0"/>
          <w:i w:val="0"/>
          <w:iCs w:val="0"/>
          <w:color w:val="auto"/>
          <w:sz w:val="28"/>
          <w:szCs w:val="28"/>
        </w:rPr>
      </w:pPr>
      <w:bookmarkStart w:id="3349" w:name="_Toc7541"/>
      <w:r>
        <w:rPr>
          <w:rFonts w:hint="eastAsia" w:ascii="宋体" w:hAnsi="宋体" w:eastAsia="宋体" w:cs="宋体"/>
          <w:b/>
          <w:bCs w:val="0"/>
          <w:i w:val="0"/>
          <w:iCs w:val="0"/>
          <w:color w:val="auto"/>
          <w:sz w:val="28"/>
          <w:szCs w:val="28"/>
          <w:lang w:eastAsia="zh-CN"/>
        </w:rPr>
        <w:t>七</w:t>
      </w:r>
      <w:r>
        <w:rPr>
          <w:rFonts w:hint="eastAsia" w:ascii="宋体" w:hAnsi="宋体" w:eastAsia="宋体" w:cs="宋体"/>
          <w:b/>
          <w:bCs w:val="0"/>
          <w:i w:val="0"/>
          <w:iCs w:val="0"/>
          <w:color w:val="auto"/>
          <w:sz w:val="28"/>
          <w:szCs w:val="28"/>
        </w:rPr>
        <w:t>、其他资料</w:t>
      </w:r>
      <w:bookmarkEnd w:id="3342"/>
      <w:bookmarkEnd w:id="3345"/>
      <w:bookmarkEnd w:id="3346"/>
      <w:bookmarkEnd w:id="3347"/>
      <w:bookmarkEnd w:id="3348"/>
      <w:bookmarkEnd w:id="3349"/>
    </w:p>
    <w:p w14:paraId="11BF422B">
      <w:pPr>
        <w:spacing w:before="156" w:beforeLines="50" w:after="156" w:afterLines="50"/>
        <w:outlineLvl w:val="3"/>
        <w:rPr>
          <w:rFonts w:ascii="黑体" w:hAnsi="宋体" w:eastAsia="黑体"/>
          <w:color w:val="auto"/>
          <w:sz w:val="24"/>
        </w:rPr>
      </w:pPr>
      <w:r>
        <w:rPr>
          <w:rFonts w:hint="eastAsia" w:ascii="黑体" w:hAnsi="宋体" w:eastAsia="黑体"/>
          <w:color w:val="auto"/>
          <w:sz w:val="24"/>
        </w:rPr>
        <w:t>1、投标人不参与涉黑涉恶承诺书</w:t>
      </w:r>
    </w:p>
    <w:p w14:paraId="7F872EF6">
      <w:pPr>
        <w:spacing w:line="0" w:lineRule="atLeast"/>
        <w:ind w:firstLine="643" w:firstLineChars="20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《投标人不参与涉黑涉恶承诺书》</w:t>
      </w:r>
    </w:p>
    <w:p w14:paraId="538D02F9">
      <w:pPr>
        <w:spacing w:line="320" w:lineRule="exact"/>
        <w:ind w:firstLine="420" w:firstLineChars="200"/>
        <w:rPr>
          <w:rFonts w:hint="eastAsia" w:ascii="仿宋_GB2312" w:hAnsi="方正仿宋简体" w:eastAsia="仿宋_GB2312"/>
          <w:color w:val="auto"/>
          <w:szCs w:val="21"/>
        </w:rPr>
      </w:pPr>
      <w:r>
        <w:rPr>
          <w:rFonts w:hint="eastAsia" w:ascii="仿宋_GB2312" w:hAnsi="方正仿宋简体" w:eastAsia="仿宋_GB2312"/>
          <w:color w:val="auto"/>
          <w:szCs w:val="21"/>
        </w:rPr>
        <w:t>为</w:t>
      </w:r>
      <w:r>
        <w:rPr>
          <w:rFonts w:hint="eastAsia" w:ascii="仿宋" w:hAnsi="仿宋" w:eastAsia="仿宋" w:cs="仿宋"/>
          <w:color w:val="auto"/>
          <w:szCs w:val="21"/>
        </w:rPr>
        <w:t>贯彻落实党中央和省、市委关于常态化开展扫黑除恶斗争工作要求,加强行业监管,提高建设领域招投标市场各方主体安全感、满意度,本投标人承诺不参与房屋建筑和市政基础设施工程项目招投标领域内涉黑涉恶活动：</w:t>
      </w:r>
    </w:p>
    <w:p w14:paraId="2C6072DF">
      <w:pPr>
        <w:pStyle w:val="78"/>
        <w:numPr>
          <w:ilvl w:val="0"/>
          <w:numId w:val="16"/>
        </w:numPr>
        <w:spacing w:line="320" w:lineRule="exact"/>
        <w:ind w:firstLine="380" w:firstLineChars="181"/>
        <w:rPr>
          <w:rFonts w:hint="eastAsia" w:ascii="仿宋_GB2312" w:hAnsi="方正楷体简体" w:eastAsia="仿宋_GB2312"/>
          <w:color w:val="auto"/>
          <w:sz w:val="21"/>
          <w:szCs w:val="21"/>
        </w:rPr>
      </w:pPr>
      <w:r>
        <w:rPr>
          <w:rFonts w:hint="eastAsia" w:ascii="仿宋_GB2312" w:hAnsi="方正楷体简体" w:eastAsia="仿宋_GB2312"/>
          <w:color w:val="auto"/>
          <w:sz w:val="21"/>
          <w:szCs w:val="21"/>
        </w:rPr>
        <w:t>不提供虚假银行保函行为；</w:t>
      </w:r>
    </w:p>
    <w:p w14:paraId="140DC97D">
      <w:pPr>
        <w:pStyle w:val="78"/>
        <w:numPr>
          <w:ilvl w:val="0"/>
          <w:numId w:val="16"/>
        </w:numPr>
        <w:spacing w:line="320" w:lineRule="exact"/>
        <w:ind w:firstLine="380" w:firstLineChars="181"/>
        <w:rPr>
          <w:rFonts w:hint="eastAsia" w:ascii="仿宋_GB2312" w:hAnsi="方正楷体简体" w:eastAsia="仿宋_GB2312"/>
          <w:color w:val="auto"/>
          <w:sz w:val="21"/>
          <w:szCs w:val="21"/>
        </w:rPr>
      </w:pPr>
      <w:r>
        <w:rPr>
          <w:rFonts w:hint="eastAsia" w:ascii="仿宋_GB2312" w:hAnsi="方正仿宋简体" w:eastAsia="仿宋_GB2312"/>
          <w:color w:val="auto"/>
          <w:sz w:val="21"/>
          <w:szCs w:val="21"/>
        </w:rPr>
        <w:t>不阻止、劝退、阻碍其他投标人投标；</w:t>
      </w:r>
    </w:p>
    <w:p w14:paraId="67FADBA4">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3、不以他人名义投标；</w:t>
      </w:r>
    </w:p>
    <w:p w14:paraId="6488A0E8">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4、不出借或借用资质投标；</w:t>
      </w:r>
    </w:p>
    <w:p w14:paraId="21191FC1">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5、不通过串联的方式串标、围标、陪标；不组织或参与多家公司集体投标，形成投标团伙；不排挤竞争对手和其他潜在投标人投标；</w:t>
      </w:r>
    </w:p>
    <w:p w14:paraId="006C699C">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6、不采用威胁、利诱、胁迫等方式在评标结果确定前买卖投标文件或者诱使他人加入投标团伙；</w:t>
      </w:r>
    </w:p>
    <w:p w14:paraId="47E769AA">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7、不伪造人员证件、企业证照、单位公章、社保证明等；</w:t>
      </w:r>
    </w:p>
    <w:p w14:paraId="72AAAD34">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8、不参与投标人之间约定部分投标人放弃投标或者中标的行为；</w:t>
      </w:r>
    </w:p>
    <w:p w14:paraId="39D0D393">
      <w:pPr>
        <w:pStyle w:val="78"/>
        <w:spacing w:line="320" w:lineRule="exact"/>
        <w:ind w:firstLine="380" w:firstLineChars="181"/>
        <w:rPr>
          <w:rFonts w:hint="eastAsia" w:ascii="仿宋_GB2312" w:hAnsi="CESI仿宋-GB2312" w:eastAsia="仿宋_GB2312" w:cs="CESI仿宋-GB2312"/>
          <w:color w:val="auto"/>
          <w:sz w:val="21"/>
          <w:szCs w:val="21"/>
        </w:rPr>
      </w:pPr>
      <w:r>
        <w:rPr>
          <w:rFonts w:hint="eastAsia" w:ascii="仿宋_GB2312" w:hAnsi="方正仿宋简体" w:eastAsia="仿宋_GB2312"/>
          <w:color w:val="auto"/>
          <w:sz w:val="21"/>
          <w:szCs w:val="21"/>
        </w:rPr>
        <w:t>9、</w:t>
      </w:r>
      <w:r>
        <w:rPr>
          <w:rFonts w:hint="eastAsia" w:ascii="仿宋_GB2312" w:hAnsi="CESI仿宋-GB2312" w:eastAsia="仿宋_GB2312" w:cs="CESI仿宋-GB2312"/>
          <w:color w:val="auto"/>
          <w:sz w:val="21"/>
          <w:szCs w:val="21"/>
        </w:rPr>
        <w:t>不与招标人、招标代理机构串通投标，或者向招标人、招标代理机构或者评标委员会成员行贿的手段谋取中标；</w:t>
      </w:r>
    </w:p>
    <w:p w14:paraId="131F85A2">
      <w:pPr>
        <w:pStyle w:val="78"/>
        <w:spacing w:line="320" w:lineRule="exact"/>
        <w:ind w:firstLine="380" w:firstLineChars="181"/>
        <w:rPr>
          <w:rFonts w:hint="eastAsia" w:ascii="仿宋_GB2312" w:hAnsi="CESI仿宋-GB2312" w:eastAsia="仿宋_GB2312" w:cs="CESI仿宋-GB2312"/>
          <w:color w:val="auto"/>
          <w:sz w:val="21"/>
          <w:szCs w:val="21"/>
        </w:rPr>
      </w:pPr>
      <w:r>
        <w:rPr>
          <w:rFonts w:hint="eastAsia" w:ascii="仿宋_GB2312" w:hAnsi="CESI仿宋-GB2312" w:eastAsia="仿宋_GB2312" w:cs="CESI仿宋-GB2312"/>
          <w:color w:val="auto"/>
          <w:sz w:val="21"/>
          <w:szCs w:val="21"/>
        </w:rPr>
        <w:t>10、不与公共资源交易平台串通投标谋取中标，或者与公共资源交易平台非法合作获取电子招标、投标信息；</w:t>
      </w:r>
    </w:p>
    <w:p w14:paraId="2C5BCAC8">
      <w:pPr>
        <w:pStyle w:val="78"/>
        <w:spacing w:line="320" w:lineRule="exact"/>
        <w:ind w:firstLine="380" w:firstLineChars="181"/>
        <w:rPr>
          <w:rFonts w:hint="eastAsia" w:ascii="仿宋_GB2312" w:hAnsi="CESI仿宋-GB2312" w:eastAsia="仿宋_GB2312" w:cs="CESI仿宋-GB2312"/>
          <w:color w:val="auto"/>
          <w:sz w:val="21"/>
          <w:szCs w:val="21"/>
        </w:rPr>
      </w:pPr>
      <w:r>
        <w:rPr>
          <w:rFonts w:hint="eastAsia" w:ascii="仿宋_GB2312" w:hAnsi="CESI仿宋-GB2312" w:eastAsia="仿宋_GB2312" w:cs="CESI仿宋-GB2312"/>
          <w:color w:val="auto"/>
          <w:sz w:val="21"/>
          <w:szCs w:val="21"/>
        </w:rPr>
        <w:t>11、不胁迫其他潜在投标人放弃投标，或胁迫中标人放弃中标、转让中标项目等强揽工程行为；</w:t>
      </w:r>
    </w:p>
    <w:p w14:paraId="3207D414">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12、不在中标后故意放弃中标，或将工程转卖给其他投标人；</w:t>
      </w:r>
    </w:p>
    <w:p w14:paraId="353D76FD">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13、不以要挟、胁迫、恐吓、欺压等形式强行承包或者分包工程、强行供货或提供服务；</w:t>
      </w:r>
    </w:p>
    <w:p w14:paraId="1F5DFBDA">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14、不采用打、砸、抢等方式阻止其他人进入评标现场毁坏他人投标文件；</w:t>
      </w:r>
    </w:p>
    <w:p w14:paraId="39D3F364">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15、不鼓动其他投标人代表围堵招标人、招标代理、评标专家；</w:t>
      </w:r>
    </w:p>
    <w:p w14:paraId="442B9D91">
      <w:pPr>
        <w:pStyle w:val="79"/>
        <w:spacing w:line="320" w:lineRule="exact"/>
        <w:ind w:firstLine="380" w:firstLineChars="181"/>
        <w:rPr>
          <w:rFonts w:hint="eastAsia" w:ascii="仿宋_GB2312" w:hAnsi="方正仿宋简体" w:eastAsia="仿宋_GB2312"/>
          <w:color w:val="auto"/>
          <w:szCs w:val="21"/>
        </w:rPr>
      </w:pPr>
      <w:r>
        <w:rPr>
          <w:rFonts w:hint="eastAsia" w:ascii="仿宋_GB2312" w:hAnsi="方正仿宋简体" w:eastAsia="仿宋_GB2312"/>
          <w:color w:val="auto"/>
          <w:szCs w:val="21"/>
        </w:rPr>
        <w:t>16、不参与其他扰乱招投标活动的行为。</w:t>
      </w:r>
    </w:p>
    <w:p w14:paraId="400BA2E9">
      <w:pPr>
        <w:spacing w:line="320" w:lineRule="exact"/>
        <w:rPr>
          <w:color w:val="auto"/>
          <w:szCs w:val="21"/>
        </w:rPr>
      </w:pPr>
    </w:p>
    <w:p w14:paraId="6B65F272">
      <w:pPr>
        <w:spacing w:line="44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特此承诺。</w:t>
      </w:r>
    </w:p>
    <w:p w14:paraId="7DB05C68">
      <w:pPr>
        <w:spacing w:line="44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投标人</w:t>
      </w:r>
      <w:r>
        <w:rPr>
          <w:rFonts w:hint="eastAsia" w:ascii="仿宋" w:hAnsi="仿宋" w:eastAsia="仿宋"/>
          <w:color w:val="auto"/>
          <w:szCs w:val="21"/>
        </w:rPr>
        <w:t>（或联合体牵头人/联合体成员）</w:t>
      </w:r>
      <w:r>
        <w:rPr>
          <w:rFonts w:hint="eastAsia" w:ascii="仿宋_GB2312" w:hAnsi="仿宋_GB2312" w:eastAsia="仿宋_GB2312" w:cs="仿宋_GB2312"/>
          <w:color w:val="auto"/>
          <w:szCs w:val="21"/>
        </w:rPr>
        <w:t>：（名称、公章）</w:t>
      </w:r>
    </w:p>
    <w:p w14:paraId="66C57C09">
      <w:pPr>
        <w:spacing w:line="44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年  月   日</w:t>
      </w:r>
    </w:p>
    <w:p w14:paraId="3CA6EA62">
      <w:pPr>
        <w:rPr>
          <w:rFonts w:hint="eastAsia" w:ascii="仿宋" w:hAnsi="仿宋" w:eastAsia="仿宋"/>
          <w:b/>
          <w:color w:val="auto"/>
          <w:sz w:val="22"/>
        </w:rPr>
      </w:pPr>
      <w:r>
        <w:rPr>
          <w:rFonts w:hint="eastAsia" w:ascii="仿宋" w:hAnsi="仿宋" w:eastAsia="仿宋"/>
          <w:b/>
          <w:color w:val="auto"/>
          <w:sz w:val="22"/>
        </w:rPr>
        <w:t>注，如为联合体投标，联合体各方应分别填写《投标人不参与涉黑涉恶承诺书》，牵头单位的《投标人不参与涉黑涉恶承诺书》盖电子公章。联合体成员的《投标人不参与涉黑涉恶承诺书》可以是打印纸质盖章后的原件扫描件。</w:t>
      </w:r>
    </w:p>
    <w:p w14:paraId="3E3DE49D">
      <w:pPr>
        <w:spacing w:before="56" w:line="218" w:lineRule="auto"/>
        <w:ind w:left="29" w:right="78" w:rightChars="37" w:firstLine="0" w:firstLineChars="0"/>
        <w:outlineLvl w:val="3"/>
        <w:rPr>
          <w:rFonts w:ascii="Times New Roman" w:hAnsi="Times New Roman" w:eastAsia="宋体" w:cs="宋体"/>
          <w:color w:val="auto"/>
          <w:spacing w:val="-1"/>
          <w:sz w:val="28"/>
          <w:szCs w:val="28"/>
          <w:highlight w:val="none"/>
        </w:rPr>
      </w:pPr>
      <w:r>
        <w:rPr>
          <w:rFonts w:ascii="黑体" w:hAnsi="宋体" w:eastAsia="黑体"/>
          <w:color w:val="auto"/>
          <w:sz w:val="24"/>
        </w:rPr>
        <w:br w:type="page"/>
      </w:r>
      <w:r>
        <w:rPr>
          <w:rFonts w:hint="eastAsia" w:ascii="黑体" w:hAnsi="宋体" w:eastAsia="黑体" w:cs="Times New Roman"/>
          <w:color w:val="auto"/>
          <w:sz w:val="24"/>
        </w:rPr>
        <w:t>2、</w:t>
      </w:r>
      <w:r>
        <w:rPr>
          <w:rFonts w:hint="eastAsia" w:ascii="黑体" w:hAnsi="宋体" w:eastAsia="黑体" w:cs="Times New Roman"/>
          <w:color w:val="auto"/>
          <w:sz w:val="24"/>
          <w:lang w:eastAsia="zh-CN"/>
        </w:rPr>
        <w:t>大中型企业分包意向承诺书</w:t>
      </w:r>
    </w:p>
    <w:p w14:paraId="7EE25C70">
      <w:pPr>
        <w:spacing w:before="212" w:line="218" w:lineRule="auto"/>
        <w:ind w:right="78" w:rightChars="37" w:firstLine="0" w:firstLineChars="0"/>
        <w:jc w:val="center"/>
        <w:rPr>
          <w:rFonts w:ascii="Times New Roman" w:hAnsi="Times New Roman" w:eastAsia="宋体" w:cs="Times New Roman"/>
          <w:color w:val="auto"/>
          <w:highlight w:val="none"/>
        </w:rPr>
      </w:pPr>
      <w:r>
        <w:rPr>
          <w:rFonts w:hint="eastAsia" w:ascii="Times New Roman" w:hAnsi="Times New Roman" w:eastAsia="宋体" w:cs="宋体"/>
          <w:color w:val="auto"/>
          <w:spacing w:val="-1"/>
          <w:sz w:val="28"/>
          <w:szCs w:val="28"/>
          <w:highlight w:val="none"/>
          <w:lang w:eastAsia="zh-CN"/>
        </w:rPr>
        <w:t>大中型企业分包意向承诺书</w:t>
      </w:r>
    </w:p>
    <w:p w14:paraId="6001E5D5">
      <w:pPr>
        <w:spacing w:line="336" w:lineRule="auto"/>
        <w:ind w:right="78" w:rightChars="37" w:firstLine="0" w:firstLineChars="0"/>
        <w:rPr>
          <w:rFonts w:ascii="Times New Roman" w:hAnsi="Times New Roman" w:eastAsia="宋体" w:cs="Times New Roman"/>
          <w:color w:val="auto"/>
          <w:highlight w:val="none"/>
        </w:rPr>
      </w:pPr>
    </w:p>
    <w:p w14:paraId="3970E428">
      <w:pPr>
        <w:spacing w:before="74" w:line="360" w:lineRule="auto"/>
        <w:ind w:left="487" w:right="78" w:rightChars="37" w:firstLine="0" w:firstLineChars="0"/>
        <w:rPr>
          <w:rFonts w:ascii="Times New Roman" w:hAnsi="Times New Roman" w:eastAsia="宋体" w:cs="宋体"/>
          <w:color w:val="auto"/>
          <w:szCs w:val="21"/>
          <w:highlight w:val="none"/>
        </w:rPr>
      </w:pPr>
      <w:r>
        <w:rPr>
          <w:rFonts w:ascii="Times New Roman" w:hAnsi="Times New Roman" w:eastAsia="宋体" w:cs="宋体"/>
          <w:color w:val="auto"/>
          <w:spacing w:val="8"/>
          <w:szCs w:val="21"/>
          <w:highlight w:val="none"/>
        </w:rPr>
        <w:t>本公</w:t>
      </w:r>
      <w:r>
        <w:rPr>
          <w:rFonts w:ascii="Times New Roman" w:hAnsi="Times New Roman" w:eastAsia="宋体" w:cs="宋体"/>
          <w:color w:val="auto"/>
          <w:spacing w:val="4"/>
          <w:szCs w:val="21"/>
          <w:highlight w:val="none"/>
        </w:rPr>
        <w:t>司</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联合体</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参加</w:t>
      </w:r>
      <w:r>
        <w:rPr>
          <w:rFonts w:ascii="Times New Roman" w:hAnsi="Times New Roman" w:eastAsia="宋体" w:cs="宋体"/>
          <w:color w:val="auto"/>
          <w:spacing w:val="4"/>
          <w:szCs w:val="21"/>
          <w:highlight w:val="none"/>
          <w:u w:val="single"/>
        </w:rPr>
        <w:t xml:space="preserve">  </w:t>
      </w:r>
      <w:r>
        <w:rPr>
          <w:rFonts w:hint="eastAsia" w:ascii="Times New Roman" w:hAnsi="Times New Roman" w:eastAsia="宋体" w:cs="宋体"/>
          <w:color w:val="auto"/>
          <w:spacing w:val="4"/>
          <w:szCs w:val="21"/>
          <w:highlight w:val="none"/>
          <w:u w:val="single"/>
          <w:lang w:val="en-US" w:eastAsia="zh-CN"/>
        </w:rPr>
        <w:t xml:space="preserve">     </w:t>
      </w:r>
      <w:r>
        <w:rPr>
          <w:rFonts w:hint="eastAsia" w:ascii="Times New Roman" w:hAnsi="Times New Roman" w:eastAsia="宋体" w:cs="宋体"/>
          <w:color w:val="auto"/>
          <w:spacing w:val="4"/>
          <w:szCs w:val="21"/>
          <w:highlight w:val="none"/>
          <w:u w:val="single"/>
        </w:rPr>
        <w:t>（</w:t>
      </w:r>
      <w:r>
        <w:rPr>
          <w:rFonts w:ascii="Times New Roman" w:hAnsi="Times New Roman" w:eastAsia="宋体" w:cs="宋体"/>
          <w:color w:val="auto"/>
          <w:spacing w:val="4"/>
          <w:szCs w:val="21"/>
          <w:highlight w:val="none"/>
          <w:u w:val="single"/>
        </w:rPr>
        <w:t>单位名称</w:t>
      </w:r>
      <w:r>
        <w:rPr>
          <w:rFonts w:hint="eastAsia" w:ascii="Times New Roman" w:hAnsi="Times New Roman" w:eastAsia="宋体" w:cs="宋体"/>
          <w:color w:val="auto"/>
          <w:spacing w:val="4"/>
          <w:szCs w:val="21"/>
          <w:highlight w:val="none"/>
          <w:u w:val="single"/>
        </w:rPr>
        <w:t>）</w:t>
      </w:r>
      <w:r>
        <w:rPr>
          <w:rFonts w:ascii="Times New Roman" w:hAnsi="Times New Roman" w:eastAsia="宋体" w:cs="宋体"/>
          <w:color w:val="auto"/>
          <w:spacing w:val="4"/>
          <w:szCs w:val="21"/>
          <w:highlight w:val="none"/>
        </w:rPr>
        <w:t xml:space="preserve"> 的</w:t>
      </w:r>
      <w:r>
        <w:rPr>
          <w:rFonts w:ascii="Times New Roman" w:hAnsi="Times New Roman" w:eastAsia="宋体" w:cs="宋体"/>
          <w:color w:val="auto"/>
          <w:spacing w:val="4"/>
          <w:szCs w:val="21"/>
          <w:highlight w:val="none"/>
          <w:u w:val="single"/>
        </w:rPr>
        <w:t xml:space="preserve"> </w:t>
      </w:r>
      <w:r>
        <w:rPr>
          <w:rFonts w:hint="eastAsia" w:ascii="Times New Roman" w:hAnsi="Times New Roman" w:eastAsia="宋体" w:cs="宋体"/>
          <w:color w:val="auto"/>
          <w:spacing w:val="4"/>
          <w:szCs w:val="21"/>
          <w:highlight w:val="none"/>
          <w:u w:val="single"/>
          <w:lang w:val="en-US" w:eastAsia="zh-CN"/>
        </w:rPr>
        <w:t xml:space="preserve">      </w:t>
      </w:r>
      <w:r>
        <w:rPr>
          <w:rFonts w:hint="eastAsia" w:ascii="Times New Roman" w:hAnsi="Times New Roman" w:eastAsia="宋体" w:cs="宋体"/>
          <w:color w:val="auto"/>
          <w:spacing w:val="4"/>
          <w:szCs w:val="21"/>
          <w:highlight w:val="none"/>
          <w:u w:val="single"/>
        </w:rPr>
        <w:t>（</w:t>
      </w:r>
      <w:r>
        <w:rPr>
          <w:rFonts w:ascii="Times New Roman" w:hAnsi="Times New Roman" w:eastAsia="宋体" w:cs="宋体"/>
          <w:color w:val="auto"/>
          <w:spacing w:val="4"/>
          <w:szCs w:val="21"/>
          <w:highlight w:val="none"/>
          <w:u w:val="single"/>
        </w:rPr>
        <w:t>项目名称</w:t>
      </w:r>
      <w:r>
        <w:rPr>
          <w:rFonts w:hint="eastAsia" w:ascii="Times New Roman" w:hAnsi="Times New Roman" w:eastAsia="宋体" w:cs="宋体"/>
          <w:color w:val="auto"/>
          <w:spacing w:val="4"/>
          <w:szCs w:val="21"/>
          <w:highlight w:val="none"/>
          <w:u w:val="single"/>
        </w:rPr>
        <w:t>）</w:t>
      </w:r>
      <w:r>
        <w:rPr>
          <w:rFonts w:ascii="Times New Roman" w:hAnsi="Times New Roman" w:eastAsia="宋体" w:cs="宋体"/>
          <w:color w:val="auto"/>
          <w:spacing w:val="4"/>
          <w:szCs w:val="21"/>
          <w:highlight w:val="none"/>
          <w:u w:val="single"/>
        </w:rPr>
        <w:t xml:space="preserve"> </w:t>
      </w:r>
      <w:r>
        <w:rPr>
          <w:rFonts w:ascii="Times New Roman" w:hAnsi="Times New Roman" w:eastAsia="宋体" w:cs="宋体"/>
          <w:color w:val="auto"/>
          <w:spacing w:val="4"/>
          <w:szCs w:val="21"/>
          <w:highlight w:val="none"/>
        </w:rPr>
        <w:t>采购活动：</w:t>
      </w:r>
    </w:p>
    <w:p w14:paraId="33BB9A66">
      <w:pPr>
        <w:tabs>
          <w:tab w:val="left" w:pos="131"/>
        </w:tabs>
        <w:spacing w:before="183" w:line="360" w:lineRule="auto"/>
        <w:ind w:right="78" w:rightChars="37" w:firstLine="504" w:firstLineChars="0"/>
        <w:rPr>
          <w:rFonts w:ascii="Times New Roman" w:hAnsi="Times New Roman" w:eastAsia="宋体" w:cs="宋体"/>
          <w:color w:val="auto"/>
          <w:szCs w:val="21"/>
          <w:highlight w:val="none"/>
        </w:rPr>
      </w:pPr>
      <w:r>
        <w:rPr>
          <w:rFonts w:ascii="Times New Roman" w:hAnsi="Times New Roman" w:eastAsia="宋体" w:cs="宋体"/>
          <w:color w:val="auto"/>
          <w:spacing w:val="9"/>
          <w:szCs w:val="21"/>
          <w:highlight w:val="none"/>
        </w:rPr>
        <w:t>根据财政部、工业和信息化部关于印发《政府采购促进中小企业发展管理办法的通知</w:t>
      </w:r>
      <w:r>
        <w:rPr>
          <w:rFonts w:ascii="Times New Roman" w:hAnsi="Times New Roman" w:eastAsia="宋体" w:cs="宋体"/>
          <w:color w:val="auto"/>
          <w:spacing w:val="2"/>
          <w:szCs w:val="21"/>
          <w:highlight w:val="none"/>
        </w:rPr>
        <w:t>》</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6"/>
          <w:szCs w:val="21"/>
          <w:highlight w:val="none"/>
        </w:rPr>
        <w:t>财库【2020】46号</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6"/>
          <w:szCs w:val="21"/>
          <w:highlight w:val="none"/>
        </w:rPr>
        <w:t>与财政部《关于进一步加大政府采购支持中小企业力度的通知》</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4"/>
          <w:szCs w:val="21"/>
          <w:highlight w:val="none"/>
        </w:rPr>
        <w:t>财</w:t>
      </w:r>
      <w:r>
        <w:rPr>
          <w:rFonts w:ascii="Times New Roman" w:hAnsi="Times New Roman" w:eastAsia="宋体" w:cs="宋体"/>
          <w:color w:val="auto"/>
          <w:szCs w:val="21"/>
          <w:highlight w:val="none"/>
        </w:rPr>
        <w:t>库</w:t>
      </w:r>
      <w:r>
        <w:rPr>
          <w:rFonts w:ascii="Times New Roman" w:hAnsi="Times New Roman" w:eastAsia="宋体" w:cs="宋体"/>
          <w:color w:val="auto"/>
          <w:spacing w:val="4"/>
          <w:szCs w:val="21"/>
          <w:highlight w:val="none"/>
        </w:rPr>
        <w:t>【2022】19号</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规定：“要求投标人以联合体形式参加投标的，且联合体中中小企业承担的</w:t>
      </w:r>
      <w:r>
        <w:rPr>
          <w:rFonts w:ascii="Times New Roman" w:hAnsi="Times New Roman" w:eastAsia="宋体" w:cs="宋体"/>
          <w:color w:val="auto"/>
          <w:spacing w:val="2"/>
          <w:szCs w:val="21"/>
          <w:highlight w:val="none"/>
        </w:rPr>
        <w:t>部</w:t>
      </w:r>
      <w:r>
        <w:rPr>
          <w:rFonts w:ascii="Times New Roman" w:hAnsi="Times New Roman" w:eastAsia="宋体" w:cs="宋体"/>
          <w:color w:val="auto"/>
          <w:szCs w:val="21"/>
          <w:highlight w:val="none"/>
        </w:rPr>
        <w:t>分</w:t>
      </w:r>
      <w:r>
        <w:rPr>
          <w:rFonts w:ascii="Times New Roman" w:hAnsi="Times New Roman" w:eastAsia="宋体" w:cs="宋体"/>
          <w:color w:val="auto"/>
          <w:spacing w:val="10"/>
          <w:szCs w:val="21"/>
          <w:highlight w:val="none"/>
        </w:rPr>
        <w:t>达到一定比例；要求获得采购合同的投标人将采购项目中的一定比例分包给一家或者多家中小</w:t>
      </w:r>
      <w:r>
        <w:rPr>
          <w:rFonts w:ascii="Times New Roman" w:hAnsi="Times New Roman" w:eastAsia="宋体" w:cs="宋体"/>
          <w:color w:val="auto"/>
          <w:spacing w:val="1"/>
          <w:szCs w:val="21"/>
          <w:highlight w:val="none"/>
        </w:rPr>
        <w:t>企</w:t>
      </w:r>
      <w:r>
        <w:rPr>
          <w:rFonts w:ascii="Times New Roman" w:hAnsi="Times New Roman" w:eastAsia="宋体" w:cs="宋体"/>
          <w:color w:val="auto"/>
          <w:spacing w:val="7"/>
          <w:szCs w:val="21"/>
          <w:highlight w:val="none"/>
        </w:rPr>
        <w:t>业”。若投标人为</w:t>
      </w:r>
      <w:r>
        <w:rPr>
          <w:rFonts w:hint="eastAsia" w:ascii="Times New Roman" w:hAnsi="Times New Roman" w:eastAsia="宋体" w:cs="宋体"/>
          <w:color w:val="auto"/>
          <w:spacing w:val="7"/>
          <w:szCs w:val="21"/>
          <w:highlight w:val="none"/>
          <w:lang w:val="en-US" w:eastAsia="zh-CN"/>
        </w:rPr>
        <w:t>大</w:t>
      </w:r>
      <w:r>
        <w:rPr>
          <w:rFonts w:ascii="Times New Roman" w:hAnsi="Times New Roman" w:eastAsia="宋体" w:cs="宋体"/>
          <w:color w:val="auto"/>
          <w:spacing w:val="7"/>
          <w:szCs w:val="21"/>
          <w:highlight w:val="none"/>
        </w:rPr>
        <w:t>型企业，要求获得采购合同的投标人将采购项目中的一定比例分包给一</w:t>
      </w:r>
      <w:r>
        <w:rPr>
          <w:rFonts w:ascii="Times New Roman" w:hAnsi="Times New Roman" w:eastAsia="宋体" w:cs="宋体"/>
          <w:color w:val="auto"/>
          <w:spacing w:val="2"/>
          <w:szCs w:val="21"/>
          <w:highlight w:val="none"/>
        </w:rPr>
        <w:t>家</w:t>
      </w:r>
      <w:r>
        <w:rPr>
          <w:rFonts w:ascii="Times New Roman" w:hAnsi="Times New Roman" w:eastAsia="宋体" w:cs="宋体"/>
          <w:color w:val="auto"/>
          <w:spacing w:val="8"/>
          <w:szCs w:val="21"/>
          <w:highlight w:val="none"/>
        </w:rPr>
        <w:t>或者多家</w:t>
      </w:r>
      <w:r>
        <w:rPr>
          <w:rFonts w:hint="eastAsia" w:ascii="Times New Roman" w:hAnsi="Times New Roman" w:eastAsia="宋体" w:cs="宋体"/>
          <w:color w:val="auto"/>
          <w:spacing w:val="8"/>
          <w:szCs w:val="21"/>
          <w:highlight w:val="none"/>
        </w:rPr>
        <w:t>中小</w:t>
      </w:r>
      <w:r>
        <w:rPr>
          <w:rFonts w:ascii="Times New Roman" w:hAnsi="Times New Roman" w:eastAsia="宋体" w:cs="宋体"/>
          <w:color w:val="auto"/>
          <w:spacing w:val="8"/>
          <w:szCs w:val="21"/>
          <w:highlight w:val="none"/>
        </w:rPr>
        <w:t>企业</w:t>
      </w:r>
      <w:r>
        <w:rPr>
          <w:rFonts w:ascii="Times New Roman" w:hAnsi="Times New Roman" w:eastAsia="宋体" w:cs="宋体"/>
          <w:color w:val="auto"/>
          <w:spacing w:val="7"/>
          <w:szCs w:val="21"/>
          <w:highlight w:val="none"/>
        </w:rPr>
        <w:t>。若投标人为</w:t>
      </w:r>
      <w:r>
        <w:rPr>
          <w:rFonts w:hint="eastAsia" w:ascii="Times New Roman" w:hAnsi="Times New Roman" w:eastAsia="宋体" w:cs="宋体"/>
          <w:color w:val="auto"/>
          <w:spacing w:val="7"/>
          <w:szCs w:val="21"/>
          <w:highlight w:val="none"/>
          <w:lang w:val="en-US" w:eastAsia="zh-CN"/>
        </w:rPr>
        <w:t>中</w:t>
      </w:r>
      <w:r>
        <w:rPr>
          <w:rFonts w:ascii="Times New Roman" w:hAnsi="Times New Roman" w:eastAsia="宋体" w:cs="宋体"/>
          <w:color w:val="auto"/>
          <w:spacing w:val="7"/>
          <w:szCs w:val="21"/>
          <w:highlight w:val="none"/>
        </w:rPr>
        <w:t>型企业，要求获得采购合同的投标人将采购项目中的一定比例分包给一</w:t>
      </w:r>
      <w:r>
        <w:rPr>
          <w:rFonts w:ascii="Times New Roman" w:hAnsi="Times New Roman" w:eastAsia="宋体" w:cs="宋体"/>
          <w:color w:val="auto"/>
          <w:spacing w:val="2"/>
          <w:szCs w:val="21"/>
          <w:highlight w:val="none"/>
        </w:rPr>
        <w:t>家</w:t>
      </w:r>
      <w:r>
        <w:rPr>
          <w:rFonts w:ascii="Times New Roman" w:hAnsi="Times New Roman" w:eastAsia="宋体" w:cs="宋体"/>
          <w:color w:val="auto"/>
          <w:spacing w:val="8"/>
          <w:szCs w:val="21"/>
          <w:highlight w:val="none"/>
        </w:rPr>
        <w:t>或者多家</w:t>
      </w:r>
      <w:r>
        <w:rPr>
          <w:rFonts w:hint="eastAsia" w:ascii="Times New Roman" w:hAnsi="Times New Roman" w:eastAsia="宋体" w:cs="宋体"/>
          <w:color w:val="auto"/>
          <w:spacing w:val="8"/>
          <w:szCs w:val="21"/>
          <w:highlight w:val="none"/>
        </w:rPr>
        <w:t>小</w:t>
      </w:r>
      <w:r>
        <w:rPr>
          <w:rFonts w:hint="eastAsia" w:ascii="Times New Roman" w:hAnsi="Times New Roman" w:eastAsia="宋体" w:cs="宋体"/>
          <w:color w:val="auto"/>
          <w:spacing w:val="8"/>
          <w:szCs w:val="21"/>
          <w:highlight w:val="none"/>
          <w:lang w:val="en-US" w:eastAsia="zh-CN"/>
        </w:rPr>
        <w:t>微</w:t>
      </w:r>
      <w:r>
        <w:rPr>
          <w:rFonts w:ascii="Times New Roman" w:hAnsi="Times New Roman" w:eastAsia="宋体" w:cs="宋体"/>
          <w:color w:val="auto"/>
          <w:spacing w:val="8"/>
          <w:szCs w:val="21"/>
          <w:highlight w:val="none"/>
        </w:rPr>
        <w:t>企业</w:t>
      </w:r>
      <w:r>
        <w:rPr>
          <w:rFonts w:ascii="Times New Roman" w:hAnsi="Times New Roman" w:eastAsia="宋体" w:cs="宋体"/>
          <w:color w:val="auto"/>
          <w:spacing w:val="7"/>
          <w:szCs w:val="21"/>
          <w:highlight w:val="none"/>
        </w:rPr>
        <w:t>。</w:t>
      </w:r>
    </w:p>
    <w:p w14:paraId="53347DAA">
      <w:pPr>
        <w:spacing w:before="3" w:line="360" w:lineRule="auto"/>
        <w:ind w:left="7" w:right="78" w:rightChars="37" w:firstLine="481" w:firstLineChars="0"/>
        <w:rPr>
          <w:rFonts w:ascii="Times New Roman" w:hAnsi="Times New Roman" w:eastAsia="宋体" w:cs="宋体"/>
          <w:color w:val="auto"/>
          <w:spacing w:val="7"/>
          <w:szCs w:val="21"/>
          <w:highlight w:val="none"/>
        </w:rPr>
      </w:pPr>
      <w:r>
        <w:rPr>
          <w:rFonts w:hint="eastAsia" w:ascii="Times New Roman" w:hAnsi="Times New Roman" w:eastAsia="宋体" w:cs="宋体"/>
          <w:color w:val="auto"/>
          <w:spacing w:val="16"/>
          <w:szCs w:val="21"/>
          <w:highlight w:val="none"/>
          <w:lang w:val="en-US" w:eastAsia="zh-CN"/>
        </w:rPr>
        <w:t>1</w:t>
      </w:r>
      <w:r>
        <w:rPr>
          <w:rFonts w:ascii="Times New Roman" w:hAnsi="Times New Roman" w:eastAsia="宋体" w:cs="宋体"/>
          <w:color w:val="auto"/>
          <w:spacing w:val="16"/>
          <w:szCs w:val="21"/>
          <w:highlight w:val="none"/>
        </w:rPr>
        <w:t>、本公</w:t>
      </w:r>
      <w:r>
        <w:rPr>
          <w:rFonts w:ascii="Times New Roman" w:hAnsi="Times New Roman" w:eastAsia="宋体" w:cs="宋体"/>
          <w:color w:val="auto"/>
          <w:spacing w:val="9"/>
          <w:szCs w:val="21"/>
          <w:highlight w:val="none"/>
        </w:rPr>
        <w:t>司</w:t>
      </w:r>
      <w:r>
        <w:rPr>
          <w:rFonts w:hint="eastAsia" w:ascii="Times New Roman" w:hAnsi="Times New Roman" w:eastAsia="宋体" w:cs="宋体"/>
          <w:color w:val="auto"/>
          <w:spacing w:val="8"/>
          <w:szCs w:val="21"/>
          <w:highlight w:val="none"/>
        </w:rPr>
        <w:t>（</w:t>
      </w:r>
      <w:r>
        <w:rPr>
          <w:rFonts w:ascii="Times New Roman" w:hAnsi="Times New Roman" w:eastAsia="宋体" w:cs="宋体"/>
          <w:color w:val="auto"/>
          <w:spacing w:val="8"/>
          <w:szCs w:val="21"/>
          <w:highlight w:val="none"/>
        </w:rPr>
        <w:t>联合体)郑重承诺：本公司</w:t>
      </w:r>
      <w:r>
        <w:rPr>
          <w:rFonts w:hint="eastAsia" w:ascii="Times New Roman" w:hAnsi="Times New Roman" w:eastAsia="宋体" w:cs="宋体"/>
          <w:color w:val="auto"/>
          <w:spacing w:val="8"/>
          <w:szCs w:val="21"/>
          <w:highlight w:val="none"/>
        </w:rPr>
        <w:t>（</w:t>
      </w:r>
      <w:r>
        <w:rPr>
          <w:rFonts w:ascii="Times New Roman" w:hAnsi="Times New Roman" w:eastAsia="宋体" w:cs="宋体"/>
          <w:color w:val="auto"/>
          <w:spacing w:val="8"/>
          <w:szCs w:val="21"/>
          <w:highlight w:val="none"/>
        </w:rPr>
        <w:t>联合体)属于</w:t>
      </w:r>
      <w:r>
        <w:rPr>
          <w:rFonts w:ascii="Times New Roman" w:hAnsi="Times New Roman" w:eastAsia="宋体" w:cs="宋体"/>
          <w:color w:val="auto"/>
          <w:spacing w:val="8"/>
          <w:szCs w:val="21"/>
          <w:highlight w:val="none"/>
          <w:u w:val="single"/>
        </w:rPr>
        <w:t xml:space="preserve"> </w:t>
      </w:r>
      <w:r>
        <w:rPr>
          <w:rFonts w:hint="eastAsia" w:ascii="Times New Roman" w:hAnsi="Times New Roman" w:eastAsia="宋体" w:cs="宋体"/>
          <w:color w:val="auto"/>
          <w:spacing w:val="8"/>
          <w:szCs w:val="21"/>
          <w:highlight w:val="none"/>
          <w:u w:val="single"/>
        </w:rPr>
        <w:t>（</w:t>
      </w:r>
      <w:r>
        <w:rPr>
          <w:rFonts w:ascii="Times New Roman" w:hAnsi="Times New Roman" w:eastAsia="宋体" w:cs="宋体"/>
          <w:color w:val="auto"/>
          <w:spacing w:val="8"/>
          <w:szCs w:val="21"/>
          <w:highlight w:val="none"/>
          <w:u w:val="single"/>
        </w:rPr>
        <w:t>招标文件中明确的所属行业</w:t>
      </w:r>
      <w:r>
        <w:rPr>
          <w:rFonts w:hint="eastAsia" w:ascii="Times New Roman" w:hAnsi="Times New Roman" w:eastAsia="宋体" w:cs="宋体"/>
          <w:color w:val="auto"/>
          <w:spacing w:val="8"/>
          <w:szCs w:val="21"/>
          <w:highlight w:val="none"/>
          <w:u w:val="single"/>
        </w:rPr>
        <w:t>）</w:t>
      </w:r>
      <w:r>
        <w:rPr>
          <w:rFonts w:ascii="Times New Roman" w:hAnsi="Times New Roman" w:eastAsia="宋体" w:cs="宋体"/>
          <w:color w:val="auto"/>
          <w:spacing w:val="8"/>
          <w:szCs w:val="21"/>
          <w:highlight w:val="none"/>
        </w:rPr>
        <w:t>，</w:t>
      </w:r>
      <w:r>
        <w:rPr>
          <w:rFonts w:ascii="Times New Roman" w:hAnsi="Times New Roman" w:eastAsia="宋体" w:cs="宋体"/>
          <w:color w:val="auto"/>
          <w:spacing w:val="16"/>
          <w:szCs w:val="21"/>
          <w:highlight w:val="none"/>
        </w:rPr>
        <w:t>为</w:t>
      </w:r>
      <w:r>
        <w:rPr>
          <w:rFonts w:ascii="Times New Roman" w:hAnsi="Times New Roman" w:eastAsia="宋体" w:cs="宋体"/>
          <w:color w:val="auto"/>
          <w:spacing w:val="16"/>
          <w:szCs w:val="21"/>
          <w:highlight w:val="none"/>
          <w:u w:val="single"/>
        </w:rPr>
        <w:t xml:space="preserve">  </w:t>
      </w:r>
      <w:r>
        <w:rPr>
          <w:rFonts w:hint="eastAsia" w:ascii="Times New Roman" w:hAnsi="Times New Roman" w:eastAsia="宋体" w:cs="宋体"/>
          <w:color w:val="auto"/>
          <w:spacing w:val="16"/>
          <w:szCs w:val="21"/>
          <w:highlight w:val="none"/>
          <w:u w:val="single"/>
        </w:rPr>
        <w:t>（</w:t>
      </w:r>
      <w:r>
        <w:rPr>
          <w:rFonts w:hint="eastAsia" w:ascii="Times New Roman" w:hAnsi="Times New Roman" w:eastAsia="宋体" w:cs="宋体"/>
          <w:color w:val="auto"/>
          <w:spacing w:val="8"/>
          <w:szCs w:val="21"/>
          <w:highlight w:val="none"/>
          <w:u w:val="single"/>
          <w:lang w:val="en-US" w:eastAsia="zh-CN"/>
        </w:rPr>
        <w:t>大</w:t>
      </w:r>
      <w:r>
        <w:rPr>
          <w:rFonts w:ascii="Times New Roman" w:hAnsi="Times New Roman" w:eastAsia="宋体" w:cs="宋体"/>
          <w:color w:val="auto"/>
          <w:spacing w:val="8"/>
          <w:szCs w:val="21"/>
          <w:highlight w:val="none"/>
          <w:u w:val="single"/>
        </w:rPr>
        <w:t>型企业</w:t>
      </w:r>
      <w:r>
        <w:rPr>
          <w:rFonts w:hint="eastAsia" w:ascii="Times New Roman" w:hAnsi="Times New Roman" w:eastAsia="宋体" w:cs="宋体"/>
          <w:color w:val="auto"/>
          <w:spacing w:val="8"/>
          <w:szCs w:val="21"/>
          <w:highlight w:val="none"/>
          <w:u w:val="single"/>
        </w:rPr>
        <w:t>）</w:t>
      </w:r>
      <w:r>
        <w:rPr>
          <w:rFonts w:ascii="Times New Roman" w:hAnsi="Times New Roman" w:eastAsia="宋体" w:cs="宋体"/>
          <w:color w:val="auto"/>
          <w:spacing w:val="8"/>
          <w:szCs w:val="21"/>
          <w:highlight w:val="none"/>
        </w:rPr>
        <w:t>。如本公司</w:t>
      </w:r>
      <w:r>
        <w:rPr>
          <w:rFonts w:hint="eastAsia" w:ascii="Times New Roman" w:hAnsi="Times New Roman" w:eastAsia="宋体" w:cs="宋体"/>
          <w:color w:val="auto"/>
          <w:spacing w:val="8"/>
          <w:szCs w:val="21"/>
          <w:highlight w:val="none"/>
        </w:rPr>
        <w:t>（</w:t>
      </w:r>
      <w:r>
        <w:rPr>
          <w:rFonts w:ascii="Times New Roman" w:hAnsi="Times New Roman" w:eastAsia="宋体" w:cs="宋体"/>
          <w:color w:val="auto"/>
          <w:spacing w:val="8"/>
          <w:szCs w:val="21"/>
          <w:highlight w:val="none"/>
        </w:rPr>
        <w:t>联合体)中标，将中标项目的部分非主体、非关键性</w:t>
      </w:r>
      <w:r>
        <w:rPr>
          <w:rFonts w:ascii="Times New Roman" w:hAnsi="Times New Roman" w:eastAsia="宋体" w:cs="宋体"/>
          <w:color w:val="auto"/>
          <w:spacing w:val="12"/>
          <w:szCs w:val="21"/>
          <w:highlight w:val="none"/>
        </w:rPr>
        <w:t>工作</w:t>
      </w:r>
      <w:r>
        <w:rPr>
          <w:rFonts w:ascii="Times New Roman" w:hAnsi="Times New Roman" w:eastAsia="宋体" w:cs="宋体"/>
          <w:color w:val="auto"/>
          <w:spacing w:val="9"/>
          <w:szCs w:val="21"/>
          <w:highlight w:val="none"/>
        </w:rPr>
        <w:t>分</w:t>
      </w:r>
      <w:r>
        <w:rPr>
          <w:rFonts w:ascii="Times New Roman" w:hAnsi="Times New Roman" w:eastAsia="宋体" w:cs="宋体"/>
          <w:color w:val="auto"/>
          <w:spacing w:val="6"/>
          <w:szCs w:val="21"/>
          <w:highlight w:val="none"/>
        </w:rPr>
        <w:t>包给有相应资质的中小企业分包商：分包给中小企业的金额不少于合同总额的</w:t>
      </w:r>
      <w:r>
        <w:rPr>
          <w:rFonts w:ascii="Times New Roman" w:hAnsi="Times New Roman" w:eastAsia="宋体" w:cs="宋体"/>
          <w:color w:val="auto"/>
          <w:spacing w:val="6"/>
          <w:szCs w:val="21"/>
          <w:highlight w:val="none"/>
          <w:u w:val="single"/>
        </w:rPr>
        <w:t xml:space="preserve">     </w:t>
      </w:r>
      <w:r>
        <w:rPr>
          <w:rFonts w:ascii="Times New Roman" w:hAnsi="Times New Roman" w:eastAsia="宋体" w:cs="宋体"/>
          <w:color w:val="auto"/>
          <w:spacing w:val="6"/>
          <w:szCs w:val="21"/>
          <w:highlight w:val="none"/>
        </w:rPr>
        <w:t>%</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6"/>
          <w:szCs w:val="21"/>
          <w:highlight w:val="none"/>
        </w:rPr>
        <w:t>含</w:t>
      </w:r>
      <w:r>
        <w:rPr>
          <w:rFonts w:ascii="Times New Roman" w:hAnsi="Times New Roman" w:eastAsia="宋体" w:cs="宋体"/>
          <w:color w:val="auto"/>
          <w:spacing w:val="12"/>
          <w:szCs w:val="21"/>
          <w:highlight w:val="none"/>
        </w:rPr>
        <w:t>联</w:t>
      </w:r>
      <w:r>
        <w:rPr>
          <w:rFonts w:ascii="Times New Roman" w:hAnsi="Times New Roman" w:eastAsia="宋体" w:cs="宋体"/>
          <w:color w:val="auto"/>
          <w:spacing w:val="9"/>
          <w:szCs w:val="21"/>
          <w:highlight w:val="none"/>
        </w:rPr>
        <w:t>合</w:t>
      </w:r>
      <w:r>
        <w:rPr>
          <w:rFonts w:ascii="Times New Roman" w:hAnsi="Times New Roman" w:eastAsia="宋体" w:cs="宋体"/>
          <w:color w:val="auto"/>
          <w:spacing w:val="6"/>
          <w:szCs w:val="21"/>
          <w:highlight w:val="none"/>
        </w:rPr>
        <w:t>体中的中小企业所占份额)，分包给小微企业的金额不少于合同总额的</w:t>
      </w:r>
      <w:r>
        <w:rPr>
          <w:rFonts w:ascii="Times New Roman" w:hAnsi="Times New Roman" w:eastAsia="宋体" w:cs="宋体"/>
          <w:color w:val="auto"/>
          <w:spacing w:val="6"/>
          <w:szCs w:val="21"/>
          <w:highlight w:val="none"/>
          <w:u w:val="single"/>
        </w:rPr>
        <w:t xml:space="preserve">     </w:t>
      </w:r>
      <w:r>
        <w:rPr>
          <w:rFonts w:ascii="Times New Roman" w:hAnsi="Times New Roman" w:eastAsia="宋体" w:cs="宋体"/>
          <w:color w:val="auto"/>
          <w:spacing w:val="6"/>
          <w:szCs w:val="21"/>
          <w:highlight w:val="none"/>
        </w:rPr>
        <w:t>%</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6"/>
          <w:szCs w:val="21"/>
          <w:highlight w:val="none"/>
        </w:rPr>
        <w:t>含联合体中</w:t>
      </w:r>
      <w:r>
        <w:rPr>
          <w:rFonts w:ascii="Times New Roman" w:hAnsi="Times New Roman" w:eastAsia="宋体" w:cs="宋体"/>
          <w:color w:val="auto"/>
          <w:spacing w:val="14"/>
          <w:szCs w:val="21"/>
          <w:highlight w:val="none"/>
        </w:rPr>
        <w:t>的</w:t>
      </w:r>
      <w:r>
        <w:rPr>
          <w:rFonts w:ascii="Times New Roman" w:hAnsi="Times New Roman" w:eastAsia="宋体" w:cs="宋体"/>
          <w:color w:val="auto"/>
          <w:spacing w:val="7"/>
          <w:szCs w:val="21"/>
          <w:highlight w:val="none"/>
        </w:rPr>
        <w:t>小微企业所占份额)。</w:t>
      </w:r>
    </w:p>
    <w:p w14:paraId="46466C34">
      <w:pPr>
        <w:spacing w:before="3" w:line="360" w:lineRule="auto"/>
        <w:ind w:left="7" w:right="78" w:rightChars="37" w:firstLine="481" w:firstLineChars="0"/>
        <w:rPr>
          <w:rFonts w:ascii="Times New Roman" w:hAnsi="Times New Roman" w:eastAsia="宋体" w:cs="宋体"/>
          <w:color w:val="auto"/>
          <w:spacing w:val="7"/>
          <w:szCs w:val="21"/>
          <w:highlight w:val="none"/>
        </w:rPr>
      </w:pPr>
      <w:r>
        <w:rPr>
          <w:rFonts w:hint="eastAsia" w:ascii="Times New Roman" w:hAnsi="Times New Roman" w:eastAsia="宋体" w:cs="宋体"/>
          <w:color w:val="auto"/>
          <w:spacing w:val="16"/>
          <w:szCs w:val="21"/>
          <w:highlight w:val="none"/>
          <w:lang w:val="en-US" w:eastAsia="zh-CN"/>
        </w:rPr>
        <w:t>2、</w:t>
      </w:r>
      <w:r>
        <w:rPr>
          <w:rFonts w:ascii="Times New Roman" w:hAnsi="Times New Roman" w:eastAsia="宋体" w:cs="宋体"/>
          <w:color w:val="auto"/>
          <w:spacing w:val="16"/>
          <w:szCs w:val="21"/>
          <w:highlight w:val="none"/>
        </w:rPr>
        <w:t>本公</w:t>
      </w:r>
      <w:r>
        <w:rPr>
          <w:rFonts w:ascii="Times New Roman" w:hAnsi="Times New Roman" w:eastAsia="宋体" w:cs="宋体"/>
          <w:color w:val="auto"/>
          <w:spacing w:val="9"/>
          <w:szCs w:val="21"/>
          <w:highlight w:val="none"/>
        </w:rPr>
        <w:t>司</w:t>
      </w:r>
      <w:r>
        <w:rPr>
          <w:rFonts w:hint="eastAsia" w:ascii="Times New Roman" w:hAnsi="Times New Roman" w:eastAsia="宋体" w:cs="宋体"/>
          <w:color w:val="auto"/>
          <w:spacing w:val="8"/>
          <w:szCs w:val="21"/>
          <w:highlight w:val="none"/>
        </w:rPr>
        <w:t>（</w:t>
      </w:r>
      <w:r>
        <w:rPr>
          <w:rFonts w:ascii="Times New Roman" w:hAnsi="Times New Roman" w:eastAsia="宋体" w:cs="宋体"/>
          <w:color w:val="auto"/>
          <w:spacing w:val="8"/>
          <w:szCs w:val="21"/>
          <w:highlight w:val="none"/>
        </w:rPr>
        <w:t>联合体)郑重承诺：本公司</w:t>
      </w:r>
      <w:r>
        <w:rPr>
          <w:rFonts w:hint="eastAsia" w:ascii="Times New Roman" w:hAnsi="Times New Roman" w:eastAsia="宋体" w:cs="宋体"/>
          <w:color w:val="auto"/>
          <w:spacing w:val="8"/>
          <w:szCs w:val="21"/>
          <w:highlight w:val="none"/>
        </w:rPr>
        <w:t>（</w:t>
      </w:r>
      <w:r>
        <w:rPr>
          <w:rFonts w:ascii="Times New Roman" w:hAnsi="Times New Roman" w:eastAsia="宋体" w:cs="宋体"/>
          <w:color w:val="auto"/>
          <w:spacing w:val="8"/>
          <w:szCs w:val="21"/>
          <w:highlight w:val="none"/>
        </w:rPr>
        <w:t>联合体)属于</w:t>
      </w:r>
      <w:r>
        <w:rPr>
          <w:rFonts w:ascii="Times New Roman" w:hAnsi="Times New Roman" w:eastAsia="宋体" w:cs="宋体"/>
          <w:color w:val="auto"/>
          <w:spacing w:val="8"/>
          <w:szCs w:val="21"/>
          <w:highlight w:val="none"/>
          <w:u w:val="single"/>
        </w:rPr>
        <w:t xml:space="preserve"> </w:t>
      </w:r>
      <w:r>
        <w:rPr>
          <w:rFonts w:hint="eastAsia" w:ascii="Times New Roman" w:hAnsi="Times New Roman" w:eastAsia="宋体" w:cs="宋体"/>
          <w:color w:val="auto"/>
          <w:spacing w:val="8"/>
          <w:szCs w:val="21"/>
          <w:highlight w:val="none"/>
          <w:u w:val="single"/>
        </w:rPr>
        <w:t>（</w:t>
      </w:r>
      <w:r>
        <w:rPr>
          <w:rFonts w:ascii="Times New Roman" w:hAnsi="Times New Roman" w:eastAsia="宋体" w:cs="宋体"/>
          <w:color w:val="auto"/>
          <w:spacing w:val="8"/>
          <w:szCs w:val="21"/>
          <w:highlight w:val="none"/>
          <w:u w:val="single"/>
        </w:rPr>
        <w:t>招标文件中明确的所属行业</w:t>
      </w:r>
      <w:r>
        <w:rPr>
          <w:rFonts w:hint="eastAsia" w:ascii="Times New Roman" w:hAnsi="Times New Roman" w:eastAsia="宋体" w:cs="宋体"/>
          <w:color w:val="auto"/>
          <w:spacing w:val="8"/>
          <w:szCs w:val="21"/>
          <w:highlight w:val="none"/>
          <w:u w:val="single"/>
        </w:rPr>
        <w:t>）</w:t>
      </w:r>
      <w:r>
        <w:rPr>
          <w:rFonts w:ascii="Times New Roman" w:hAnsi="Times New Roman" w:eastAsia="宋体" w:cs="宋体"/>
          <w:color w:val="auto"/>
          <w:spacing w:val="8"/>
          <w:szCs w:val="21"/>
          <w:highlight w:val="none"/>
        </w:rPr>
        <w:t>，</w:t>
      </w:r>
      <w:r>
        <w:rPr>
          <w:rFonts w:ascii="Times New Roman" w:hAnsi="Times New Roman" w:eastAsia="宋体" w:cs="宋体"/>
          <w:color w:val="auto"/>
          <w:spacing w:val="16"/>
          <w:szCs w:val="21"/>
          <w:highlight w:val="none"/>
        </w:rPr>
        <w:t>为</w:t>
      </w:r>
      <w:r>
        <w:rPr>
          <w:rFonts w:ascii="Times New Roman" w:hAnsi="Times New Roman" w:eastAsia="宋体" w:cs="宋体"/>
          <w:color w:val="auto"/>
          <w:spacing w:val="16"/>
          <w:szCs w:val="21"/>
          <w:highlight w:val="none"/>
          <w:u w:val="single"/>
        </w:rPr>
        <w:t xml:space="preserve">  </w:t>
      </w:r>
      <w:r>
        <w:rPr>
          <w:rFonts w:hint="eastAsia" w:ascii="Times New Roman" w:hAnsi="Times New Roman" w:eastAsia="宋体" w:cs="宋体"/>
          <w:color w:val="auto"/>
          <w:spacing w:val="16"/>
          <w:szCs w:val="21"/>
          <w:highlight w:val="none"/>
          <w:u w:val="single"/>
        </w:rPr>
        <w:t>（</w:t>
      </w:r>
      <w:r>
        <w:rPr>
          <w:rFonts w:hint="eastAsia" w:ascii="Times New Roman" w:hAnsi="Times New Roman" w:eastAsia="宋体" w:cs="宋体"/>
          <w:color w:val="auto"/>
          <w:spacing w:val="8"/>
          <w:szCs w:val="21"/>
          <w:highlight w:val="none"/>
          <w:u w:val="single"/>
          <w:lang w:val="en-US" w:eastAsia="zh-CN"/>
        </w:rPr>
        <w:t>中</w:t>
      </w:r>
      <w:r>
        <w:rPr>
          <w:rFonts w:ascii="Times New Roman" w:hAnsi="Times New Roman" w:eastAsia="宋体" w:cs="宋体"/>
          <w:color w:val="auto"/>
          <w:spacing w:val="8"/>
          <w:szCs w:val="21"/>
          <w:highlight w:val="none"/>
          <w:u w:val="single"/>
        </w:rPr>
        <w:t>型企业</w:t>
      </w:r>
      <w:r>
        <w:rPr>
          <w:rFonts w:hint="eastAsia" w:ascii="Times New Roman" w:hAnsi="Times New Roman" w:eastAsia="宋体" w:cs="宋体"/>
          <w:color w:val="auto"/>
          <w:spacing w:val="8"/>
          <w:szCs w:val="21"/>
          <w:highlight w:val="none"/>
          <w:u w:val="single"/>
        </w:rPr>
        <w:t>）</w:t>
      </w:r>
      <w:r>
        <w:rPr>
          <w:rFonts w:ascii="Times New Roman" w:hAnsi="Times New Roman" w:eastAsia="宋体" w:cs="宋体"/>
          <w:color w:val="auto"/>
          <w:spacing w:val="8"/>
          <w:szCs w:val="21"/>
          <w:highlight w:val="none"/>
        </w:rPr>
        <w:t>。如本公司</w:t>
      </w:r>
      <w:r>
        <w:rPr>
          <w:rFonts w:hint="eastAsia" w:ascii="Times New Roman" w:hAnsi="Times New Roman" w:eastAsia="宋体" w:cs="宋体"/>
          <w:color w:val="auto"/>
          <w:spacing w:val="8"/>
          <w:szCs w:val="21"/>
          <w:highlight w:val="none"/>
        </w:rPr>
        <w:t>（</w:t>
      </w:r>
      <w:r>
        <w:rPr>
          <w:rFonts w:ascii="Times New Roman" w:hAnsi="Times New Roman" w:eastAsia="宋体" w:cs="宋体"/>
          <w:color w:val="auto"/>
          <w:spacing w:val="8"/>
          <w:szCs w:val="21"/>
          <w:highlight w:val="none"/>
        </w:rPr>
        <w:t>联合体)中标，将中标项目的部分非主体、非关键性</w:t>
      </w:r>
      <w:r>
        <w:rPr>
          <w:rFonts w:ascii="Times New Roman" w:hAnsi="Times New Roman" w:eastAsia="宋体" w:cs="宋体"/>
          <w:color w:val="auto"/>
          <w:spacing w:val="12"/>
          <w:szCs w:val="21"/>
          <w:highlight w:val="none"/>
        </w:rPr>
        <w:t>工作</w:t>
      </w:r>
      <w:r>
        <w:rPr>
          <w:rFonts w:ascii="Times New Roman" w:hAnsi="Times New Roman" w:eastAsia="宋体" w:cs="宋体"/>
          <w:color w:val="auto"/>
          <w:spacing w:val="9"/>
          <w:szCs w:val="21"/>
          <w:highlight w:val="none"/>
        </w:rPr>
        <w:t>分</w:t>
      </w:r>
      <w:r>
        <w:rPr>
          <w:rFonts w:ascii="Times New Roman" w:hAnsi="Times New Roman" w:eastAsia="宋体" w:cs="宋体"/>
          <w:color w:val="auto"/>
          <w:spacing w:val="6"/>
          <w:szCs w:val="21"/>
          <w:highlight w:val="none"/>
        </w:rPr>
        <w:t>包给有相应资质的小</w:t>
      </w:r>
      <w:r>
        <w:rPr>
          <w:rFonts w:hint="eastAsia" w:ascii="Times New Roman" w:hAnsi="Times New Roman" w:eastAsia="宋体" w:cs="宋体"/>
          <w:color w:val="auto"/>
          <w:spacing w:val="6"/>
          <w:szCs w:val="21"/>
          <w:highlight w:val="none"/>
          <w:lang w:val="en-US" w:eastAsia="zh-CN"/>
        </w:rPr>
        <w:t>微</w:t>
      </w:r>
      <w:r>
        <w:rPr>
          <w:rFonts w:ascii="Times New Roman" w:hAnsi="Times New Roman" w:eastAsia="宋体" w:cs="宋体"/>
          <w:color w:val="auto"/>
          <w:spacing w:val="6"/>
          <w:szCs w:val="21"/>
          <w:highlight w:val="none"/>
        </w:rPr>
        <w:t>企业分包商：分包给小微企业的金额不少于合同总额的</w:t>
      </w:r>
      <w:r>
        <w:rPr>
          <w:rFonts w:ascii="Times New Roman" w:hAnsi="Times New Roman" w:eastAsia="宋体" w:cs="宋体"/>
          <w:color w:val="auto"/>
          <w:spacing w:val="6"/>
          <w:szCs w:val="21"/>
          <w:highlight w:val="none"/>
          <w:u w:val="single"/>
        </w:rPr>
        <w:t xml:space="preserve">     </w:t>
      </w:r>
      <w:r>
        <w:rPr>
          <w:rFonts w:ascii="Times New Roman" w:hAnsi="Times New Roman" w:eastAsia="宋体" w:cs="宋体"/>
          <w:color w:val="auto"/>
          <w:spacing w:val="6"/>
          <w:szCs w:val="21"/>
          <w:highlight w:val="none"/>
        </w:rPr>
        <w:t>%</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6"/>
          <w:szCs w:val="21"/>
          <w:highlight w:val="none"/>
        </w:rPr>
        <w:t>含联合体中</w:t>
      </w:r>
      <w:r>
        <w:rPr>
          <w:rFonts w:ascii="Times New Roman" w:hAnsi="Times New Roman" w:eastAsia="宋体" w:cs="宋体"/>
          <w:color w:val="auto"/>
          <w:spacing w:val="14"/>
          <w:szCs w:val="21"/>
          <w:highlight w:val="none"/>
        </w:rPr>
        <w:t>的</w:t>
      </w:r>
      <w:r>
        <w:rPr>
          <w:rFonts w:ascii="Times New Roman" w:hAnsi="Times New Roman" w:eastAsia="宋体" w:cs="宋体"/>
          <w:color w:val="auto"/>
          <w:spacing w:val="7"/>
          <w:szCs w:val="21"/>
          <w:highlight w:val="none"/>
        </w:rPr>
        <w:t>小微企业所占份额)。</w:t>
      </w:r>
    </w:p>
    <w:p w14:paraId="7E88F6CA">
      <w:pPr>
        <w:spacing w:line="360" w:lineRule="auto"/>
        <w:ind w:left="6" w:right="78" w:rightChars="37" w:firstLine="602" w:firstLineChars="0"/>
        <w:rPr>
          <w:rFonts w:ascii="Times New Roman" w:hAnsi="Times New Roman" w:eastAsia="宋体" w:cs="Times New Roman"/>
          <w:color w:val="auto"/>
          <w:szCs w:val="21"/>
          <w:highlight w:val="none"/>
        </w:rPr>
      </w:pPr>
      <w:r>
        <w:rPr>
          <w:rFonts w:ascii="Times New Roman" w:hAnsi="Times New Roman" w:eastAsia="宋体" w:cs="宋体"/>
          <w:color w:val="auto"/>
          <w:spacing w:val="18"/>
          <w:szCs w:val="21"/>
          <w:highlight w:val="none"/>
        </w:rPr>
        <w:t>组成</w:t>
      </w:r>
      <w:r>
        <w:rPr>
          <w:rFonts w:ascii="Times New Roman" w:hAnsi="Times New Roman" w:eastAsia="宋体" w:cs="宋体"/>
          <w:color w:val="auto"/>
          <w:spacing w:val="17"/>
          <w:szCs w:val="21"/>
          <w:highlight w:val="none"/>
        </w:rPr>
        <w:t>联</w:t>
      </w:r>
      <w:r>
        <w:rPr>
          <w:rFonts w:ascii="Times New Roman" w:hAnsi="Times New Roman" w:eastAsia="宋体" w:cs="宋体"/>
          <w:color w:val="auto"/>
          <w:spacing w:val="9"/>
          <w:szCs w:val="21"/>
          <w:highlight w:val="none"/>
        </w:rPr>
        <w:t>合体的或者接受分包的中小企业与联合体内其他企业、分包企业之间不存在直接控</w:t>
      </w:r>
      <w:r>
        <w:rPr>
          <w:rFonts w:ascii="Times New Roman" w:hAnsi="Times New Roman" w:eastAsia="宋体" w:cs="宋体"/>
          <w:color w:val="auto"/>
          <w:spacing w:val="8"/>
          <w:szCs w:val="21"/>
          <w:highlight w:val="none"/>
        </w:rPr>
        <w:t>股</w:t>
      </w:r>
      <w:r>
        <w:rPr>
          <w:rFonts w:ascii="Times New Roman" w:hAnsi="Times New Roman" w:eastAsia="宋体" w:cs="宋体"/>
          <w:color w:val="auto"/>
          <w:spacing w:val="7"/>
          <w:szCs w:val="21"/>
          <w:highlight w:val="none"/>
        </w:rPr>
        <w:t>、管理关系</w:t>
      </w:r>
      <w:r>
        <w:rPr>
          <w:rFonts w:hint="eastAsia" w:ascii="Times New Roman" w:hAnsi="Times New Roman" w:eastAsia="宋体" w:cs="宋体"/>
          <w:color w:val="auto"/>
          <w:spacing w:val="7"/>
          <w:szCs w:val="21"/>
          <w:highlight w:val="none"/>
        </w:rPr>
        <w:t>；也不存在与大企业的负责人为同一人，或者与大企业存在直接控股、管理关系的情况。</w:t>
      </w:r>
    </w:p>
    <w:p w14:paraId="3CAAC438">
      <w:pPr>
        <w:spacing w:line="360" w:lineRule="auto"/>
        <w:ind w:right="78" w:rightChars="37" w:firstLine="0" w:firstLineChars="0"/>
        <w:rPr>
          <w:rFonts w:ascii="Times New Roman" w:hAnsi="Times New Roman" w:eastAsia="宋体" w:cs="Times New Roman"/>
          <w:color w:val="auto"/>
          <w:szCs w:val="21"/>
          <w:highlight w:val="none"/>
        </w:rPr>
      </w:pPr>
    </w:p>
    <w:p w14:paraId="079C6A81">
      <w:pPr>
        <w:spacing w:before="75" w:line="360" w:lineRule="auto"/>
        <w:ind w:right="78" w:rightChars="37" w:firstLine="4520" w:firstLineChars="2000"/>
        <w:rPr>
          <w:rFonts w:ascii="Times New Roman" w:hAnsi="Times New Roman" w:eastAsia="宋体" w:cs="宋体"/>
          <w:color w:val="auto"/>
          <w:szCs w:val="21"/>
          <w:highlight w:val="none"/>
        </w:rPr>
      </w:pPr>
      <w:r>
        <w:rPr>
          <w:rFonts w:ascii="Times New Roman" w:hAnsi="Times New Roman" w:eastAsia="宋体" w:cs="宋体"/>
          <w:color w:val="auto"/>
          <w:spacing w:val="8"/>
          <w:position w:val="5"/>
          <w:szCs w:val="21"/>
          <w:highlight w:val="none"/>
        </w:rPr>
        <w:t>企</w:t>
      </w:r>
      <w:r>
        <w:rPr>
          <w:rFonts w:ascii="Times New Roman" w:hAnsi="Times New Roman" w:eastAsia="宋体" w:cs="宋体"/>
          <w:color w:val="auto"/>
          <w:spacing w:val="6"/>
          <w:position w:val="5"/>
          <w:szCs w:val="21"/>
          <w:highlight w:val="none"/>
        </w:rPr>
        <w:t>业名称</w:t>
      </w:r>
      <w:r>
        <w:rPr>
          <w:rFonts w:hint="eastAsia" w:ascii="Times New Roman" w:hAnsi="Times New Roman" w:eastAsia="宋体" w:cs="宋体"/>
          <w:color w:val="auto"/>
          <w:spacing w:val="6"/>
          <w:position w:val="5"/>
          <w:szCs w:val="21"/>
          <w:highlight w:val="none"/>
        </w:rPr>
        <w:t>（</w:t>
      </w:r>
      <w:r>
        <w:rPr>
          <w:rFonts w:ascii="Times New Roman" w:hAnsi="Times New Roman" w:eastAsia="宋体" w:cs="宋体"/>
          <w:color w:val="auto"/>
          <w:spacing w:val="6"/>
          <w:position w:val="5"/>
          <w:szCs w:val="21"/>
          <w:highlight w:val="none"/>
        </w:rPr>
        <w:t>盖章</w:t>
      </w:r>
      <w:r>
        <w:rPr>
          <w:rFonts w:hint="eastAsia" w:ascii="Times New Roman" w:hAnsi="Times New Roman" w:eastAsia="宋体" w:cs="宋体"/>
          <w:color w:val="auto"/>
          <w:spacing w:val="6"/>
          <w:position w:val="5"/>
          <w:szCs w:val="21"/>
          <w:highlight w:val="none"/>
        </w:rPr>
        <w:t>）</w:t>
      </w:r>
      <w:r>
        <w:rPr>
          <w:rFonts w:ascii="Times New Roman" w:hAnsi="Times New Roman" w:eastAsia="宋体" w:cs="宋体"/>
          <w:color w:val="auto"/>
          <w:spacing w:val="6"/>
          <w:position w:val="5"/>
          <w:szCs w:val="21"/>
          <w:highlight w:val="none"/>
        </w:rPr>
        <w:t>：</w:t>
      </w:r>
      <w:r>
        <w:rPr>
          <w:rFonts w:hint="eastAsia" w:ascii="Times New Roman" w:hAnsi="Times New Roman" w:eastAsia="宋体" w:cs="宋体"/>
          <w:color w:val="auto"/>
          <w:spacing w:val="3"/>
          <w:szCs w:val="21"/>
          <w:highlight w:val="none"/>
          <w:u w:val="single"/>
        </w:rPr>
        <w:t xml:space="preserve"> </w:t>
      </w:r>
      <w:r>
        <w:rPr>
          <w:rFonts w:hint="eastAsia" w:ascii="Times New Roman" w:hAnsi="Times New Roman" w:eastAsia="宋体" w:cs="宋体"/>
          <w:color w:val="auto"/>
          <w:spacing w:val="3"/>
          <w:szCs w:val="21"/>
          <w:highlight w:val="none"/>
          <w:u w:val="single"/>
          <w:lang w:val="en-US" w:eastAsia="zh-CN"/>
        </w:rPr>
        <w:t xml:space="preserve">         </w:t>
      </w:r>
      <w:r>
        <w:rPr>
          <w:rFonts w:hint="eastAsia" w:ascii="Times New Roman" w:hAnsi="Times New Roman" w:eastAsia="宋体" w:cs="宋体"/>
          <w:color w:val="auto"/>
          <w:spacing w:val="3"/>
          <w:szCs w:val="21"/>
          <w:highlight w:val="none"/>
          <w:u w:val="single"/>
        </w:rPr>
        <w:t xml:space="preserve">    </w:t>
      </w:r>
    </w:p>
    <w:p w14:paraId="3F504869">
      <w:pPr>
        <w:spacing w:before="75" w:line="360" w:lineRule="auto"/>
        <w:ind w:right="78" w:rightChars="37" w:firstLine="4520" w:firstLineChars="2000"/>
        <w:rPr>
          <w:rFonts w:ascii="Times New Roman" w:hAnsi="Times New Roman" w:eastAsia="宋体" w:cs="宋体"/>
          <w:color w:val="auto"/>
          <w:spacing w:val="8"/>
          <w:position w:val="5"/>
          <w:szCs w:val="21"/>
          <w:highlight w:val="none"/>
        </w:rPr>
      </w:pPr>
      <w:r>
        <w:rPr>
          <w:rFonts w:ascii="Times New Roman" w:hAnsi="Times New Roman" w:eastAsia="宋体" w:cs="宋体"/>
          <w:color w:val="auto"/>
          <w:spacing w:val="8"/>
          <w:position w:val="5"/>
          <w:szCs w:val="21"/>
          <w:highlight w:val="none"/>
        </w:rPr>
        <w:t>日期：</w:t>
      </w:r>
      <w:r>
        <w:rPr>
          <w:rFonts w:hint="eastAsia" w:ascii="Times New Roman" w:hAnsi="Times New Roman" w:eastAsia="宋体" w:cs="宋体"/>
          <w:color w:val="auto"/>
          <w:spacing w:val="8"/>
          <w:position w:val="5"/>
          <w:szCs w:val="21"/>
          <w:highlight w:val="none"/>
          <w:u w:val="single"/>
        </w:rPr>
        <w:t xml:space="preserve">              </w:t>
      </w:r>
      <w:r>
        <w:rPr>
          <w:rFonts w:hint="eastAsia" w:ascii="Times New Roman" w:hAnsi="Times New Roman" w:eastAsia="宋体" w:cs="宋体"/>
          <w:color w:val="auto"/>
          <w:spacing w:val="8"/>
          <w:position w:val="5"/>
          <w:szCs w:val="21"/>
          <w:highlight w:val="none"/>
          <w:u w:val="single"/>
          <w:lang w:val="en-US" w:eastAsia="zh-CN"/>
        </w:rPr>
        <w:t xml:space="preserve">       </w:t>
      </w:r>
      <w:r>
        <w:rPr>
          <w:rFonts w:hint="eastAsia" w:ascii="Times New Roman" w:hAnsi="Times New Roman" w:eastAsia="宋体" w:cs="宋体"/>
          <w:color w:val="auto"/>
          <w:spacing w:val="8"/>
          <w:position w:val="5"/>
          <w:szCs w:val="21"/>
          <w:highlight w:val="none"/>
          <w:u w:val="single"/>
        </w:rPr>
        <w:t xml:space="preserve">   </w:t>
      </w:r>
    </w:p>
    <w:p w14:paraId="098191E6">
      <w:pPr>
        <w:widowControl w:val="0"/>
        <w:spacing w:before="120" w:line="360" w:lineRule="auto"/>
        <w:ind w:right="78" w:rightChars="37"/>
        <w:jc w:val="both"/>
        <w:rPr>
          <w:rFonts w:ascii="Times New Roman" w:hAnsi="Times New Roman" w:eastAsia="宋体" w:cs="宋体"/>
          <w:color w:val="auto"/>
          <w:spacing w:val="-6"/>
          <w:kern w:val="2"/>
          <w:sz w:val="21"/>
          <w:szCs w:val="21"/>
          <w:highlight w:val="none"/>
          <w:lang w:val="en-US" w:eastAsia="zh-CN" w:bidi="ar-SA"/>
        </w:rPr>
      </w:pPr>
    </w:p>
    <w:p w14:paraId="044CF804">
      <w:pPr>
        <w:widowControl w:val="0"/>
        <w:spacing w:before="120" w:line="360" w:lineRule="auto"/>
        <w:ind w:right="78" w:rightChars="37" w:firstLine="0" w:firstLineChars="0"/>
        <w:jc w:val="both"/>
        <w:rPr>
          <w:rFonts w:hint="eastAsia" w:ascii="Times New Roman" w:hAnsi="Times New Roman" w:eastAsia="宋体" w:cs="宋体"/>
          <w:color w:val="auto"/>
          <w:spacing w:val="-6"/>
          <w:kern w:val="2"/>
          <w:sz w:val="21"/>
          <w:szCs w:val="21"/>
          <w:highlight w:val="none"/>
          <w:lang w:val="en-US" w:eastAsia="zh-CN" w:bidi="ar-SA"/>
        </w:rPr>
      </w:pPr>
      <w:r>
        <w:rPr>
          <w:rFonts w:hint="eastAsia" w:ascii="Times New Roman" w:hAnsi="Times New Roman" w:eastAsia="宋体" w:cs="宋体"/>
          <w:color w:val="auto"/>
          <w:spacing w:val="-6"/>
          <w:kern w:val="2"/>
          <w:sz w:val="21"/>
          <w:szCs w:val="21"/>
          <w:highlight w:val="none"/>
          <w:lang w:val="en-US" w:eastAsia="zh-CN" w:bidi="ar-SA"/>
        </w:rPr>
        <w:t>注：1.本项目所属行业为：施工属于建筑业行业，设计属于其他未列明行业。</w:t>
      </w:r>
    </w:p>
    <w:p w14:paraId="7B59B368">
      <w:pPr>
        <w:widowControl w:val="0"/>
        <w:spacing w:before="120" w:line="360" w:lineRule="auto"/>
        <w:ind w:right="78" w:rightChars="37" w:firstLine="396" w:firstLineChars="200"/>
        <w:jc w:val="both"/>
        <w:rPr>
          <w:rFonts w:hint="default" w:ascii="Times New Roman" w:hAnsi="Times New Roman" w:eastAsia="宋体" w:cs="宋体"/>
          <w:color w:val="auto"/>
          <w:spacing w:val="-6"/>
          <w:kern w:val="2"/>
          <w:sz w:val="21"/>
          <w:szCs w:val="21"/>
          <w:highlight w:val="none"/>
          <w:lang w:val="en-US" w:eastAsia="zh-CN" w:bidi="ar-SA"/>
        </w:rPr>
      </w:pPr>
      <w:r>
        <w:rPr>
          <w:rFonts w:hint="eastAsia" w:ascii="Times New Roman" w:hAnsi="Times New Roman" w:eastAsia="宋体" w:cs="宋体"/>
          <w:color w:val="auto"/>
          <w:spacing w:val="-6"/>
          <w:kern w:val="2"/>
          <w:sz w:val="21"/>
          <w:szCs w:val="21"/>
          <w:highlight w:val="none"/>
          <w:lang w:val="en-US" w:eastAsia="zh-CN" w:bidi="ar-SA"/>
        </w:rPr>
        <w:t>2.若投标人（联合体负责施工的成员）为大型企业填报第1项，若投标人（联合体负责施工的成员）为中型企业填报第2项，</w:t>
      </w:r>
      <w:r>
        <w:rPr>
          <w:rFonts w:hint="eastAsia" w:ascii="Times New Roman" w:hAnsi="Times New Roman" w:eastAsia="宋体" w:cs="宋体"/>
          <w:color w:val="auto"/>
          <w:sz w:val="21"/>
          <w:szCs w:val="21"/>
          <w:highlight w:val="none"/>
        </w:rPr>
        <w:t>若投标人</w:t>
      </w:r>
      <w:r>
        <w:rPr>
          <w:rFonts w:hint="eastAsia" w:ascii="Times New Roman" w:hAnsi="Times New Roman" w:eastAsia="宋体" w:cs="宋体"/>
          <w:color w:val="auto"/>
          <w:spacing w:val="-6"/>
          <w:kern w:val="2"/>
          <w:sz w:val="21"/>
          <w:szCs w:val="21"/>
          <w:highlight w:val="none"/>
          <w:lang w:val="en-US" w:eastAsia="zh-CN" w:bidi="ar-SA"/>
        </w:rPr>
        <w:t>（联合体负责施工的成员）</w:t>
      </w:r>
      <w:r>
        <w:rPr>
          <w:rFonts w:hint="eastAsia" w:ascii="Times New Roman" w:hAnsi="Times New Roman" w:eastAsia="宋体" w:cs="宋体"/>
          <w:color w:val="auto"/>
          <w:sz w:val="21"/>
          <w:szCs w:val="21"/>
          <w:highlight w:val="none"/>
        </w:rPr>
        <w:t>为小微企业，无需分包</w:t>
      </w:r>
      <w:r>
        <w:rPr>
          <w:rFonts w:hint="eastAsia" w:ascii="Times New Roman" w:hAnsi="Times New Roman" w:eastAsia="宋体" w:cs="宋体"/>
          <w:color w:val="auto"/>
          <w:sz w:val="21"/>
          <w:szCs w:val="21"/>
          <w:highlight w:val="none"/>
          <w:lang w:val="en-US" w:eastAsia="zh-CN"/>
        </w:rPr>
        <w:t>意向承诺</w:t>
      </w:r>
      <w:r>
        <w:rPr>
          <w:rFonts w:hint="eastAsia" w:ascii="Times New Roman" w:hAnsi="Times New Roman" w:eastAsia="宋体" w:cs="宋体"/>
          <w:color w:val="auto"/>
          <w:spacing w:val="-6"/>
          <w:kern w:val="2"/>
          <w:sz w:val="21"/>
          <w:szCs w:val="21"/>
          <w:highlight w:val="none"/>
          <w:lang w:val="en-US" w:eastAsia="zh-CN" w:bidi="ar-SA"/>
        </w:rPr>
        <w:t>。</w:t>
      </w:r>
    </w:p>
    <w:p w14:paraId="599D0FC1">
      <w:pPr>
        <w:spacing w:before="56" w:line="360" w:lineRule="auto"/>
        <w:ind w:right="78" w:rightChars="37" w:firstLine="0" w:firstLineChars="0"/>
        <w:jc w:val="left"/>
        <w:outlineLvl w:val="3"/>
        <w:rPr>
          <w:rFonts w:ascii="Times New Roman" w:hAnsi="Times New Roman" w:eastAsia="宋体" w:cs="宋体"/>
          <w:color w:val="auto"/>
          <w:sz w:val="28"/>
          <w:szCs w:val="28"/>
          <w:highlight w:val="none"/>
        </w:rPr>
      </w:pPr>
      <w:r>
        <w:rPr>
          <w:rFonts w:ascii="Times New Roman" w:hAnsi="Times New Roman" w:eastAsia="宋体" w:cs="宋体"/>
          <w:color w:val="auto"/>
          <w:spacing w:val="-6"/>
          <w:szCs w:val="21"/>
          <w:highlight w:val="none"/>
        </w:rPr>
        <w:br w:type="page"/>
      </w:r>
      <w:r>
        <w:rPr>
          <w:rFonts w:hint="eastAsia" w:ascii="黑体" w:hAnsi="宋体" w:eastAsia="黑体" w:cs="Times New Roman"/>
          <w:color w:val="auto"/>
          <w:sz w:val="24"/>
          <w:lang w:val="en-US" w:eastAsia="zh-CN"/>
        </w:rPr>
        <w:t>3、</w:t>
      </w:r>
      <w:r>
        <w:rPr>
          <w:rFonts w:hint="eastAsia" w:ascii="黑体" w:hAnsi="宋体" w:eastAsia="黑体" w:cs="Times New Roman"/>
          <w:color w:val="auto"/>
          <w:sz w:val="24"/>
        </w:rPr>
        <w:t>中小企业声明函</w:t>
      </w:r>
    </w:p>
    <w:p w14:paraId="2F8EBEA4">
      <w:pPr>
        <w:spacing w:line="276" w:lineRule="auto"/>
        <w:ind w:right="78" w:rightChars="37" w:firstLine="0" w:firstLineChars="0"/>
        <w:rPr>
          <w:rFonts w:ascii="Times New Roman" w:hAnsi="Times New Roman" w:eastAsia="宋体" w:cs="Times New Roman"/>
          <w:color w:val="auto"/>
          <w:highlight w:val="none"/>
        </w:rPr>
      </w:pPr>
    </w:p>
    <w:p w14:paraId="3BB9BD33">
      <w:pPr>
        <w:tabs>
          <w:tab w:val="left" w:pos="0"/>
        </w:tabs>
        <w:spacing w:before="91" w:line="218" w:lineRule="auto"/>
        <w:ind w:right="78" w:rightChars="37" w:firstLine="0" w:firstLineChars="0"/>
        <w:jc w:val="center"/>
        <w:rPr>
          <w:rFonts w:ascii="Times New Roman" w:hAnsi="Times New Roman" w:eastAsia="宋体" w:cs="宋体"/>
          <w:color w:val="auto"/>
          <w:spacing w:val="-1"/>
          <w:sz w:val="28"/>
          <w:szCs w:val="28"/>
          <w:highlight w:val="none"/>
        </w:rPr>
      </w:pPr>
      <w:r>
        <w:rPr>
          <w:rFonts w:hint="eastAsia" w:ascii="Times New Roman" w:hAnsi="Times New Roman" w:eastAsia="宋体" w:cs="宋体"/>
          <w:color w:val="auto"/>
          <w:spacing w:val="-1"/>
          <w:sz w:val="28"/>
          <w:szCs w:val="28"/>
          <w:highlight w:val="none"/>
        </w:rPr>
        <w:t>中小企业声明函（工程、服务)</w:t>
      </w:r>
    </w:p>
    <w:p w14:paraId="0210315B">
      <w:pPr>
        <w:spacing w:line="271" w:lineRule="auto"/>
        <w:ind w:right="78" w:rightChars="37" w:firstLine="0" w:firstLineChars="0"/>
        <w:rPr>
          <w:rFonts w:ascii="Times New Roman" w:hAnsi="Times New Roman" w:eastAsia="宋体" w:cs="宋体"/>
          <w:color w:val="auto"/>
          <w:highlight w:val="none"/>
        </w:rPr>
      </w:pPr>
    </w:p>
    <w:p w14:paraId="11C96278">
      <w:pPr>
        <w:tabs>
          <w:tab w:val="left" w:pos="193"/>
        </w:tabs>
        <w:spacing w:before="100" w:line="360" w:lineRule="auto"/>
        <w:ind w:right="78" w:rightChars="37" w:firstLine="452" w:firstLineChars="200"/>
        <w:rPr>
          <w:rFonts w:ascii="Times New Roman" w:hAnsi="Times New Roman" w:eastAsia="宋体" w:cs="宋体"/>
          <w:color w:val="auto"/>
          <w:szCs w:val="21"/>
          <w:highlight w:val="none"/>
        </w:rPr>
      </w:pPr>
      <w:r>
        <w:rPr>
          <w:rFonts w:hint="eastAsia" w:ascii="Times New Roman" w:hAnsi="Times New Roman" w:eastAsia="宋体" w:cs="宋体"/>
          <w:color w:val="auto"/>
          <w:spacing w:val="8"/>
          <w:szCs w:val="21"/>
          <w:highlight w:val="none"/>
        </w:rPr>
        <w:t>本公司（联合体)郑重声明，根据《政府采购促进中</w:t>
      </w:r>
      <w:r>
        <w:rPr>
          <w:rFonts w:hint="eastAsia" w:ascii="Times New Roman" w:hAnsi="Times New Roman" w:eastAsia="宋体" w:cs="宋体"/>
          <w:color w:val="auto"/>
          <w:spacing w:val="5"/>
          <w:szCs w:val="21"/>
          <w:highlight w:val="none"/>
        </w:rPr>
        <w:t>小</w:t>
      </w:r>
      <w:r>
        <w:rPr>
          <w:rFonts w:hint="eastAsia" w:ascii="Times New Roman" w:hAnsi="Times New Roman" w:eastAsia="宋体" w:cs="宋体"/>
          <w:color w:val="auto"/>
          <w:spacing w:val="-22"/>
          <w:szCs w:val="21"/>
          <w:highlight w:val="none"/>
        </w:rPr>
        <w:t>企</w:t>
      </w:r>
      <w:r>
        <w:rPr>
          <w:rFonts w:hint="eastAsia" w:ascii="Times New Roman" w:hAnsi="Times New Roman" w:eastAsia="宋体" w:cs="宋体"/>
          <w:color w:val="auto"/>
          <w:spacing w:val="-12"/>
          <w:szCs w:val="21"/>
          <w:highlight w:val="none"/>
        </w:rPr>
        <w:t>业</w:t>
      </w:r>
      <w:r>
        <w:rPr>
          <w:rFonts w:hint="eastAsia" w:ascii="Times New Roman" w:hAnsi="Times New Roman" w:eastAsia="宋体" w:cs="宋体"/>
          <w:color w:val="auto"/>
          <w:spacing w:val="-11"/>
          <w:szCs w:val="21"/>
          <w:highlight w:val="none"/>
        </w:rPr>
        <w:t>发展管理办法》（财库﹝2020﹞46号)的规定，本公司</w:t>
      </w:r>
      <w:r>
        <w:rPr>
          <w:rFonts w:hint="eastAsia" w:ascii="Times New Roman" w:hAnsi="Times New Roman" w:eastAsia="宋体" w:cs="宋体"/>
          <w:color w:val="auto"/>
          <w:spacing w:val="-10"/>
          <w:szCs w:val="21"/>
          <w:highlight w:val="none"/>
        </w:rPr>
        <w:t>（联合体</w:t>
      </w:r>
      <w:r>
        <w:rPr>
          <w:rFonts w:hint="eastAsia" w:ascii="Times New Roman" w:hAnsi="Times New Roman" w:eastAsia="宋体" w:cs="宋体"/>
          <w:color w:val="auto"/>
          <w:spacing w:val="-7"/>
          <w:szCs w:val="21"/>
          <w:highlight w:val="none"/>
        </w:rPr>
        <w:t>）</w:t>
      </w:r>
      <w:r>
        <w:rPr>
          <w:rFonts w:hint="eastAsia" w:ascii="Times New Roman" w:hAnsi="Times New Roman" w:eastAsia="宋体" w:cs="宋体"/>
          <w:color w:val="auto"/>
          <w:spacing w:val="-5"/>
          <w:szCs w:val="21"/>
          <w:highlight w:val="none"/>
        </w:rPr>
        <w:t>参加</w:t>
      </w:r>
      <w:r>
        <w:rPr>
          <w:rFonts w:hint="eastAsia" w:ascii="Times New Roman" w:hAnsi="Times New Roman" w:eastAsia="宋体" w:cs="宋体"/>
          <w:color w:val="auto"/>
          <w:spacing w:val="-5"/>
          <w:szCs w:val="21"/>
          <w:highlight w:val="none"/>
          <w:u w:val="single"/>
        </w:rPr>
        <w:t xml:space="preserve"> （单位名称）</w:t>
      </w:r>
      <w:r>
        <w:rPr>
          <w:rFonts w:hint="eastAsia" w:ascii="Times New Roman" w:hAnsi="Times New Roman" w:eastAsia="宋体" w:cs="宋体"/>
          <w:color w:val="auto"/>
          <w:spacing w:val="-5"/>
          <w:szCs w:val="21"/>
          <w:highlight w:val="none"/>
        </w:rPr>
        <w:t xml:space="preserve"> 的</w:t>
      </w:r>
      <w:r>
        <w:rPr>
          <w:rFonts w:hint="eastAsia" w:ascii="Times New Roman" w:hAnsi="Times New Roman" w:eastAsia="宋体" w:cs="宋体"/>
          <w:color w:val="auto"/>
          <w:spacing w:val="-5"/>
          <w:szCs w:val="21"/>
          <w:highlight w:val="none"/>
          <w:u w:val="single"/>
        </w:rPr>
        <w:t xml:space="preserve"> （项目名称）</w:t>
      </w:r>
      <w:r>
        <w:rPr>
          <w:rFonts w:hint="eastAsia" w:ascii="Times New Roman" w:hAnsi="Times New Roman" w:eastAsia="宋体" w:cs="宋体"/>
          <w:color w:val="auto"/>
          <w:spacing w:val="-5"/>
          <w:szCs w:val="21"/>
          <w:highlight w:val="none"/>
        </w:rPr>
        <w:t>采购活动，工</w:t>
      </w:r>
      <w:r>
        <w:rPr>
          <w:rFonts w:hint="eastAsia" w:ascii="Times New Roman" w:hAnsi="Times New Roman" w:eastAsia="宋体" w:cs="宋体"/>
          <w:color w:val="auto"/>
          <w:spacing w:val="13"/>
          <w:szCs w:val="21"/>
          <w:highlight w:val="none"/>
        </w:rPr>
        <w:t>程</w:t>
      </w:r>
      <w:r>
        <w:rPr>
          <w:rFonts w:hint="eastAsia" w:ascii="Times New Roman" w:hAnsi="Times New Roman" w:eastAsia="宋体" w:cs="宋体"/>
          <w:color w:val="auto"/>
          <w:spacing w:val="8"/>
          <w:szCs w:val="21"/>
          <w:highlight w:val="none"/>
        </w:rPr>
        <w:t>的施工单位全部为符合政策要求的中小企业，服务全部由符合政策要求的中小企业承接。相关企业（含联</w:t>
      </w:r>
      <w:r>
        <w:rPr>
          <w:rFonts w:hint="eastAsia" w:ascii="Times New Roman" w:hAnsi="Times New Roman" w:eastAsia="宋体" w:cs="宋体"/>
          <w:color w:val="auto"/>
          <w:spacing w:val="5"/>
          <w:szCs w:val="21"/>
          <w:highlight w:val="none"/>
        </w:rPr>
        <w:t>合</w:t>
      </w:r>
      <w:r>
        <w:rPr>
          <w:rFonts w:hint="eastAsia" w:ascii="Times New Roman" w:hAnsi="Times New Roman" w:eastAsia="宋体" w:cs="宋体"/>
          <w:color w:val="auto"/>
          <w:spacing w:val="15"/>
          <w:szCs w:val="21"/>
          <w:highlight w:val="none"/>
        </w:rPr>
        <w:t>体</w:t>
      </w:r>
      <w:r>
        <w:rPr>
          <w:rFonts w:hint="eastAsia" w:ascii="Times New Roman" w:hAnsi="Times New Roman" w:eastAsia="宋体" w:cs="宋体"/>
          <w:color w:val="auto"/>
          <w:spacing w:val="8"/>
          <w:szCs w:val="21"/>
          <w:highlight w:val="none"/>
        </w:rPr>
        <w:t>中的中小企业、签订分包意向协议的中小企业)的具体情</w:t>
      </w:r>
      <w:r>
        <w:rPr>
          <w:rFonts w:hint="eastAsia" w:ascii="Times New Roman" w:hAnsi="Times New Roman" w:eastAsia="宋体" w:cs="宋体"/>
          <w:color w:val="auto"/>
          <w:spacing w:val="2"/>
          <w:szCs w:val="21"/>
          <w:highlight w:val="none"/>
        </w:rPr>
        <w:t>况如下</w:t>
      </w:r>
      <w:r>
        <w:rPr>
          <w:rFonts w:hint="eastAsia" w:ascii="Times New Roman" w:hAnsi="Times New Roman" w:eastAsia="宋体" w:cs="宋体"/>
          <w:color w:val="auto"/>
          <w:spacing w:val="1"/>
          <w:szCs w:val="21"/>
          <w:highlight w:val="none"/>
        </w:rPr>
        <w:t>：</w:t>
      </w:r>
    </w:p>
    <w:p w14:paraId="73317FB3">
      <w:pPr>
        <w:spacing w:before="1" w:line="360" w:lineRule="auto"/>
        <w:ind w:right="78" w:rightChars="37" w:firstLine="396" w:firstLineChars="200"/>
        <w:rPr>
          <w:rFonts w:ascii="Times New Roman" w:hAnsi="Times New Roman" w:eastAsia="宋体" w:cs="宋体"/>
          <w:color w:val="auto"/>
          <w:szCs w:val="21"/>
          <w:highlight w:val="none"/>
        </w:rPr>
      </w:pPr>
      <w:r>
        <w:rPr>
          <w:rFonts w:hint="eastAsia" w:ascii="Times New Roman" w:hAnsi="Times New Roman" w:eastAsia="宋体" w:cs="宋体"/>
          <w:color w:val="auto"/>
          <w:spacing w:val="-6"/>
          <w:szCs w:val="21"/>
          <w:highlight w:val="none"/>
        </w:rPr>
        <w:t>1.</w:t>
      </w:r>
      <w:r>
        <w:rPr>
          <w:rFonts w:hint="eastAsia" w:ascii="Times New Roman" w:hAnsi="Times New Roman" w:eastAsia="宋体" w:cs="宋体"/>
          <w:color w:val="auto"/>
          <w:spacing w:val="-6"/>
          <w:szCs w:val="21"/>
          <w:highlight w:val="none"/>
          <w:u w:val="single"/>
        </w:rPr>
        <w:t xml:space="preserve"> （标的1</w:t>
      </w:r>
      <w:r>
        <w:rPr>
          <w:rFonts w:hint="eastAsia" w:ascii="Times New Roman" w:hAnsi="Times New Roman" w:eastAsia="宋体" w:cs="宋体"/>
          <w:color w:val="auto"/>
          <w:spacing w:val="-4"/>
          <w:szCs w:val="21"/>
          <w:highlight w:val="none"/>
          <w:u w:val="single"/>
        </w:rPr>
        <w:t>名</w:t>
      </w:r>
      <w:r>
        <w:rPr>
          <w:rFonts w:hint="eastAsia" w:ascii="Times New Roman" w:hAnsi="Times New Roman" w:eastAsia="宋体" w:cs="宋体"/>
          <w:color w:val="auto"/>
          <w:spacing w:val="-3"/>
          <w:szCs w:val="21"/>
          <w:highlight w:val="none"/>
          <w:u w:val="single"/>
        </w:rPr>
        <w:t>称）</w:t>
      </w:r>
      <w:r>
        <w:rPr>
          <w:rFonts w:hint="eastAsia" w:ascii="Times New Roman" w:hAnsi="Times New Roman" w:eastAsia="宋体" w:cs="宋体"/>
          <w:color w:val="auto"/>
          <w:spacing w:val="-3"/>
          <w:szCs w:val="21"/>
          <w:highlight w:val="none"/>
        </w:rPr>
        <w:t>，属于</w:t>
      </w:r>
      <w:r>
        <w:rPr>
          <w:rFonts w:hint="eastAsia" w:ascii="Times New Roman" w:hAnsi="Times New Roman" w:eastAsia="宋体" w:cs="宋体"/>
          <w:color w:val="auto"/>
          <w:spacing w:val="-3"/>
          <w:szCs w:val="21"/>
          <w:highlight w:val="none"/>
          <w:u w:val="single"/>
        </w:rPr>
        <w:t>（采购文件中明确的所属行业</w:t>
      </w:r>
      <w:r>
        <w:rPr>
          <w:rFonts w:hint="eastAsia" w:ascii="Times New Roman" w:hAnsi="Times New Roman" w:eastAsia="宋体" w:cs="宋体"/>
          <w:color w:val="auto"/>
          <w:spacing w:val="-3"/>
          <w:szCs w:val="21"/>
          <w:highlight w:val="none"/>
        </w:rPr>
        <w:t>)；</w:t>
      </w:r>
      <w:r>
        <w:rPr>
          <w:rFonts w:hint="eastAsia" w:ascii="Times New Roman" w:hAnsi="Times New Roman" w:eastAsia="宋体" w:cs="宋体"/>
          <w:color w:val="auto"/>
          <w:spacing w:val="16"/>
          <w:szCs w:val="21"/>
          <w:highlight w:val="none"/>
        </w:rPr>
        <w:t>承建</w:t>
      </w:r>
      <w:r>
        <w:rPr>
          <w:rFonts w:hint="eastAsia" w:ascii="Times New Roman" w:hAnsi="Times New Roman" w:eastAsia="宋体" w:cs="宋体"/>
          <w:color w:val="auto"/>
          <w:spacing w:val="8"/>
          <w:szCs w:val="21"/>
          <w:highlight w:val="none"/>
        </w:rPr>
        <w:t>（承接)企业为</w:t>
      </w:r>
      <w:r>
        <w:rPr>
          <w:rFonts w:hint="eastAsia" w:ascii="Times New Roman" w:hAnsi="Times New Roman" w:eastAsia="宋体" w:cs="宋体"/>
          <w:color w:val="auto"/>
          <w:spacing w:val="8"/>
          <w:szCs w:val="21"/>
          <w:highlight w:val="none"/>
          <w:u w:val="single"/>
        </w:rPr>
        <w:t xml:space="preserve"> （企业名称</w:t>
      </w:r>
      <w:r>
        <w:rPr>
          <w:rFonts w:hint="eastAsia" w:ascii="Times New Roman" w:hAnsi="Times New Roman" w:eastAsia="宋体" w:cs="宋体"/>
          <w:color w:val="auto"/>
          <w:spacing w:val="8"/>
          <w:szCs w:val="21"/>
          <w:highlight w:val="none"/>
        </w:rPr>
        <w:t>)，从业人员</w:t>
      </w:r>
      <w:r>
        <w:rPr>
          <w:rFonts w:hint="eastAsia" w:ascii="Times New Roman" w:hAnsi="Times New Roman" w:eastAsia="宋体" w:cs="宋体"/>
          <w:color w:val="auto"/>
          <w:spacing w:val="8"/>
          <w:szCs w:val="21"/>
          <w:highlight w:val="none"/>
          <w:u w:val="single"/>
        </w:rPr>
        <w:t xml:space="preserve">    </w:t>
      </w:r>
      <w:r>
        <w:rPr>
          <w:rFonts w:hint="eastAsia" w:ascii="Times New Roman" w:hAnsi="Times New Roman" w:eastAsia="宋体" w:cs="宋体"/>
          <w:color w:val="auto"/>
          <w:spacing w:val="8"/>
          <w:szCs w:val="21"/>
          <w:highlight w:val="none"/>
        </w:rPr>
        <w:t>人，营业</w:t>
      </w:r>
      <w:r>
        <w:rPr>
          <w:rFonts w:hint="eastAsia" w:ascii="Times New Roman" w:hAnsi="Times New Roman" w:eastAsia="宋体" w:cs="宋体"/>
          <w:color w:val="auto"/>
          <w:spacing w:val="-1"/>
          <w:szCs w:val="21"/>
          <w:highlight w:val="none"/>
        </w:rPr>
        <w:t>收入为</w:t>
      </w:r>
      <w:r>
        <w:rPr>
          <w:rFonts w:hint="eastAsia" w:ascii="Times New Roman" w:hAnsi="Times New Roman" w:eastAsia="宋体" w:cs="宋体"/>
          <w:color w:val="auto"/>
          <w:spacing w:val="-1"/>
          <w:szCs w:val="21"/>
          <w:highlight w:val="none"/>
          <w:u w:val="single"/>
        </w:rPr>
        <w:t xml:space="preserve">    </w:t>
      </w:r>
      <w:r>
        <w:rPr>
          <w:rFonts w:hint="eastAsia" w:ascii="Times New Roman" w:hAnsi="Times New Roman" w:eastAsia="宋体" w:cs="宋体"/>
          <w:color w:val="auto"/>
          <w:spacing w:val="-1"/>
          <w:szCs w:val="21"/>
          <w:highlight w:val="none"/>
        </w:rPr>
        <w:t>万元，资</w:t>
      </w:r>
      <w:r>
        <w:rPr>
          <w:rFonts w:hint="eastAsia" w:ascii="Times New Roman" w:hAnsi="Times New Roman" w:eastAsia="宋体" w:cs="宋体"/>
          <w:color w:val="auto"/>
          <w:szCs w:val="21"/>
          <w:highlight w:val="none"/>
        </w:rPr>
        <w:t>产总额为</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万元</w:t>
      </w:r>
      <w:r>
        <w:rPr>
          <w:rFonts w:hint="eastAsia" w:ascii="Times New Roman" w:hAnsi="Times New Roman" w:eastAsia="宋体" w:cs="宋体"/>
          <w:color w:val="auto"/>
          <w:position w:val="16"/>
          <w:szCs w:val="21"/>
          <w:highlight w:val="none"/>
        </w:rPr>
        <w:t xml:space="preserve"> </w:t>
      </w:r>
      <w:r>
        <w:rPr>
          <w:rFonts w:hint="eastAsia" w:ascii="Times New Roman" w:hAnsi="Times New Roman" w:eastAsia="宋体" w:cs="宋体"/>
          <w:color w:val="auto"/>
          <w:szCs w:val="21"/>
          <w:highlight w:val="none"/>
        </w:rPr>
        <w:t>，属于</w:t>
      </w:r>
      <w:r>
        <w:rPr>
          <w:rFonts w:hint="eastAsia" w:ascii="Times New Roman" w:hAnsi="Times New Roman" w:eastAsia="宋体" w:cs="宋体"/>
          <w:color w:val="auto"/>
          <w:szCs w:val="21"/>
          <w:highlight w:val="none"/>
          <w:u w:val="single"/>
        </w:rPr>
        <w:t xml:space="preserve"> （中型企业、</w:t>
      </w:r>
      <w:r>
        <w:rPr>
          <w:rFonts w:hint="eastAsia" w:ascii="Times New Roman" w:hAnsi="Times New Roman" w:eastAsia="宋体" w:cs="宋体"/>
          <w:color w:val="auto"/>
          <w:spacing w:val="-4"/>
          <w:szCs w:val="21"/>
          <w:highlight w:val="none"/>
          <w:u w:val="single"/>
        </w:rPr>
        <w:t>小</w:t>
      </w:r>
      <w:r>
        <w:rPr>
          <w:rFonts w:hint="eastAsia" w:ascii="Times New Roman" w:hAnsi="Times New Roman" w:eastAsia="宋体" w:cs="宋体"/>
          <w:color w:val="auto"/>
          <w:spacing w:val="-3"/>
          <w:szCs w:val="21"/>
          <w:highlight w:val="none"/>
          <w:u w:val="single"/>
        </w:rPr>
        <w:t>型企业、微型企业</w:t>
      </w:r>
      <w:r>
        <w:rPr>
          <w:rFonts w:hint="eastAsia" w:ascii="Times New Roman" w:hAnsi="Times New Roman" w:eastAsia="宋体" w:cs="宋体"/>
          <w:color w:val="auto"/>
          <w:spacing w:val="-3"/>
          <w:szCs w:val="21"/>
          <w:highlight w:val="none"/>
        </w:rPr>
        <w:t>)；</w:t>
      </w:r>
    </w:p>
    <w:p w14:paraId="5472B023">
      <w:pPr>
        <w:spacing w:before="133" w:line="360" w:lineRule="auto"/>
        <w:ind w:right="78" w:rightChars="37" w:firstLine="408" w:firstLineChars="200"/>
        <w:rPr>
          <w:rFonts w:ascii="Times New Roman" w:hAnsi="Times New Roman" w:eastAsia="宋体" w:cs="宋体"/>
          <w:color w:val="auto"/>
          <w:szCs w:val="21"/>
          <w:highlight w:val="none"/>
        </w:rPr>
      </w:pPr>
      <w:r>
        <w:rPr>
          <w:rFonts w:hint="eastAsia" w:ascii="Times New Roman" w:hAnsi="Times New Roman" w:eastAsia="宋体" w:cs="宋体"/>
          <w:color w:val="auto"/>
          <w:spacing w:val="-3"/>
          <w:szCs w:val="21"/>
          <w:highlight w:val="none"/>
        </w:rPr>
        <w:t>2.</w:t>
      </w:r>
      <w:r>
        <w:rPr>
          <w:rFonts w:hint="eastAsia" w:ascii="Times New Roman" w:hAnsi="Times New Roman" w:eastAsia="宋体" w:cs="宋体"/>
          <w:color w:val="auto"/>
          <w:spacing w:val="-3"/>
          <w:szCs w:val="21"/>
          <w:highlight w:val="none"/>
          <w:u w:val="single"/>
        </w:rPr>
        <w:t xml:space="preserve"> （标的2名称）</w:t>
      </w:r>
      <w:r>
        <w:rPr>
          <w:rFonts w:hint="eastAsia" w:ascii="Times New Roman" w:hAnsi="Times New Roman" w:eastAsia="宋体" w:cs="宋体"/>
          <w:color w:val="auto"/>
          <w:spacing w:val="-3"/>
          <w:szCs w:val="21"/>
          <w:highlight w:val="none"/>
        </w:rPr>
        <w:t>，属于</w:t>
      </w:r>
      <w:r>
        <w:rPr>
          <w:rFonts w:hint="eastAsia" w:ascii="Times New Roman" w:hAnsi="Times New Roman" w:eastAsia="宋体" w:cs="宋体"/>
          <w:color w:val="auto"/>
          <w:spacing w:val="-3"/>
          <w:szCs w:val="21"/>
          <w:highlight w:val="none"/>
          <w:u w:val="single"/>
        </w:rPr>
        <w:t>（采购文件中明确的所属行业</w:t>
      </w:r>
      <w:r>
        <w:rPr>
          <w:rFonts w:hint="eastAsia" w:ascii="Times New Roman" w:hAnsi="Times New Roman" w:eastAsia="宋体" w:cs="宋体"/>
          <w:color w:val="auto"/>
          <w:spacing w:val="-3"/>
          <w:szCs w:val="21"/>
          <w:highlight w:val="none"/>
        </w:rPr>
        <w:t>)；</w:t>
      </w:r>
      <w:r>
        <w:rPr>
          <w:rFonts w:hint="eastAsia" w:ascii="Times New Roman" w:hAnsi="Times New Roman" w:eastAsia="宋体" w:cs="宋体"/>
          <w:color w:val="auto"/>
          <w:spacing w:val="14"/>
          <w:szCs w:val="21"/>
          <w:highlight w:val="none"/>
        </w:rPr>
        <w:t>承</w:t>
      </w:r>
      <w:r>
        <w:rPr>
          <w:rFonts w:hint="eastAsia" w:ascii="Times New Roman" w:hAnsi="Times New Roman" w:eastAsia="宋体" w:cs="宋体"/>
          <w:color w:val="auto"/>
          <w:spacing w:val="9"/>
          <w:szCs w:val="21"/>
          <w:highlight w:val="none"/>
        </w:rPr>
        <w:t>建（承接)企业为</w:t>
      </w:r>
      <w:r>
        <w:rPr>
          <w:rFonts w:hint="eastAsia" w:ascii="Times New Roman" w:hAnsi="Times New Roman" w:eastAsia="宋体" w:cs="宋体"/>
          <w:color w:val="auto"/>
          <w:spacing w:val="9"/>
          <w:szCs w:val="21"/>
          <w:highlight w:val="none"/>
          <w:u w:val="single"/>
        </w:rPr>
        <w:t xml:space="preserve"> （企业名称</w:t>
      </w:r>
      <w:r>
        <w:rPr>
          <w:rFonts w:hint="eastAsia" w:ascii="Times New Roman" w:hAnsi="Times New Roman" w:eastAsia="宋体" w:cs="宋体"/>
          <w:color w:val="auto"/>
          <w:spacing w:val="9"/>
          <w:szCs w:val="21"/>
          <w:highlight w:val="none"/>
        </w:rPr>
        <w:t>)，从业人员</w:t>
      </w:r>
      <w:r>
        <w:rPr>
          <w:rFonts w:hint="eastAsia" w:ascii="Times New Roman" w:hAnsi="Times New Roman" w:eastAsia="宋体" w:cs="宋体"/>
          <w:color w:val="auto"/>
          <w:spacing w:val="9"/>
          <w:szCs w:val="21"/>
          <w:highlight w:val="none"/>
          <w:u w:val="single"/>
        </w:rPr>
        <w:t xml:space="preserve">    </w:t>
      </w:r>
      <w:r>
        <w:rPr>
          <w:rFonts w:hint="eastAsia" w:ascii="Times New Roman" w:hAnsi="Times New Roman" w:eastAsia="宋体" w:cs="宋体"/>
          <w:color w:val="auto"/>
          <w:spacing w:val="9"/>
          <w:szCs w:val="21"/>
          <w:highlight w:val="none"/>
        </w:rPr>
        <w:t>人，营业</w:t>
      </w:r>
      <w:r>
        <w:rPr>
          <w:rFonts w:hint="eastAsia" w:ascii="Times New Roman" w:hAnsi="Times New Roman" w:eastAsia="宋体" w:cs="宋体"/>
          <w:color w:val="auto"/>
          <w:szCs w:val="21"/>
          <w:highlight w:val="none"/>
        </w:rPr>
        <w:t xml:space="preserve"> </w:t>
      </w:r>
      <w:r>
        <w:rPr>
          <w:rFonts w:hint="eastAsia" w:ascii="Times New Roman" w:hAnsi="Times New Roman" w:eastAsia="宋体" w:cs="宋体"/>
          <w:color w:val="auto"/>
          <w:spacing w:val="4"/>
          <w:szCs w:val="21"/>
          <w:highlight w:val="none"/>
        </w:rPr>
        <w:t>收入为</w:t>
      </w:r>
      <w:r>
        <w:rPr>
          <w:rFonts w:hint="eastAsia" w:ascii="Times New Roman" w:hAnsi="Times New Roman" w:eastAsia="宋体" w:cs="宋体"/>
          <w:color w:val="auto"/>
          <w:spacing w:val="4"/>
          <w:szCs w:val="21"/>
          <w:highlight w:val="none"/>
          <w:u w:val="single"/>
        </w:rPr>
        <w:t xml:space="preserve">    </w:t>
      </w:r>
      <w:r>
        <w:rPr>
          <w:rFonts w:hint="eastAsia" w:ascii="Times New Roman" w:hAnsi="Times New Roman" w:eastAsia="宋体" w:cs="宋体"/>
          <w:color w:val="auto"/>
          <w:spacing w:val="4"/>
          <w:szCs w:val="21"/>
          <w:highlight w:val="none"/>
        </w:rPr>
        <w:t>万元，资产总额为</w:t>
      </w:r>
      <w:r>
        <w:rPr>
          <w:rFonts w:hint="eastAsia" w:ascii="Times New Roman" w:hAnsi="Times New Roman" w:eastAsia="宋体" w:cs="宋体"/>
          <w:color w:val="auto"/>
          <w:spacing w:val="4"/>
          <w:szCs w:val="21"/>
          <w:highlight w:val="none"/>
          <w:u w:val="single"/>
        </w:rPr>
        <w:t xml:space="preserve">    </w:t>
      </w:r>
      <w:r>
        <w:rPr>
          <w:rFonts w:hint="eastAsia" w:ascii="Times New Roman" w:hAnsi="Times New Roman" w:eastAsia="宋体" w:cs="宋体"/>
          <w:color w:val="auto"/>
          <w:spacing w:val="4"/>
          <w:szCs w:val="21"/>
          <w:highlight w:val="none"/>
        </w:rPr>
        <w:t>万元，属于</w:t>
      </w:r>
      <w:r>
        <w:rPr>
          <w:rFonts w:hint="eastAsia" w:ascii="Times New Roman" w:hAnsi="Times New Roman" w:eastAsia="宋体" w:cs="宋体"/>
          <w:color w:val="auto"/>
          <w:spacing w:val="4"/>
          <w:szCs w:val="21"/>
          <w:highlight w:val="none"/>
          <w:u w:val="single"/>
        </w:rPr>
        <w:t xml:space="preserve"> （中型企业</w:t>
      </w:r>
      <w:r>
        <w:rPr>
          <w:rFonts w:hint="eastAsia" w:ascii="Times New Roman" w:hAnsi="Times New Roman" w:eastAsia="宋体" w:cs="宋体"/>
          <w:color w:val="auto"/>
          <w:spacing w:val="1"/>
          <w:szCs w:val="21"/>
          <w:highlight w:val="none"/>
          <w:u w:val="single"/>
        </w:rPr>
        <w:t>、</w:t>
      </w:r>
      <w:r>
        <w:rPr>
          <w:rFonts w:hint="eastAsia" w:ascii="Times New Roman" w:hAnsi="Times New Roman" w:eastAsia="宋体" w:cs="宋体"/>
          <w:color w:val="auto"/>
          <w:szCs w:val="21"/>
          <w:highlight w:val="none"/>
        </w:rPr>
        <w:t xml:space="preserve"> </w:t>
      </w:r>
      <w:r>
        <w:rPr>
          <w:rFonts w:hint="eastAsia" w:ascii="Times New Roman" w:hAnsi="Times New Roman" w:eastAsia="宋体" w:cs="宋体"/>
          <w:color w:val="auto"/>
          <w:spacing w:val="-4"/>
          <w:szCs w:val="21"/>
          <w:highlight w:val="none"/>
          <w:u w:val="single"/>
        </w:rPr>
        <w:t>小</w:t>
      </w:r>
      <w:r>
        <w:rPr>
          <w:rFonts w:hint="eastAsia" w:ascii="Times New Roman" w:hAnsi="Times New Roman" w:eastAsia="宋体" w:cs="宋体"/>
          <w:color w:val="auto"/>
          <w:spacing w:val="-3"/>
          <w:szCs w:val="21"/>
          <w:highlight w:val="none"/>
          <w:u w:val="single"/>
        </w:rPr>
        <w:t>型企业、微型企业</w:t>
      </w:r>
      <w:r>
        <w:rPr>
          <w:rFonts w:hint="eastAsia" w:ascii="Times New Roman" w:hAnsi="Times New Roman" w:eastAsia="宋体" w:cs="宋体"/>
          <w:color w:val="auto"/>
          <w:spacing w:val="-3"/>
          <w:szCs w:val="21"/>
          <w:highlight w:val="none"/>
        </w:rPr>
        <w:t>)；</w:t>
      </w:r>
    </w:p>
    <w:p w14:paraId="744BC796">
      <w:pPr>
        <w:spacing w:before="13" w:line="360" w:lineRule="auto"/>
        <w:ind w:left="35" w:right="78" w:rightChars="37" w:firstLine="678" w:firstLineChars="0"/>
        <w:rPr>
          <w:rFonts w:ascii="Times New Roman" w:hAnsi="Times New Roman" w:eastAsia="宋体" w:cs="宋体"/>
          <w:color w:val="auto"/>
          <w:szCs w:val="21"/>
          <w:highlight w:val="none"/>
        </w:rPr>
      </w:pPr>
      <w:r>
        <w:rPr>
          <w:rFonts w:hint="eastAsia" w:ascii="Times New Roman" w:hAnsi="Times New Roman" w:eastAsia="宋体" w:cs="宋体"/>
          <w:color w:val="auto"/>
          <w:spacing w:val="7"/>
          <w:szCs w:val="21"/>
          <w:highlight w:val="none"/>
        </w:rPr>
        <w:t>以上企业，不属于大企业的分支机构，不存在控股股</w:t>
      </w:r>
      <w:r>
        <w:rPr>
          <w:rFonts w:hint="eastAsia" w:ascii="Times New Roman" w:hAnsi="Times New Roman" w:eastAsia="宋体" w:cs="宋体"/>
          <w:color w:val="auto"/>
          <w:spacing w:val="3"/>
          <w:szCs w:val="21"/>
          <w:highlight w:val="none"/>
        </w:rPr>
        <w:t>东</w:t>
      </w:r>
      <w:r>
        <w:rPr>
          <w:rFonts w:hint="eastAsia" w:ascii="Times New Roman" w:hAnsi="Times New Roman" w:eastAsia="宋体" w:cs="宋体"/>
          <w:color w:val="auto"/>
          <w:spacing w:val="16"/>
          <w:szCs w:val="21"/>
          <w:highlight w:val="none"/>
        </w:rPr>
        <w:t>为大</w:t>
      </w:r>
      <w:r>
        <w:rPr>
          <w:rFonts w:hint="eastAsia" w:ascii="Times New Roman" w:hAnsi="Times New Roman" w:eastAsia="宋体" w:cs="宋体"/>
          <w:color w:val="auto"/>
          <w:spacing w:val="8"/>
          <w:szCs w:val="21"/>
          <w:highlight w:val="none"/>
        </w:rPr>
        <w:t>企业的情形，也不存在与大企业的负责人为同一人的情</w:t>
      </w:r>
      <w:r>
        <w:rPr>
          <w:rFonts w:hint="eastAsia" w:ascii="Times New Roman" w:hAnsi="Times New Roman" w:eastAsia="宋体" w:cs="宋体"/>
          <w:color w:val="auto"/>
          <w:spacing w:val="-7"/>
          <w:szCs w:val="21"/>
          <w:highlight w:val="none"/>
        </w:rPr>
        <w:t>形</w:t>
      </w:r>
      <w:r>
        <w:rPr>
          <w:rFonts w:hint="eastAsia" w:ascii="Times New Roman" w:hAnsi="Times New Roman" w:eastAsia="宋体" w:cs="宋体"/>
          <w:color w:val="auto"/>
          <w:spacing w:val="-6"/>
          <w:szCs w:val="21"/>
          <w:highlight w:val="none"/>
        </w:rPr>
        <w:t>。</w:t>
      </w:r>
    </w:p>
    <w:p w14:paraId="3AE33C85">
      <w:pPr>
        <w:spacing w:before="1" w:line="360" w:lineRule="auto"/>
        <w:ind w:left="45" w:right="78" w:rightChars="37" w:firstLine="631" w:firstLineChars="0"/>
        <w:rPr>
          <w:rFonts w:ascii="Times New Roman" w:hAnsi="Times New Roman" w:eastAsia="宋体" w:cs="宋体"/>
          <w:color w:val="auto"/>
          <w:szCs w:val="21"/>
          <w:highlight w:val="none"/>
        </w:rPr>
      </w:pPr>
      <w:r>
        <w:rPr>
          <w:rFonts w:hint="eastAsia" w:ascii="Times New Roman" w:hAnsi="Times New Roman" w:eastAsia="宋体" w:cs="宋体"/>
          <w:color w:val="auto"/>
          <w:spacing w:val="16"/>
          <w:szCs w:val="21"/>
          <w:highlight w:val="none"/>
        </w:rPr>
        <w:t>本</w:t>
      </w:r>
      <w:r>
        <w:rPr>
          <w:rFonts w:hint="eastAsia" w:ascii="Times New Roman" w:hAnsi="Times New Roman" w:eastAsia="宋体" w:cs="宋体"/>
          <w:color w:val="auto"/>
          <w:spacing w:val="8"/>
          <w:szCs w:val="21"/>
          <w:highlight w:val="none"/>
        </w:rPr>
        <w:t>企业对上述声明内容的真实性负责。如有虚假，将依法</w:t>
      </w:r>
      <w:r>
        <w:rPr>
          <w:rFonts w:hint="eastAsia" w:ascii="Times New Roman" w:hAnsi="Times New Roman" w:eastAsia="宋体" w:cs="宋体"/>
          <w:color w:val="auto"/>
          <w:spacing w:val="5"/>
          <w:szCs w:val="21"/>
          <w:highlight w:val="none"/>
        </w:rPr>
        <w:t>承</w:t>
      </w:r>
      <w:r>
        <w:rPr>
          <w:rFonts w:hint="eastAsia" w:ascii="Times New Roman" w:hAnsi="Times New Roman" w:eastAsia="宋体" w:cs="宋体"/>
          <w:color w:val="auto"/>
          <w:spacing w:val="4"/>
          <w:szCs w:val="21"/>
          <w:highlight w:val="none"/>
        </w:rPr>
        <w:t>担相应责任。</w:t>
      </w:r>
    </w:p>
    <w:p w14:paraId="1B0217EE">
      <w:pPr>
        <w:spacing w:before="1" w:line="226" w:lineRule="auto"/>
        <w:ind w:left="3876" w:right="78" w:rightChars="37" w:firstLine="0" w:firstLineChars="0"/>
        <w:rPr>
          <w:rFonts w:ascii="Times New Roman" w:hAnsi="Times New Roman" w:eastAsia="宋体" w:cs="宋体"/>
          <w:color w:val="auto"/>
          <w:spacing w:val="3"/>
          <w:szCs w:val="21"/>
          <w:highlight w:val="none"/>
        </w:rPr>
      </w:pPr>
    </w:p>
    <w:p w14:paraId="71B5AC4A">
      <w:pPr>
        <w:spacing w:before="1" w:line="226" w:lineRule="auto"/>
        <w:ind w:left="3876" w:right="78" w:rightChars="37" w:firstLine="0" w:firstLineChars="0"/>
        <w:rPr>
          <w:rFonts w:ascii="Times New Roman" w:hAnsi="Times New Roman" w:eastAsia="宋体" w:cs="宋体"/>
          <w:color w:val="auto"/>
          <w:spacing w:val="3"/>
          <w:szCs w:val="21"/>
          <w:highlight w:val="none"/>
        </w:rPr>
      </w:pPr>
    </w:p>
    <w:p w14:paraId="202F4214">
      <w:pPr>
        <w:spacing w:before="1" w:line="226" w:lineRule="auto"/>
        <w:ind w:left="3876" w:right="78" w:rightChars="37" w:firstLine="0" w:firstLineChars="0"/>
        <w:rPr>
          <w:rFonts w:ascii="Times New Roman" w:hAnsi="Times New Roman" w:eastAsia="宋体" w:cs="宋体"/>
          <w:color w:val="auto"/>
          <w:spacing w:val="3"/>
          <w:szCs w:val="21"/>
          <w:highlight w:val="none"/>
        </w:rPr>
      </w:pPr>
    </w:p>
    <w:p w14:paraId="000D7D6E">
      <w:pPr>
        <w:spacing w:before="1" w:line="226" w:lineRule="auto"/>
        <w:ind w:left="3876" w:right="78" w:rightChars="37" w:firstLine="0" w:firstLineChars="0"/>
        <w:rPr>
          <w:rFonts w:ascii="Times New Roman" w:hAnsi="Times New Roman" w:eastAsia="宋体" w:cs="宋体"/>
          <w:color w:val="auto"/>
          <w:spacing w:val="3"/>
          <w:szCs w:val="21"/>
          <w:highlight w:val="none"/>
        </w:rPr>
      </w:pPr>
    </w:p>
    <w:p w14:paraId="4024CD3E">
      <w:pPr>
        <w:spacing w:before="1" w:line="226" w:lineRule="auto"/>
        <w:ind w:left="3876" w:right="78" w:rightChars="37" w:firstLine="0" w:firstLineChars="0"/>
        <w:rPr>
          <w:rFonts w:ascii="Times New Roman" w:hAnsi="Times New Roman" w:eastAsia="宋体" w:cs="宋体"/>
          <w:color w:val="auto"/>
          <w:szCs w:val="21"/>
          <w:highlight w:val="none"/>
          <w:u w:val="single"/>
        </w:rPr>
      </w:pPr>
      <w:r>
        <w:rPr>
          <w:rFonts w:hint="eastAsia" w:ascii="Times New Roman" w:hAnsi="Times New Roman" w:eastAsia="宋体" w:cs="宋体"/>
          <w:color w:val="auto"/>
          <w:spacing w:val="3"/>
          <w:szCs w:val="21"/>
          <w:highlight w:val="none"/>
        </w:rPr>
        <w:t>企业名称 （盖章)：</w:t>
      </w:r>
      <w:r>
        <w:rPr>
          <w:rFonts w:hint="eastAsia" w:ascii="Times New Roman" w:hAnsi="Times New Roman" w:eastAsia="宋体" w:cs="宋体"/>
          <w:color w:val="auto"/>
          <w:spacing w:val="3"/>
          <w:szCs w:val="21"/>
          <w:highlight w:val="none"/>
          <w:u w:val="single"/>
        </w:rPr>
        <w:t xml:space="preserve">                 </w:t>
      </w:r>
    </w:p>
    <w:p w14:paraId="48A953DE">
      <w:pPr>
        <w:spacing w:before="1" w:line="226" w:lineRule="auto"/>
        <w:ind w:left="3876" w:right="78" w:rightChars="37" w:firstLine="0" w:firstLineChars="0"/>
        <w:rPr>
          <w:rFonts w:ascii="Times New Roman" w:hAnsi="Times New Roman" w:eastAsia="宋体" w:cs="宋体"/>
          <w:color w:val="auto"/>
          <w:spacing w:val="3"/>
          <w:szCs w:val="21"/>
          <w:highlight w:val="none"/>
        </w:rPr>
      </w:pPr>
    </w:p>
    <w:p w14:paraId="4F370513">
      <w:pPr>
        <w:spacing w:before="1" w:line="226" w:lineRule="auto"/>
        <w:ind w:left="3876" w:right="78" w:rightChars="37" w:firstLine="0" w:firstLineChars="0"/>
        <w:rPr>
          <w:rFonts w:ascii="Times New Roman" w:hAnsi="Times New Roman" w:eastAsia="宋体" w:cs="宋体"/>
          <w:color w:val="auto"/>
          <w:spacing w:val="3"/>
          <w:szCs w:val="21"/>
          <w:highlight w:val="none"/>
        </w:rPr>
      </w:pPr>
      <w:r>
        <w:rPr>
          <w:rFonts w:hint="eastAsia" w:ascii="Times New Roman" w:hAnsi="Times New Roman" w:eastAsia="宋体" w:cs="宋体"/>
          <w:color w:val="auto"/>
          <w:spacing w:val="3"/>
          <w:szCs w:val="21"/>
          <w:highlight w:val="none"/>
        </w:rPr>
        <w:t>日 期：</w:t>
      </w:r>
      <w:r>
        <w:rPr>
          <w:rFonts w:hint="eastAsia" w:ascii="Times New Roman" w:hAnsi="Times New Roman" w:eastAsia="宋体" w:cs="宋体"/>
          <w:color w:val="auto"/>
          <w:spacing w:val="3"/>
          <w:szCs w:val="21"/>
          <w:highlight w:val="none"/>
          <w:u w:val="single"/>
        </w:rPr>
        <w:t xml:space="preserve">                 </w:t>
      </w:r>
    </w:p>
    <w:p w14:paraId="06618601">
      <w:pPr>
        <w:spacing w:before="74" w:line="377" w:lineRule="auto"/>
        <w:ind w:left="6513" w:right="78" w:rightChars="37" w:firstLine="0" w:firstLineChars="0"/>
        <w:jc w:val="right"/>
        <w:rPr>
          <w:rFonts w:ascii="Times New Roman" w:hAnsi="Times New Roman" w:eastAsia="宋体" w:cs="宋体"/>
          <w:color w:val="auto"/>
          <w:sz w:val="23"/>
          <w:szCs w:val="23"/>
          <w:highlight w:val="none"/>
        </w:rPr>
      </w:pPr>
    </w:p>
    <w:p w14:paraId="10912ED9">
      <w:pPr>
        <w:spacing w:line="259" w:lineRule="auto"/>
        <w:ind w:right="78" w:rightChars="37" w:firstLine="0" w:firstLineChars="0"/>
        <w:rPr>
          <w:rFonts w:ascii="Times New Roman" w:hAnsi="Times New Roman" w:eastAsia="宋体" w:cs="Times New Roman"/>
          <w:color w:val="auto"/>
          <w:highlight w:val="none"/>
        </w:rPr>
      </w:pPr>
    </w:p>
    <w:p w14:paraId="2DDB97FB">
      <w:pPr>
        <w:spacing w:line="259" w:lineRule="auto"/>
        <w:ind w:right="78" w:rightChars="37" w:firstLine="0" w:firstLineChars="0"/>
        <w:rPr>
          <w:rFonts w:ascii="Times New Roman" w:hAnsi="Times New Roman" w:eastAsia="宋体" w:cs="Times New Roman"/>
          <w:color w:val="auto"/>
          <w:highlight w:val="none"/>
        </w:rPr>
      </w:pPr>
    </w:p>
    <w:p w14:paraId="1BF471BE">
      <w:pPr>
        <w:spacing w:line="259" w:lineRule="auto"/>
        <w:ind w:right="78" w:rightChars="37" w:firstLine="0" w:firstLineChars="0"/>
        <w:rPr>
          <w:rFonts w:ascii="Times New Roman" w:hAnsi="Times New Roman" w:eastAsia="宋体" w:cs="Times New Roman"/>
          <w:color w:val="auto"/>
          <w:highlight w:val="none"/>
        </w:rPr>
      </w:pPr>
    </w:p>
    <w:p w14:paraId="1D9BFE38">
      <w:pPr>
        <w:spacing w:line="262" w:lineRule="auto"/>
        <w:ind w:right="78" w:rightChars="37" w:firstLine="0" w:firstLineChars="0"/>
        <w:rPr>
          <w:rFonts w:ascii="Times New Roman" w:hAnsi="Times New Roman" w:eastAsia="宋体" w:cs="Times New Roman"/>
          <w:color w:val="auto"/>
          <w:highlight w:val="none"/>
        </w:rPr>
      </w:pPr>
    </w:p>
    <w:p w14:paraId="50415F28">
      <w:pPr>
        <w:spacing w:line="262" w:lineRule="auto"/>
        <w:ind w:right="78" w:rightChars="37" w:firstLine="0" w:firstLineChars="0"/>
        <w:rPr>
          <w:rFonts w:ascii="Times New Roman" w:hAnsi="Times New Roman" w:eastAsia="宋体" w:cs="Times New Roman"/>
          <w:color w:val="auto"/>
          <w:highlight w:val="none"/>
        </w:rPr>
      </w:pPr>
    </w:p>
    <w:p w14:paraId="0C5761B8">
      <w:pPr>
        <w:spacing w:before="75" w:line="408" w:lineRule="auto"/>
        <w:ind w:right="78" w:rightChars="37" w:firstLine="532" w:firstLineChars="200"/>
        <w:rPr>
          <w:rFonts w:ascii="Times New Roman" w:hAnsi="Times New Roman" w:eastAsia="宋体" w:cs="宋体"/>
          <w:color w:val="auto"/>
          <w:sz w:val="23"/>
          <w:szCs w:val="23"/>
          <w:highlight w:val="none"/>
        </w:rPr>
      </w:pPr>
      <w:r>
        <w:rPr>
          <w:rFonts w:ascii="Times New Roman" w:hAnsi="Times New Roman" w:eastAsia="宋体" w:cs="宋体"/>
          <w:color w:val="auto"/>
          <w:spacing w:val="18"/>
          <w:sz w:val="23"/>
          <w:szCs w:val="23"/>
          <w:highlight w:val="none"/>
        </w:rPr>
        <w:t>备注</w:t>
      </w:r>
      <w:r>
        <w:rPr>
          <w:rFonts w:ascii="Times New Roman" w:hAnsi="Times New Roman" w:eastAsia="宋体" w:cs="宋体"/>
          <w:color w:val="auto"/>
          <w:spacing w:val="15"/>
          <w:sz w:val="23"/>
          <w:szCs w:val="23"/>
          <w:highlight w:val="none"/>
        </w:rPr>
        <w:t>：</w:t>
      </w:r>
      <w:r>
        <w:rPr>
          <w:rFonts w:ascii="Times New Roman" w:hAnsi="Times New Roman" w:eastAsia="宋体" w:cs="宋体"/>
          <w:color w:val="auto"/>
          <w:spacing w:val="9"/>
          <w:sz w:val="23"/>
          <w:szCs w:val="23"/>
          <w:highlight w:val="none"/>
        </w:rPr>
        <w:t>从业人员、营业收入、资产总额填报上一年度数据，无上一年度数据的新成</w:t>
      </w:r>
      <w:r>
        <w:rPr>
          <w:rFonts w:ascii="Times New Roman" w:hAnsi="Times New Roman" w:eastAsia="宋体" w:cs="宋体"/>
          <w:color w:val="auto"/>
          <w:spacing w:val="11"/>
          <w:sz w:val="23"/>
          <w:szCs w:val="23"/>
          <w:highlight w:val="none"/>
        </w:rPr>
        <w:t>立</w:t>
      </w:r>
      <w:r>
        <w:rPr>
          <w:rFonts w:ascii="Times New Roman" w:hAnsi="Times New Roman" w:eastAsia="宋体" w:cs="宋体"/>
          <w:color w:val="auto"/>
          <w:spacing w:val="7"/>
          <w:sz w:val="23"/>
          <w:szCs w:val="23"/>
          <w:highlight w:val="none"/>
        </w:rPr>
        <w:t>企业可不填报。</w:t>
      </w:r>
    </w:p>
    <w:p w14:paraId="50C8FE50">
      <w:pPr>
        <w:ind w:right="78" w:rightChars="37"/>
        <w:rPr>
          <w:color w:val="auto"/>
          <w:highlight w:val="none"/>
        </w:rPr>
        <w:sectPr>
          <w:footerReference r:id="rId21" w:type="default"/>
          <w:pgSz w:w="11910" w:h="16840"/>
          <w:pgMar w:top="1417" w:right="1134" w:bottom="1417" w:left="1134" w:header="720" w:footer="850" w:gutter="0"/>
          <w:pgNumType w:fmt="decimal"/>
          <w:cols w:space="720" w:num="1"/>
          <w:rtlGutter w:val="0"/>
          <w:docGrid w:linePitch="1" w:charSpace="0"/>
        </w:sectPr>
      </w:pPr>
    </w:p>
    <w:p w14:paraId="7DF99619">
      <w:pPr>
        <w:spacing w:before="56" w:line="360" w:lineRule="auto"/>
        <w:ind w:right="78" w:rightChars="37" w:firstLine="0" w:firstLineChars="0"/>
        <w:jc w:val="left"/>
        <w:outlineLvl w:val="3"/>
        <w:rPr>
          <w:rFonts w:hint="eastAsia" w:ascii="黑体" w:hAnsi="宋体" w:eastAsia="黑体" w:cs="Times New Roman"/>
          <w:color w:val="auto"/>
          <w:sz w:val="24"/>
          <w:lang w:val="en-US" w:eastAsia="zh-CN"/>
        </w:rPr>
      </w:pPr>
      <w:r>
        <w:rPr>
          <w:rFonts w:hint="eastAsia" w:ascii="黑体" w:hAnsi="宋体" w:eastAsia="黑体" w:cs="Times New Roman"/>
          <w:color w:val="auto"/>
          <w:sz w:val="24"/>
          <w:lang w:val="en-US" w:eastAsia="zh-CN"/>
        </w:rPr>
        <w:t>4、监狱企业的证明文件</w:t>
      </w:r>
    </w:p>
    <w:p w14:paraId="67F8E885">
      <w:pPr>
        <w:spacing w:line="312" w:lineRule="auto"/>
        <w:ind w:right="78" w:rightChars="37" w:firstLine="0" w:firstLineChars="0"/>
        <w:rPr>
          <w:rFonts w:ascii="Times New Roman" w:hAnsi="Times New Roman" w:eastAsia="宋体" w:cs="Times New Roman"/>
          <w:color w:val="auto"/>
          <w:highlight w:val="none"/>
        </w:rPr>
      </w:pPr>
    </w:p>
    <w:p w14:paraId="5FEF2D0F">
      <w:pPr>
        <w:spacing w:before="91" w:line="218" w:lineRule="auto"/>
        <w:ind w:right="78" w:rightChars="37" w:firstLine="0" w:firstLineChars="0"/>
        <w:jc w:val="center"/>
        <w:rPr>
          <w:rFonts w:ascii="Times New Roman" w:hAnsi="Times New Roman" w:eastAsia="宋体" w:cs="宋体"/>
          <w:color w:val="auto"/>
          <w:sz w:val="28"/>
          <w:szCs w:val="28"/>
          <w:highlight w:val="none"/>
        </w:rPr>
      </w:pPr>
      <w:r>
        <w:rPr>
          <w:rFonts w:ascii="Times New Roman" w:hAnsi="Times New Roman" w:eastAsia="宋体" w:cs="宋体"/>
          <w:color w:val="auto"/>
          <w:spacing w:val="-2"/>
          <w:sz w:val="28"/>
          <w:szCs w:val="28"/>
          <w:highlight w:val="none"/>
        </w:rPr>
        <w:t>监狱</w:t>
      </w:r>
      <w:r>
        <w:rPr>
          <w:rFonts w:ascii="Times New Roman" w:hAnsi="Times New Roman" w:eastAsia="宋体" w:cs="宋体"/>
          <w:color w:val="auto"/>
          <w:spacing w:val="-1"/>
          <w:sz w:val="28"/>
          <w:szCs w:val="28"/>
          <w:highlight w:val="none"/>
        </w:rPr>
        <w:t>企业的证明文件</w:t>
      </w:r>
    </w:p>
    <w:p w14:paraId="7A39841A">
      <w:pPr>
        <w:spacing w:line="262" w:lineRule="auto"/>
        <w:ind w:right="78" w:rightChars="37" w:firstLine="0" w:firstLineChars="0"/>
        <w:rPr>
          <w:rFonts w:ascii="Times New Roman" w:hAnsi="Times New Roman" w:eastAsia="宋体" w:cs="Times New Roman"/>
          <w:color w:val="auto"/>
          <w:highlight w:val="none"/>
        </w:rPr>
      </w:pPr>
    </w:p>
    <w:p w14:paraId="317DD243">
      <w:pPr>
        <w:spacing w:before="74" w:line="360" w:lineRule="auto"/>
        <w:ind w:right="78" w:rightChars="37" w:firstLine="480" w:firstLineChars="0"/>
        <w:rPr>
          <w:rFonts w:ascii="Times New Roman" w:hAnsi="Times New Roman" w:eastAsia="宋体" w:cs="宋体"/>
          <w:color w:val="auto"/>
          <w:szCs w:val="21"/>
          <w:highlight w:val="none"/>
        </w:rPr>
      </w:pPr>
      <w:r>
        <w:rPr>
          <w:rFonts w:ascii="Times New Roman" w:hAnsi="Times New Roman" w:eastAsia="宋体" w:cs="宋体"/>
          <w:color w:val="auto"/>
          <w:spacing w:val="18"/>
          <w:szCs w:val="21"/>
          <w:highlight w:val="none"/>
        </w:rPr>
        <w:t>说明</w:t>
      </w:r>
      <w:r>
        <w:rPr>
          <w:rFonts w:ascii="Times New Roman" w:hAnsi="Times New Roman" w:eastAsia="宋体" w:cs="宋体"/>
          <w:color w:val="auto"/>
          <w:spacing w:val="9"/>
          <w:szCs w:val="21"/>
          <w:highlight w:val="none"/>
        </w:rPr>
        <w:t xml:space="preserve">：监狱企业参加政府采购活动时，应当提供由省级以上监狱管理局、戒毒管理局 </w:t>
      </w:r>
      <w:r>
        <w:rPr>
          <w:rFonts w:hint="eastAsia" w:ascii="Times New Roman" w:hAnsi="Times New Roman" w:eastAsia="宋体" w:cs="宋体"/>
          <w:color w:val="auto"/>
          <w:spacing w:val="9"/>
          <w:szCs w:val="21"/>
          <w:highlight w:val="none"/>
        </w:rPr>
        <w:t>（</w:t>
      </w:r>
      <w:r>
        <w:rPr>
          <w:rFonts w:ascii="Times New Roman" w:hAnsi="Times New Roman" w:eastAsia="宋体" w:cs="宋体"/>
          <w:color w:val="auto"/>
          <w:spacing w:val="9"/>
          <w:szCs w:val="21"/>
          <w:highlight w:val="none"/>
        </w:rPr>
        <w:t>含新</w:t>
      </w:r>
      <w:r>
        <w:rPr>
          <w:rFonts w:ascii="Times New Roman" w:hAnsi="Times New Roman" w:eastAsia="宋体" w:cs="宋体"/>
          <w:color w:val="auto"/>
          <w:szCs w:val="21"/>
          <w:highlight w:val="none"/>
        </w:rPr>
        <w:t xml:space="preserve"> </w:t>
      </w:r>
      <w:r>
        <w:rPr>
          <w:rFonts w:ascii="Times New Roman" w:hAnsi="Times New Roman" w:eastAsia="宋体" w:cs="宋体"/>
          <w:color w:val="auto"/>
          <w:spacing w:val="9"/>
          <w:szCs w:val="21"/>
          <w:highlight w:val="none"/>
        </w:rPr>
        <w:t>疆生产建设兵团</w:t>
      </w:r>
      <w:r>
        <w:rPr>
          <w:rFonts w:hint="eastAsia" w:ascii="Times New Roman" w:hAnsi="Times New Roman" w:eastAsia="宋体" w:cs="宋体"/>
          <w:color w:val="auto"/>
          <w:spacing w:val="9"/>
          <w:szCs w:val="21"/>
          <w:highlight w:val="none"/>
        </w:rPr>
        <w:t>）</w:t>
      </w:r>
      <w:r>
        <w:rPr>
          <w:rFonts w:ascii="Times New Roman" w:hAnsi="Times New Roman" w:eastAsia="宋体" w:cs="宋体"/>
          <w:color w:val="auto"/>
          <w:spacing w:val="9"/>
          <w:szCs w:val="21"/>
          <w:highlight w:val="none"/>
        </w:rPr>
        <w:t>出具的属于监狱企业的证明文件。在此附证明文件</w:t>
      </w:r>
      <w:r>
        <w:rPr>
          <w:rFonts w:ascii="Times New Roman" w:hAnsi="Times New Roman" w:eastAsia="宋体" w:cs="宋体"/>
          <w:color w:val="auto"/>
          <w:spacing w:val="8"/>
          <w:szCs w:val="21"/>
          <w:highlight w:val="none"/>
        </w:rPr>
        <w:t>。</w:t>
      </w:r>
    </w:p>
    <w:p w14:paraId="420FB1C9">
      <w:pPr>
        <w:spacing w:line="360" w:lineRule="auto"/>
        <w:ind w:right="78" w:rightChars="37" w:firstLine="0" w:firstLineChars="0"/>
        <w:rPr>
          <w:rFonts w:ascii="Times New Roman" w:hAnsi="Times New Roman" w:eastAsia="宋体" w:cs="Times New Roman"/>
          <w:color w:val="auto"/>
          <w:szCs w:val="21"/>
          <w:highlight w:val="none"/>
        </w:rPr>
      </w:pPr>
    </w:p>
    <w:p w14:paraId="0AFDB756">
      <w:pPr>
        <w:spacing w:line="360" w:lineRule="auto"/>
        <w:ind w:right="78" w:rightChars="37" w:firstLine="0" w:firstLineChars="0"/>
        <w:rPr>
          <w:rFonts w:ascii="Times New Roman" w:hAnsi="Times New Roman" w:eastAsia="宋体" w:cs="Times New Roman"/>
          <w:color w:val="auto"/>
          <w:szCs w:val="21"/>
          <w:highlight w:val="none"/>
        </w:rPr>
      </w:pPr>
    </w:p>
    <w:p w14:paraId="66696C0A">
      <w:pPr>
        <w:spacing w:line="360" w:lineRule="auto"/>
        <w:ind w:right="78" w:rightChars="37" w:firstLine="0" w:firstLineChars="0"/>
        <w:rPr>
          <w:rFonts w:ascii="Times New Roman" w:hAnsi="Times New Roman" w:eastAsia="宋体" w:cs="Times New Roman"/>
          <w:color w:val="auto"/>
          <w:szCs w:val="21"/>
          <w:highlight w:val="none"/>
        </w:rPr>
      </w:pPr>
    </w:p>
    <w:p w14:paraId="4D24B747">
      <w:pPr>
        <w:spacing w:line="360" w:lineRule="auto"/>
        <w:ind w:right="78" w:rightChars="37" w:firstLine="0" w:firstLineChars="0"/>
        <w:rPr>
          <w:rFonts w:ascii="Times New Roman" w:hAnsi="Times New Roman" w:eastAsia="宋体" w:cs="Times New Roman"/>
          <w:color w:val="auto"/>
          <w:szCs w:val="21"/>
          <w:highlight w:val="none"/>
        </w:rPr>
      </w:pPr>
    </w:p>
    <w:p w14:paraId="1FFAF608">
      <w:pPr>
        <w:spacing w:line="360" w:lineRule="auto"/>
        <w:ind w:right="78" w:rightChars="37" w:firstLine="0" w:firstLineChars="0"/>
        <w:rPr>
          <w:rFonts w:ascii="Times New Roman" w:hAnsi="Times New Roman" w:eastAsia="宋体" w:cs="Times New Roman"/>
          <w:color w:val="auto"/>
          <w:szCs w:val="21"/>
          <w:highlight w:val="none"/>
        </w:rPr>
      </w:pPr>
    </w:p>
    <w:p w14:paraId="1F298374">
      <w:pPr>
        <w:spacing w:line="360" w:lineRule="auto"/>
        <w:ind w:right="78" w:rightChars="37" w:firstLine="0" w:firstLineChars="0"/>
        <w:rPr>
          <w:rFonts w:ascii="Times New Roman" w:hAnsi="Times New Roman" w:eastAsia="宋体" w:cs="Times New Roman"/>
          <w:color w:val="auto"/>
          <w:szCs w:val="21"/>
          <w:highlight w:val="none"/>
        </w:rPr>
      </w:pPr>
    </w:p>
    <w:p w14:paraId="02750874">
      <w:pPr>
        <w:spacing w:line="360" w:lineRule="auto"/>
        <w:ind w:right="78" w:rightChars="37" w:firstLine="0" w:firstLineChars="0"/>
        <w:rPr>
          <w:rFonts w:ascii="Times New Roman" w:hAnsi="Times New Roman" w:eastAsia="宋体" w:cs="Times New Roman"/>
          <w:color w:val="auto"/>
          <w:szCs w:val="21"/>
          <w:highlight w:val="none"/>
        </w:rPr>
      </w:pPr>
    </w:p>
    <w:p w14:paraId="40A26743">
      <w:pPr>
        <w:spacing w:line="360" w:lineRule="auto"/>
        <w:ind w:right="78" w:rightChars="37" w:firstLine="0" w:firstLineChars="0"/>
        <w:rPr>
          <w:rFonts w:ascii="Times New Roman" w:hAnsi="Times New Roman" w:eastAsia="宋体" w:cs="Times New Roman"/>
          <w:color w:val="auto"/>
          <w:szCs w:val="21"/>
          <w:highlight w:val="none"/>
        </w:rPr>
      </w:pPr>
    </w:p>
    <w:p w14:paraId="58FAFC74">
      <w:pPr>
        <w:spacing w:line="360" w:lineRule="auto"/>
        <w:ind w:right="78" w:rightChars="37" w:firstLine="0" w:firstLineChars="0"/>
        <w:rPr>
          <w:rFonts w:ascii="Times New Roman" w:hAnsi="Times New Roman" w:eastAsia="宋体" w:cs="Times New Roman"/>
          <w:color w:val="auto"/>
          <w:szCs w:val="21"/>
          <w:highlight w:val="none"/>
        </w:rPr>
      </w:pPr>
    </w:p>
    <w:p w14:paraId="711261DE">
      <w:pPr>
        <w:spacing w:line="360" w:lineRule="auto"/>
        <w:ind w:right="78" w:rightChars="37" w:firstLine="0" w:firstLineChars="0"/>
        <w:rPr>
          <w:rFonts w:ascii="Times New Roman" w:hAnsi="Times New Roman" w:eastAsia="宋体" w:cs="Times New Roman"/>
          <w:color w:val="auto"/>
          <w:szCs w:val="21"/>
          <w:highlight w:val="none"/>
        </w:rPr>
      </w:pPr>
    </w:p>
    <w:p w14:paraId="2A8C7668">
      <w:pPr>
        <w:spacing w:line="360" w:lineRule="auto"/>
        <w:ind w:right="78" w:rightChars="37" w:firstLine="0" w:firstLineChars="0"/>
        <w:rPr>
          <w:rFonts w:ascii="Times New Roman" w:hAnsi="Times New Roman" w:eastAsia="宋体" w:cs="Times New Roman"/>
          <w:color w:val="auto"/>
          <w:szCs w:val="21"/>
          <w:highlight w:val="none"/>
        </w:rPr>
      </w:pPr>
    </w:p>
    <w:p w14:paraId="539A55D3">
      <w:pPr>
        <w:spacing w:line="360" w:lineRule="auto"/>
        <w:ind w:right="78" w:rightChars="37" w:firstLine="0" w:firstLineChars="0"/>
        <w:rPr>
          <w:rFonts w:ascii="Times New Roman" w:hAnsi="Times New Roman" w:eastAsia="宋体" w:cs="Times New Roman"/>
          <w:color w:val="auto"/>
          <w:szCs w:val="21"/>
          <w:highlight w:val="none"/>
        </w:rPr>
      </w:pPr>
    </w:p>
    <w:p w14:paraId="220ABC20">
      <w:pPr>
        <w:spacing w:line="360" w:lineRule="auto"/>
        <w:ind w:right="78" w:rightChars="37" w:firstLine="0" w:firstLineChars="0"/>
        <w:rPr>
          <w:rFonts w:ascii="Times New Roman" w:hAnsi="Times New Roman" w:eastAsia="宋体" w:cs="Times New Roman"/>
          <w:color w:val="auto"/>
          <w:szCs w:val="21"/>
          <w:highlight w:val="none"/>
        </w:rPr>
      </w:pPr>
    </w:p>
    <w:p w14:paraId="78DCA6D6">
      <w:pPr>
        <w:spacing w:line="360" w:lineRule="auto"/>
        <w:ind w:right="78" w:rightChars="37" w:firstLine="0" w:firstLineChars="0"/>
        <w:rPr>
          <w:rFonts w:ascii="Times New Roman" w:hAnsi="Times New Roman" w:eastAsia="宋体" w:cs="Times New Roman"/>
          <w:color w:val="auto"/>
          <w:szCs w:val="21"/>
          <w:highlight w:val="none"/>
        </w:rPr>
      </w:pPr>
    </w:p>
    <w:p w14:paraId="0852F77F">
      <w:pPr>
        <w:spacing w:line="360" w:lineRule="auto"/>
        <w:ind w:right="78" w:rightChars="37" w:firstLine="0" w:firstLineChars="0"/>
        <w:rPr>
          <w:rFonts w:ascii="Times New Roman" w:hAnsi="Times New Roman" w:eastAsia="宋体" w:cs="Times New Roman"/>
          <w:color w:val="auto"/>
          <w:szCs w:val="21"/>
          <w:highlight w:val="none"/>
        </w:rPr>
      </w:pPr>
    </w:p>
    <w:p w14:paraId="65874056">
      <w:pPr>
        <w:spacing w:line="360" w:lineRule="auto"/>
        <w:ind w:right="78" w:rightChars="37" w:firstLine="0" w:firstLineChars="0"/>
        <w:rPr>
          <w:rFonts w:ascii="Times New Roman" w:hAnsi="Times New Roman" w:eastAsia="宋体" w:cs="Times New Roman"/>
          <w:color w:val="auto"/>
          <w:szCs w:val="21"/>
          <w:highlight w:val="none"/>
        </w:rPr>
      </w:pPr>
    </w:p>
    <w:p w14:paraId="673245D9">
      <w:pPr>
        <w:spacing w:line="360" w:lineRule="auto"/>
        <w:ind w:right="78" w:rightChars="37" w:firstLine="0" w:firstLineChars="0"/>
        <w:rPr>
          <w:rFonts w:ascii="Times New Roman" w:hAnsi="Times New Roman" w:eastAsia="宋体" w:cs="Times New Roman"/>
          <w:color w:val="auto"/>
          <w:szCs w:val="21"/>
          <w:highlight w:val="none"/>
        </w:rPr>
      </w:pPr>
    </w:p>
    <w:p w14:paraId="62741BFE">
      <w:pPr>
        <w:spacing w:before="74" w:line="360" w:lineRule="auto"/>
        <w:ind w:right="78" w:rightChars="37" w:firstLine="1526" w:firstLineChars="700"/>
        <w:jc w:val="left"/>
        <w:rPr>
          <w:rFonts w:ascii="Times New Roman" w:hAnsi="Times New Roman" w:eastAsia="宋体" w:cs="Times New Roman"/>
          <w:color w:val="auto"/>
          <w:szCs w:val="21"/>
          <w:highlight w:val="none"/>
        </w:rPr>
      </w:pPr>
      <w:r>
        <w:rPr>
          <w:rFonts w:ascii="Times New Roman" w:hAnsi="Times New Roman" w:eastAsia="宋体" w:cs="宋体"/>
          <w:color w:val="auto"/>
          <w:spacing w:val="4"/>
          <w:szCs w:val="21"/>
          <w:highlight w:val="none"/>
        </w:rPr>
        <w:t>投</w:t>
      </w:r>
      <w:r>
        <w:rPr>
          <w:rFonts w:ascii="Times New Roman" w:hAnsi="Times New Roman" w:eastAsia="宋体" w:cs="宋体"/>
          <w:color w:val="auto"/>
          <w:spacing w:val="3"/>
          <w:szCs w:val="21"/>
          <w:highlight w:val="none"/>
        </w:rPr>
        <w:t>标</w:t>
      </w:r>
      <w:r>
        <w:rPr>
          <w:rFonts w:ascii="Times New Roman" w:hAnsi="Times New Roman" w:eastAsia="宋体" w:cs="宋体"/>
          <w:color w:val="auto"/>
          <w:spacing w:val="2"/>
          <w:szCs w:val="21"/>
          <w:highlight w:val="none"/>
        </w:rPr>
        <w:t>人名称</w:t>
      </w:r>
      <w:r>
        <w:rPr>
          <w:rFonts w:hint="eastAsia" w:ascii="Times New Roman" w:hAnsi="Times New Roman" w:eastAsia="宋体" w:cs="宋体"/>
          <w:color w:val="auto"/>
          <w:spacing w:val="2"/>
          <w:szCs w:val="21"/>
          <w:highlight w:val="none"/>
        </w:rPr>
        <w:t>（</w:t>
      </w:r>
      <w:r>
        <w:rPr>
          <w:rFonts w:ascii="Times New Roman" w:hAnsi="Times New Roman" w:eastAsia="宋体" w:cs="宋体"/>
          <w:color w:val="auto"/>
          <w:spacing w:val="2"/>
          <w:szCs w:val="21"/>
          <w:highlight w:val="none"/>
        </w:rPr>
        <w:t>盖章</w:t>
      </w:r>
      <w:r>
        <w:rPr>
          <w:rFonts w:hint="eastAsia" w:ascii="Times New Roman" w:hAnsi="Times New Roman" w:eastAsia="宋体" w:cs="宋体"/>
          <w:color w:val="auto"/>
          <w:spacing w:val="2"/>
          <w:szCs w:val="21"/>
          <w:highlight w:val="none"/>
        </w:rPr>
        <w:t>）</w:t>
      </w:r>
      <w:r>
        <w:rPr>
          <w:rFonts w:ascii="Times New Roman" w:hAnsi="Times New Roman" w:eastAsia="宋体" w:cs="宋体"/>
          <w:color w:val="auto"/>
          <w:spacing w:val="2"/>
          <w:szCs w:val="21"/>
          <w:highlight w:val="none"/>
        </w:rPr>
        <w:t>：</w:t>
      </w:r>
      <w:r>
        <w:rPr>
          <w:rFonts w:hint="eastAsia" w:ascii="Times New Roman" w:hAnsi="Times New Roman" w:eastAsia="宋体" w:cs="宋体"/>
          <w:color w:val="auto"/>
          <w:spacing w:val="2"/>
          <w:szCs w:val="21"/>
          <w:highlight w:val="none"/>
          <w:u w:val="single"/>
        </w:rPr>
        <w:t xml:space="preserve">     </w:t>
      </w:r>
      <w:r>
        <w:rPr>
          <w:rFonts w:hint="eastAsia" w:ascii="Times New Roman" w:hAnsi="Times New Roman" w:eastAsia="宋体" w:cs="宋体"/>
          <w:color w:val="auto"/>
          <w:spacing w:val="2"/>
          <w:szCs w:val="21"/>
          <w:highlight w:val="none"/>
          <w:u w:val="single"/>
          <w:lang w:val="en-US" w:eastAsia="zh-CN"/>
        </w:rPr>
        <w:t xml:space="preserve">                             </w:t>
      </w:r>
      <w:r>
        <w:rPr>
          <w:rFonts w:hint="eastAsia" w:ascii="Times New Roman" w:hAnsi="Times New Roman" w:eastAsia="宋体" w:cs="宋体"/>
          <w:color w:val="auto"/>
          <w:spacing w:val="2"/>
          <w:szCs w:val="21"/>
          <w:highlight w:val="none"/>
          <w:u w:val="single"/>
        </w:rPr>
        <w:t xml:space="preserve">        </w:t>
      </w:r>
    </w:p>
    <w:p w14:paraId="5FFBE3C1">
      <w:pPr>
        <w:spacing w:before="74" w:line="360" w:lineRule="auto"/>
        <w:ind w:right="78" w:rightChars="37" w:firstLine="1526" w:firstLineChars="700"/>
        <w:jc w:val="left"/>
        <w:rPr>
          <w:rFonts w:ascii="Times New Roman" w:hAnsi="Times New Roman" w:eastAsia="宋体" w:cs="宋体"/>
          <w:color w:val="auto"/>
          <w:spacing w:val="4"/>
          <w:szCs w:val="21"/>
          <w:highlight w:val="none"/>
        </w:rPr>
      </w:pPr>
      <w:r>
        <w:rPr>
          <w:rFonts w:ascii="Times New Roman" w:hAnsi="Times New Roman" w:eastAsia="宋体" w:cs="宋体"/>
          <w:color w:val="auto"/>
          <w:spacing w:val="4"/>
          <w:szCs w:val="21"/>
          <w:highlight w:val="none"/>
        </w:rPr>
        <w:t>法定代表人</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单位负责人</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或授权代表</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签字或盖章</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w:t>
      </w:r>
      <w:r>
        <w:rPr>
          <w:rFonts w:hint="eastAsia" w:ascii="Times New Roman" w:hAnsi="Times New Roman" w:eastAsia="宋体" w:cs="宋体"/>
          <w:color w:val="auto"/>
          <w:spacing w:val="4"/>
          <w:szCs w:val="21"/>
          <w:highlight w:val="none"/>
          <w:u w:val="single"/>
        </w:rPr>
        <w:t xml:space="preserve">      </w:t>
      </w:r>
      <w:r>
        <w:rPr>
          <w:rFonts w:hint="eastAsia" w:ascii="Times New Roman" w:hAnsi="Times New Roman" w:eastAsia="宋体" w:cs="宋体"/>
          <w:color w:val="auto"/>
          <w:spacing w:val="4"/>
          <w:szCs w:val="21"/>
          <w:highlight w:val="none"/>
          <w:u w:val="single"/>
          <w:lang w:val="en-US" w:eastAsia="zh-CN"/>
        </w:rPr>
        <w:t xml:space="preserve"> </w:t>
      </w:r>
      <w:r>
        <w:rPr>
          <w:rFonts w:hint="eastAsia" w:ascii="Times New Roman" w:hAnsi="Times New Roman" w:eastAsia="宋体" w:cs="宋体"/>
          <w:color w:val="auto"/>
          <w:spacing w:val="4"/>
          <w:szCs w:val="21"/>
          <w:highlight w:val="none"/>
          <w:u w:val="single"/>
        </w:rPr>
        <w:t xml:space="preserve">    </w:t>
      </w:r>
    </w:p>
    <w:p w14:paraId="5A2D20CD">
      <w:pPr>
        <w:spacing w:before="75" w:line="360" w:lineRule="auto"/>
        <w:ind w:right="78" w:rightChars="37" w:firstLine="3196" w:firstLineChars="1700"/>
        <w:jc w:val="left"/>
        <w:rPr>
          <w:rFonts w:ascii="Times New Roman" w:hAnsi="Times New Roman" w:eastAsia="宋体" w:cs="宋体"/>
          <w:color w:val="auto"/>
          <w:szCs w:val="21"/>
          <w:highlight w:val="none"/>
        </w:rPr>
      </w:pPr>
      <w:r>
        <w:rPr>
          <w:rFonts w:ascii="Times New Roman" w:hAnsi="Times New Roman" w:eastAsia="宋体" w:cs="宋体"/>
          <w:color w:val="auto"/>
          <w:spacing w:val="-11"/>
          <w:szCs w:val="21"/>
          <w:highlight w:val="none"/>
        </w:rPr>
        <w:t>日</w:t>
      </w:r>
      <w:r>
        <w:rPr>
          <w:rFonts w:ascii="Times New Roman" w:hAnsi="Times New Roman" w:eastAsia="宋体" w:cs="宋体"/>
          <w:color w:val="auto"/>
          <w:spacing w:val="-10"/>
          <w:szCs w:val="21"/>
          <w:highlight w:val="none"/>
        </w:rPr>
        <w:t>期：</w:t>
      </w:r>
      <w:r>
        <w:rPr>
          <w:rFonts w:hint="eastAsia" w:ascii="Times New Roman" w:hAnsi="Times New Roman" w:eastAsia="宋体" w:cs="宋体"/>
          <w:color w:val="auto"/>
          <w:spacing w:val="6"/>
          <w:szCs w:val="21"/>
          <w:highlight w:val="none"/>
          <w:u w:val="single"/>
        </w:rPr>
        <w:t xml:space="preserve">          </w:t>
      </w:r>
      <w:r>
        <w:rPr>
          <w:rFonts w:ascii="Times New Roman" w:hAnsi="Times New Roman" w:eastAsia="宋体" w:cs="宋体"/>
          <w:color w:val="auto"/>
          <w:szCs w:val="21"/>
          <w:highlight w:val="none"/>
        </w:rPr>
        <w:t xml:space="preserve"> </w:t>
      </w:r>
    </w:p>
    <w:p w14:paraId="4B68EA16">
      <w:pPr>
        <w:spacing w:line="360" w:lineRule="auto"/>
        <w:ind w:right="78" w:rightChars="37" w:firstLine="0" w:firstLineChars="0"/>
        <w:rPr>
          <w:rFonts w:ascii="Times New Roman" w:hAnsi="Times New Roman" w:eastAsia="宋体" w:cs="Times New Roman"/>
          <w:color w:val="auto"/>
          <w:szCs w:val="21"/>
          <w:highlight w:val="none"/>
        </w:rPr>
      </w:pPr>
    </w:p>
    <w:p w14:paraId="022E8E0D">
      <w:pPr>
        <w:pStyle w:val="80"/>
        <w:rPr>
          <w:color w:val="auto"/>
          <w:szCs w:val="21"/>
          <w:highlight w:val="none"/>
        </w:rPr>
      </w:pPr>
    </w:p>
    <w:p w14:paraId="0FAC1711">
      <w:pPr>
        <w:pStyle w:val="80"/>
        <w:rPr>
          <w:color w:val="auto"/>
          <w:szCs w:val="21"/>
          <w:highlight w:val="none"/>
        </w:rPr>
      </w:pPr>
    </w:p>
    <w:p w14:paraId="4F21C794">
      <w:pPr>
        <w:pStyle w:val="80"/>
        <w:rPr>
          <w:color w:val="auto"/>
          <w:szCs w:val="21"/>
          <w:highlight w:val="none"/>
        </w:rPr>
      </w:pPr>
    </w:p>
    <w:p w14:paraId="2DB7ED17">
      <w:pPr>
        <w:spacing w:line="360" w:lineRule="auto"/>
        <w:ind w:right="78" w:rightChars="37" w:firstLine="0" w:firstLineChars="0"/>
        <w:rPr>
          <w:rFonts w:ascii="Times New Roman" w:hAnsi="Times New Roman" w:eastAsia="宋体" w:cs="Times New Roman"/>
          <w:color w:val="auto"/>
          <w:szCs w:val="21"/>
          <w:highlight w:val="none"/>
        </w:rPr>
      </w:pPr>
    </w:p>
    <w:p w14:paraId="5C5613FD">
      <w:pPr>
        <w:spacing w:before="76" w:line="360" w:lineRule="auto"/>
        <w:ind w:left="477" w:right="78" w:rightChars="37" w:firstLine="0" w:firstLineChars="0"/>
        <w:rPr>
          <w:rFonts w:ascii="Times New Roman" w:hAnsi="Times New Roman" w:eastAsia="宋体" w:cs="宋体"/>
          <w:color w:val="auto"/>
          <w:szCs w:val="21"/>
          <w:highlight w:val="none"/>
        </w:rPr>
      </w:pPr>
      <w:r>
        <w:rPr>
          <w:rFonts w:ascii="Times New Roman" w:hAnsi="Times New Roman" w:eastAsia="宋体" w:cs="宋体"/>
          <w:color w:val="auto"/>
          <w:spacing w:val="12"/>
          <w:szCs w:val="21"/>
          <w:highlight w:val="none"/>
        </w:rPr>
        <w:t>注：若</w:t>
      </w:r>
      <w:r>
        <w:rPr>
          <w:rFonts w:ascii="Times New Roman" w:hAnsi="Times New Roman" w:eastAsia="宋体" w:cs="宋体"/>
          <w:color w:val="auto"/>
          <w:spacing w:val="7"/>
          <w:szCs w:val="21"/>
          <w:highlight w:val="none"/>
        </w:rPr>
        <w:t>是</w:t>
      </w:r>
      <w:r>
        <w:rPr>
          <w:rFonts w:ascii="Times New Roman" w:hAnsi="Times New Roman" w:eastAsia="宋体" w:cs="宋体"/>
          <w:color w:val="auto"/>
          <w:spacing w:val="6"/>
          <w:szCs w:val="21"/>
          <w:highlight w:val="none"/>
        </w:rPr>
        <w:t>监狱企业则需提供上述“监狱企业的证明文件” ，若不是监狱企业则不需要提供。</w:t>
      </w:r>
    </w:p>
    <w:p w14:paraId="6E10F5CF">
      <w:pPr>
        <w:ind w:right="78" w:rightChars="37"/>
        <w:rPr>
          <w:color w:val="auto"/>
          <w:highlight w:val="none"/>
        </w:rPr>
        <w:sectPr>
          <w:footerReference r:id="rId22" w:type="default"/>
          <w:pgSz w:w="11910" w:h="16840"/>
          <w:pgMar w:top="1417" w:right="1134" w:bottom="1417" w:left="1134" w:header="720" w:footer="850" w:gutter="0"/>
          <w:pgNumType w:fmt="decimal"/>
          <w:cols w:space="720" w:num="1"/>
          <w:rtlGutter w:val="0"/>
          <w:docGrid w:linePitch="1" w:charSpace="0"/>
        </w:sectPr>
      </w:pPr>
    </w:p>
    <w:p w14:paraId="461E9AFF">
      <w:pPr>
        <w:spacing w:before="56" w:line="360" w:lineRule="auto"/>
        <w:ind w:right="78" w:rightChars="37" w:firstLine="0" w:firstLineChars="0"/>
        <w:jc w:val="left"/>
        <w:outlineLvl w:val="3"/>
        <w:rPr>
          <w:rFonts w:hint="eastAsia" w:ascii="黑体" w:hAnsi="宋体" w:eastAsia="黑体" w:cs="Times New Roman"/>
          <w:color w:val="auto"/>
          <w:sz w:val="24"/>
          <w:lang w:val="en-US" w:eastAsia="zh-CN"/>
        </w:rPr>
      </w:pPr>
      <w:r>
        <w:rPr>
          <w:rFonts w:hint="eastAsia" w:ascii="黑体" w:hAnsi="宋体" w:eastAsia="黑体" w:cs="Times New Roman"/>
          <w:color w:val="auto"/>
          <w:sz w:val="24"/>
          <w:lang w:val="en-US" w:eastAsia="zh-CN"/>
        </w:rPr>
        <w:t>5、残疾人福利性单位声明函</w:t>
      </w:r>
    </w:p>
    <w:p w14:paraId="5E1860B7">
      <w:pPr>
        <w:spacing w:line="242" w:lineRule="auto"/>
        <w:ind w:right="78" w:rightChars="37" w:firstLine="0" w:firstLineChars="0"/>
        <w:rPr>
          <w:rFonts w:ascii="Times New Roman" w:hAnsi="Times New Roman" w:eastAsia="宋体" w:cs="Times New Roman"/>
          <w:color w:val="auto"/>
          <w:highlight w:val="none"/>
        </w:rPr>
      </w:pPr>
    </w:p>
    <w:p w14:paraId="782421E8">
      <w:pPr>
        <w:spacing w:before="91" w:line="218" w:lineRule="auto"/>
        <w:ind w:right="78" w:rightChars="37" w:firstLine="0" w:firstLineChars="0"/>
        <w:jc w:val="center"/>
        <w:rPr>
          <w:rFonts w:ascii="Times New Roman" w:hAnsi="Times New Roman" w:eastAsia="宋体" w:cs="宋体"/>
          <w:color w:val="auto"/>
          <w:sz w:val="28"/>
          <w:szCs w:val="28"/>
          <w:highlight w:val="none"/>
        </w:rPr>
      </w:pPr>
      <w:r>
        <w:rPr>
          <w:rFonts w:ascii="Times New Roman" w:hAnsi="Times New Roman" w:eastAsia="宋体" w:cs="宋体"/>
          <w:color w:val="auto"/>
          <w:spacing w:val="-1"/>
          <w:sz w:val="28"/>
          <w:szCs w:val="28"/>
          <w:highlight w:val="none"/>
        </w:rPr>
        <w:t>残疾人福利性单位声明</w:t>
      </w:r>
      <w:r>
        <w:rPr>
          <w:rFonts w:ascii="Times New Roman" w:hAnsi="Times New Roman" w:eastAsia="宋体" w:cs="宋体"/>
          <w:color w:val="auto"/>
          <w:sz w:val="28"/>
          <w:szCs w:val="28"/>
          <w:highlight w:val="none"/>
        </w:rPr>
        <w:t>函</w:t>
      </w:r>
    </w:p>
    <w:p w14:paraId="470A9767">
      <w:pPr>
        <w:spacing w:line="262" w:lineRule="auto"/>
        <w:ind w:right="78" w:rightChars="37" w:firstLine="0" w:firstLineChars="0"/>
        <w:rPr>
          <w:rFonts w:ascii="Times New Roman" w:hAnsi="Times New Roman" w:eastAsia="宋体" w:cs="Times New Roman"/>
          <w:color w:val="auto"/>
          <w:highlight w:val="none"/>
        </w:rPr>
      </w:pPr>
    </w:p>
    <w:p w14:paraId="39364DC4">
      <w:pPr>
        <w:spacing w:line="264" w:lineRule="auto"/>
        <w:ind w:right="78" w:rightChars="37" w:firstLine="0" w:firstLineChars="0"/>
        <w:rPr>
          <w:rFonts w:ascii="Times New Roman" w:hAnsi="Times New Roman" w:eastAsia="宋体" w:cs="Times New Roman"/>
          <w:color w:val="auto"/>
          <w:highlight w:val="none"/>
        </w:rPr>
      </w:pPr>
    </w:p>
    <w:p w14:paraId="0AF976D0">
      <w:pPr>
        <w:spacing w:before="75" w:line="360" w:lineRule="auto"/>
        <w:ind w:right="78" w:rightChars="37" w:firstLine="480" w:firstLineChars="0"/>
        <w:rPr>
          <w:rFonts w:ascii="Times New Roman" w:hAnsi="Times New Roman" w:eastAsia="宋体" w:cs="宋体"/>
          <w:color w:val="auto"/>
          <w:szCs w:val="21"/>
          <w:highlight w:val="none"/>
        </w:rPr>
      </w:pPr>
      <w:r>
        <w:rPr>
          <w:rFonts w:ascii="Times New Roman" w:hAnsi="Times New Roman" w:eastAsia="宋体" w:cs="宋体"/>
          <w:color w:val="auto"/>
          <w:spacing w:val="18"/>
          <w:szCs w:val="21"/>
          <w:highlight w:val="none"/>
        </w:rPr>
        <w:t>本单</w:t>
      </w:r>
      <w:r>
        <w:rPr>
          <w:rFonts w:ascii="Times New Roman" w:hAnsi="Times New Roman" w:eastAsia="宋体" w:cs="宋体"/>
          <w:color w:val="auto"/>
          <w:spacing w:val="11"/>
          <w:szCs w:val="21"/>
          <w:highlight w:val="none"/>
        </w:rPr>
        <w:t>位</w:t>
      </w:r>
      <w:r>
        <w:rPr>
          <w:rFonts w:ascii="Times New Roman" w:hAnsi="Times New Roman" w:eastAsia="宋体" w:cs="宋体"/>
          <w:color w:val="auto"/>
          <w:spacing w:val="9"/>
          <w:szCs w:val="21"/>
          <w:highlight w:val="none"/>
        </w:rPr>
        <w:t>郑重声明，根据《财政部民政部中国残疾人联合会关于促进残疾人就业政府采购政</w:t>
      </w:r>
      <w:r>
        <w:rPr>
          <w:rFonts w:ascii="Times New Roman" w:hAnsi="Times New Roman" w:eastAsia="宋体" w:cs="宋体"/>
          <w:color w:val="auto"/>
          <w:spacing w:val="6"/>
          <w:szCs w:val="21"/>
          <w:highlight w:val="none"/>
        </w:rPr>
        <w:t>策的通知》</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6"/>
          <w:szCs w:val="21"/>
          <w:highlight w:val="none"/>
        </w:rPr>
        <w:t>财库</w:t>
      </w:r>
      <w:r>
        <w:rPr>
          <w:rFonts w:ascii="Times New Roman" w:hAnsi="Times New Roman" w:eastAsia="宋体" w:cs="宋体"/>
          <w:color w:val="auto"/>
          <w:spacing w:val="3"/>
          <w:szCs w:val="21"/>
          <w:highlight w:val="none"/>
        </w:rPr>
        <w:t>〔2017〕141号</w:t>
      </w:r>
      <w:r>
        <w:rPr>
          <w:rFonts w:hint="eastAsia" w:ascii="Times New Roman" w:hAnsi="Times New Roman" w:eastAsia="宋体" w:cs="宋体"/>
          <w:color w:val="auto"/>
          <w:spacing w:val="3"/>
          <w:szCs w:val="21"/>
          <w:highlight w:val="none"/>
        </w:rPr>
        <w:t>）</w:t>
      </w:r>
      <w:r>
        <w:rPr>
          <w:rFonts w:ascii="Times New Roman" w:hAnsi="Times New Roman" w:eastAsia="宋体" w:cs="宋体"/>
          <w:color w:val="auto"/>
          <w:spacing w:val="3"/>
          <w:szCs w:val="21"/>
          <w:highlight w:val="none"/>
        </w:rPr>
        <w:t>的规定，本单位为符合条件的残疾人福利性单位，且本单位</w:t>
      </w:r>
      <w:r>
        <w:rPr>
          <w:rFonts w:ascii="Times New Roman" w:hAnsi="Times New Roman" w:eastAsia="宋体" w:cs="宋体"/>
          <w:color w:val="auto"/>
          <w:spacing w:val="14"/>
          <w:szCs w:val="21"/>
          <w:highlight w:val="none"/>
        </w:rPr>
        <w:t>参</w:t>
      </w:r>
      <w:r>
        <w:rPr>
          <w:rFonts w:ascii="Times New Roman" w:hAnsi="Times New Roman" w:eastAsia="宋体" w:cs="宋体"/>
          <w:color w:val="auto"/>
          <w:spacing w:val="13"/>
          <w:szCs w:val="21"/>
          <w:highlight w:val="none"/>
        </w:rPr>
        <w:t>加</w:t>
      </w:r>
      <w:r>
        <w:rPr>
          <w:rFonts w:ascii="Times New Roman" w:hAnsi="Times New Roman" w:eastAsia="宋体" w:cs="宋体"/>
          <w:color w:val="auto"/>
          <w:spacing w:val="7"/>
          <w:szCs w:val="21"/>
          <w:highlight w:val="none"/>
          <w:u w:val="single"/>
        </w:rPr>
        <w:t xml:space="preserve">             </w:t>
      </w:r>
      <w:r>
        <w:rPr>
          <w:rFonts w:ascii="Times New Roman" w:hAnsi="Times New Roman" w:eastAsia="宋体" w:cs="宋体"/>
          <w:color w:val="auto"/>
          <w:spacing w:val="7"/>
          <w:szCs w:val="21"/>
          <w:highlight w:val="none"/>
        </w:rPr>
        <w:t>单位的</w:t>
      </w:r>
      <w:r>
        <w:rPr>
          <w:rFonts w:ascii="Times New Roman" w:hAnsi="Times New Roman" w:eastAsia="宋体" w:cs="宋体"/>
          <w:color w:val="auto"/>
          <w:spacing w:val="7"/>
          <w:szCs w:val="21"/>
          <w:highlight w:val="none"/>
          <w:u w:val="single"/>
        </w:rPr>
        <w:t xml:space="preserve">              </w:t>
      </w:r>
      <w:r>
        <w:rPr>
          <w:rFonts w:ascii="Times New Roman" w:hAnsi="Times New Roman" w:eastAsia="宋体" w:cs="宋体"/>
          <w:color w:val="auto"/>
          <w:spacing w:val="7"/>
          <w:szCs w:val="21"/>
          <w:highlight w:val="none"/>
        </w:rPr>
        <w:t>项目采购活动提供本单位制造的货物</w:t>
      </w:r>
      <w:r>
        <w:rPr>
          <w:rFonts w:hint="eastAsia" w:ascii="Times New Roman" w:hAnsi="Times New Roman" w:eastAsia="宋体" w:cs="宋体"/>
          <w:color w:val="auto"/>
          <w:spacing w:val="7"/>
          <w:szCs w:val="21"/>
          <w:highlight w:val="none"/>
        </w:rPr>
        <w:t>（</w:t>
      </w:r>
      <w:r>
        <w:rPr>
          <w:rFonts w:ascii="Times New Roman" w:hAnsi="Times New Roman" w:eastAsia="宋体" w:cs="宋体"/>
          <w:color w:val="auto"/>
          <w:spacing w:val="7"/>
          <w:szCs w:val="21"/>
          <w:highlight w:val="none"/>
        </w:rPr>
        <w:t>由本单位承担</w:t>
      </w:r>
      <w:r>
        <w:rPr>
          <w:rFonts w:ascii="Times New Roman" w:hAnsi="Times New Roman" w:eastAsia="宋体" w:cs="宋体"/>
          <w:color w:val="auto"/>
          <w:spacing w:val="18"/>
          <w:szCs w:val="21"/>
          <w:highlight w:val="none"/>
        </w:rPr>
        <w:t>工</w:t>
      </w:r>
      <w:r>
        <w:rPr>
          <w:rFonts w:ascii="Times New Roman" w:hAnsi="Times New Roman" w:eastAsia="宋体" w:cs="宋体"/>
          <w:color w:val="auto"/>
          <w:spacing w:val="9"/>
          <w:szCs w:val="21"/>
          <w:highlight w:val="none"/>
        </w:rPr>
        <w:t>程/提供服务</w:t>
      </w:r>
      <w:r>
        <w:rPr>
          <w:rFonts w:hint="eastAsia" w:ascii="Times New Roman" w:hAnsi="Times New Roman" w:eastAsia="宋体" w:cs="宋体"/>
          <w:color w:val="auto"/>
          <w:spacing w:val="9"/>
          <w:szCs w:val="21"/>
          <w:highlight w:val="none"/>
        </w:rPr>
        <w:t>）</w:t>
      </w:r>
      <w:r>
        <w:rPr>
          <w:rFonts w:ascii="Times New Roman" w:hAnsi="Times New Roman" w:eastAsia="宋体" w:cs="宋体"/>
          <w:color w:val="auto"/>
          <w:spacing w:val="9"/>
          <w:szCs w:val="21"/>
          <w:highlight w:val="none"/>
        </w:rPr>
        <w:t>，或者提供其他残疾人福利性单位制造的货物</w:t>
      </w:r>
      <w:r>
        <w:rPr>
          <w:rFonts w:hint="eastAsia" w:ascii="Times New Roman" w:hAnsi="Times New Roman" w:eastAsia="宋体" w:cs="宋体"/>
          <w:color w:val="auto"/>
          <w:spacing w:val="9"/>
          <w:szCs w:val="21"/>
          <w:highlight w:val="none"/>
        </w:rPr>
        <w:t>（</w:t>
      </w:r>
      <w:r>
        <w:rPr>
          <w:rFonts w:ascii="Times New Roman" w:hAnsi="Times New Roman" w:eastAsia="宋体" w:cs="宋体"/>
          <w:color w:val="auto"/>
          <w:spacing w:val="9"/>
          <w:szCs w:val="21"/>
          <w:highlight w:val="none"/>
        </w:rPr>
        <w:t>不包括使用非残疾人福利性单</w:t>
      </w:r>
      <w:r>
        <w:rPr>
          <w:rFonts w:ascii="Times New Roman" w:hAnsi="Times New Roman" w:eastAsia="宋体" w:cs="宋体"/>
          <w:color w:val="auto"/>
          <w:spacing w:val="12"/>
          <w:szCs w:val="21"/>
          <w:highlight w:val="none"/>
        </w:rPr>
        <w:t>位</w:t>
      </w:r>
      <w:r>
        <w:rPr>
          <w:rFonts w:ascii="Times New Roman" w:hAnsi="Times New Roman" w:eastAsia="宋体" w:cs="宋体"/>
          <w:color w:val="auto"/>
          <w:spacing w:val="7"/>
          <w:szCs w:val="21"/>
          <w:highlight w:val="none"/>
        </w:rPr>
        <w:t>注册商标的货物</w:t>
      </w:r>
      <w:r>
        <w:rPr>
          <w:rFonts w:hint="eastAsia" w:ascii="Times New Roman" w:hAnsi="Times New Roman" w:eastAsia="宋体" w:cs="宋体"/>
          <w:color w:val="auto"/>
          <w:spacing w:val="7"/>
          <w:szCs w:val="21"/>
          <w:highlight w:val="none"/>
        </w:rPr>
        <w:t>）</w:t>
      </w:r>
      <w:r>
        <w:rPr>
          <w:rFonts w:ascii="Times New Roman" w:hAnsi="Times New Roman" w:eastAsia="宋体" w:cs="宋体"/>
          <w:color w:val="auto"/>
          <w:spacing w:val="7"/>
          <w:szCs w:val="21"/>
          <w:highlight w:val="none"/>
        </w:rPr>
        <w:t>。</w:t>
      </w:r>
    </w:p>
    <w:p w14:paraId="723D1619">
      <w:pPr>
        <w:spacing w:before="101" w:line="360" w:lineRule="auto"/>
        <w:ind w:left="480" w:right="78" w:rightChars="37" w:firstLine="0" w:firstLineChars="0"/>
        <w:rPr>
          <w:rFonts w:ascii="Times New Roman" w:hAnsi="Times New Roman" w:eastAsia="宋体" w:cs="宋体"/>
          <w:color w:val="auto"/>
          <w:szCs w:val="21"/>
          <w:highlight w:val="none"/>
        </w:rPr>
      </w:pPr>
      <w:r>
        <w:rPr>
          <w:rFonts w:ascii="Times New Roman" w:hAnsi="Times New Roman" w:eastAsia="宋体" w:cs="宋体"/>
          <w:color w:val="auto"/>
          <w:spacing w:val="18"/>
          <w:szCs w:val="21"/>
          <w:highlight w:val="none"/>
        </w:rPr>
        <w:t>本</w:t>
      </w:r>
      <w:r>
        <w:rPr>
          <w:rFonts w:ascii="Times New Roman" w:hAnsi="Times New Roman" w:eastAsia="宋体" w:cs="宋体"/>
          <w:color w:val="auto"/>
          <w:spacing w:val="9"/>
          <w:szCs w:val="21"/>
          <w:highlight w:val="none"/>
        </w:rPr>
        <w:t>单位对上述声明的真实性负责。如有虚假，将依法承担相应责任。</w:t>
      </w:r>
    </w:p>
    <w:p w14:paraId="050538E8">
      <w:pPr>
        <w:spacing w:line="360" w:lineRule="auto"/>
        <w:ind w:right="78" w:rightChars="37" w:firstLine="0" w:firstLineChars="0"/>
        <w:rPr>
          <w:rFonts w:ascii="Times New Roman" w:hAnsi="Times New Roman" w:eastAsia="宋体" w:cs="Times New Roman"/>
          <w:color w:val="auto"/>
          <w:szCs w:val="21"/>
          <w:highlight w:val="none"/>
        </w:rPr>
      </w:pPr>
    </w:p>
    <w:p w14:paraId="4C081C78">
      <w:pPr>
        <w:spacing w:line="360" w:lineRule="auto"/>
        <w:ind w:right="78" w:rightChars="37" w:firstLine="0" w:firstLineChars="0"/>
        <w:rPr>
          <w:rFonts w:ascii="Times New Roman" w:hAnsi="Times New Roman" w:eastAsia="宋体" w:cs="Times New Roman"/>
          <w:color w:val="auto"/>
          <w:szCs w:val="21"/>
          <w:highlight w:val="none"/>
        </w:rPr>
      </w:pPr>
    </w:p>
    <w:p w14:paraId="105D0988">
      <w:pPr>
        <w:spacing w:line="360" w:lineRule="auto"/>
        <w:ind w:right="78" w:rightChars="37" w:firstLine="0" w:firstLineChars="0"/>
        <w:rPr>
          <w:rFonts w:ascii="Times New Roman" w:hAnsi="Times New Roman" w:eastAsia="宋体" w:cs="Times New Roman"/>
          <w:color w:val="auto"/>
          <w:szCs w:val="21"/>
          <w:highlight w:val="none"/>
        </w:rPr>
      </w:pPr>
    </w:p>
    <w:p w14:paraId="1F8711D4">
      <w:pPr>
        <w:spacing w:line="360" w:lineRule="auto"/>
        <w:ind w:right="78" w:rightChars="37" w:firstLine="0" w:firstLineChars="0"/>
        <w:jc w:val="left"/>
        <w:rPr>
          <w:rFonts w:ascii="Times New Roman" w:hAnsi="Times New Roman" w:eastAsia="宋体" w:cs="Times New Roman"/>
          <w:color w:val="auto"/>
          <w:szCs w:val="21"/>
          <w:highlight w:val="none"/>
        </w:rPr>
      </w:pPr>
    </w:p>
    <w:p w14:paraId="20DA5CD4">
      <w:pPr>
        <w:spacing w:line="360" w:lineRule="auto"/>
        <w:ind w:right="78" w:rightChars="37" w:firstLine="0" w:firstLineChars="0"/>
        <w:jc w:val="left"/>
        <w:rPr>
          <w:rFonts w:ascii="Times New Roman" w:hAnsi="Times New Roman" w:eastAsia="宋体" w:cs="Times New Roman"/>
          <w:color w:val="auto"/>
          <w:szCs w:val="21"/>
          <w:highlight w:val="none"/>
        </w:rPr>
      </w:pPr>
    </w:p>
    <w:p w14:paraId="546F9610">
      <w:pPr>
        <w:spacing w:before="75" w:line="360" w:lineRule="auto"/>
        <w:ind w:right="78" w:rightChars="37" w:firstLine="3638" w:firstLineChars="1700"/>
        <w:jc w:val="left"/>
        <w:rPr>
          <w:rFonts w:ascii="Times New Roman" w:hAnsi="Times New Roman" w:eastAsia="宋体" w:cs="宋体"/>
          <w:color w:val="auto"/>
          <w:szCs w:val="21"/>
          <w:highlight w:val="none"/>
        </w:rPr>
      </w:pPr>
      <w:r>
        <w:rPr>
          <w:rFonts w:ascii="Times New Roman" w:hAnsi="Times New Roman" w:eastAsia="宋体" w:cs="宋体"/>
          <w:color w:val="auto"/>
          <w:spacing w:val="2"/>
          <w:szCs w:val="21"/>
          <w:highlight w:val="none"/>
        </w:rPr>
        <w:t xml:space="preserve">单位名称 </w:t>
      </w:r>
      <w:r>
        <w:rPr>
          <w:rFonts w:hint="eastAsia" w:ascii="Times New Roman" w:hAnsi="Times New Roman" w:eastAsia="宋体" w:cs="宋体"/>
          <w:color w:val="auto"/>
          <w:spacing w:val="2"/>
          <w:szCs w:val="21"/>
          <w:highlight w:val="none"/>
        </w:rPr>
        <w:t>（</w:t>
      </w:r>
      <w:r>
        <w:rPr>
          <w:rFonts w:ascii="Times New Roman" w:hAnsi="Times New Roman" w:eastAsia="宋体" w:cs="宋体"/>
          <w:color w:val="auto"/>
          <w:spacing w:val="2"/>
          <w:szCs w:val="21"/>
          <w:highlight w:val="none"/>
        </w:rPr>
        <w:t>盖</w:t>
      </w:r>
      <w:r>
        <w:rPr>
          <w:rFonts w:ascii="Times New Roman" w:hAnsi="Times New Roman" w:eastAsia="宋体" w:cs="宋体"/>
          <w:color w:val="auto"/>
          <w:spacing w:val="1"/>
          <w:szCs w:val="21"/>
          <w:highlight w:val="none"/>
        </w:rPr>
        <w:t>章</w:t>
      </w:r>
      <w:r>
        <w:rPr>
          <w:rFonts w:hint="eastAsia" w:ascii="Times New Roman" w:hAnsi="Times New Roman" w:eastAsia="宋体" w:cs="宋体"/>
          <w:color w:val="auto"/>
          <w:spacing w:val="1"/>
          <w:szCs w:val="21"/>
          <w:highlight w:val="none"/>
        </w:rPr>
        <w:t>）</w:t>
      </w:r>
      <w:r>
        <w:rPr>
          <w:rFonts w:ascii="Times New Roman" w:hAnsi="Times New Roman" w:eastAsia="宋体" w:cs="宋体"/>
          <w:color w:val="auto"/>
          <w:spacing w:val="1"/>
          <w:szCs w:val="21"/>
          <w:highlight w:val="none"/>
        </w:rPr>
        <w:t>：</w:t>
      </w:r>
      <w:r>
        <w:rPr>
          <w:rFonts w:hint="eastAsia" w:ascii="Times New Roman" w:hAnsi="Times New Roman" w:eastAsia="宋体" w:cs="宋体"/>
          <w:color w:val="auto"/>
          <w:spacing w:val="1"/>
          <w:szCs w:val="21"/>
          <w:highlight w:val="none"/>
          <w:u w:val="single"/>
        </w:rPr>
        <w:t xml:space="preserve">                 </w:t>
      </w:r>
      <w:r>
        <w:rPr>
          <w:rFonts w:ascii="Times New Roman" w:hAnsi="Times New Roman" w:eastAsia="宋体" w:cs="宋体"/>
          <w:color w:val="auto"/>
          <w:szCs w:val="21"/>
          <w:highlight w:val="none"/>
        </w:rPr>
        <w:t xml:space="preserve"> </w:t>
      </w:r>
    </w:p>
    <w:p w14:paraId="64AC62A6">
      <w:pPr>
        <w:spacing w:before="75" w:line="360" w:lineRule="auto"/>
        <w:ind w:right="78" w:rightChars="37" w:firstLine="3600" w:firstLineChars="1800"/>
        <w:jc w:val="left"/>
        <w:rPr>
          <w:rFonts w:ascii="Times New Roman" w:hAnsi="Times New Roman" w:eastAsia="宋体" w:cs="宋体"/>
          <w:color w:val="auto"/>
          <w:szCs w:val="21"/>
          <w:highlight w:val="none"/>
        </w:rPr>
      </w:pPr>
      <w:r>
        <w:rPr>
          <w:rFonts w:ascii="Times New Roman" w:hAnsi="Times New Roman" w:eastAsia="宋体" w:cs="宋体"/>
          <w:color w:val="auto"/>
          <w:spacing w:val="-5"/>
          <w:szCs w:val="21"/>
          <w:highlight w:val="none"/>
        </w:rPr>
        <w:t>日</w:t>
      </w:r>
      <w:r>
        <w:rPr>
          <w:rFonts w:ascii="Times New Roman" w:hAnsi="Times New Roman" w:eastAsia="宋体" w:cs="宋体"/>
          <w:color w:val="auto"/>
          <w:spacing w:val="-4"/>
          <w:szCs w:val="21"/>
          <w:highlight w:val="none"/>
        </w:rPr>
        <w:t xml:space="preserve">  期：</w:t>
      </w:r>
      <w:r>
        <w:rPr>
          <w:rFonts w:hint="eastAsia" w:ascii="Times New Roman" w:hAnsi="Times New Roman" w:eastAsia="宋体" w:cs="宋体"/>
          <w:color w:val="auto"/>
          <w:spacing w:val="1"/>
          <w:szCs w:val="21"/>
          <w:highlight w:val="none"/>
          <w:u w:val="single"/>
        </w:rPr>
        <w:t xml:space="preserve">                         </w:t>
      </w:r>
    </w:p>
    <w:p w14:paraId="69D738CE">
      <w:pPr>
        <w:spacing w:line="360" w:lineRule="auto"/>
        <w:ind w:right="78" w:rightChars="37" w:firstLine="0" w:firstLineChars="0"/>
        <w:rPr>
          <w:rFonts w:ascii="Times New Roman" w:hAnsi="Times New Roman" w:eastAsia="宋体" w:cs="Times New Roman"/>
          <w:color w:val="auto"/>
          <w:szCs w:val="21"/>
          <w:highlight w:val="none"/>
        </w:rPr>
      </w:pPr>
    </w:p>
    <w:p w14:paraId="2A4BF010">
      <w:pPr>
        <w:spacing w:line="360" w:lineRule="auto"/>
        <w:ind w:right="78" w:rightChars="37" w:firstLine="0" w:firstLineChars="0"/>
        <w:rPr>
          <w:rFonts w:ascii="Times New Roman" w:hAnsi="Times New Roman" w:eastAsia="宋体" w:cs="Times New Roman"/>
          <w:color w:val="auto"/>
          <w:szCs w:val="21"/>
          <w:highlight w:val="none"/>
        </w:rPr>
      </w:pPr>
    </w:p>
    <w:p w14:paraId="62DAB55D">
      <w:pPr>
        <w:spacing w:line="360" w:lineRule="auto"/>
        <w:ind w:right="78" w:rightChars="37" w:firstLine="0" w:firstLineChars="0"/>
        <w:rPr>
          <w:rFonts w:ascii="Times New Roman" w:hAnsi="Times New Roman" w:eastAsia="宋体" w:cs="Times New Roman"/>
          <w:color w:val="auto"/>
          <w:szCs w:val="21"/>
          <w:highlight w:val="none"/>
        </w:rPr>
      </w:pPr>
    </w:p>
    <w:p w14:paraId="7FC55ADB">
      <w:pPr>
        <w:spacing w:line="360" w:lineRule="auto"/>
        <w:ind w:right="78" w:rightChars="37" w:firstLine="0" w:firstLineChars="0"/>
        <w:rPr>
          <w:rFonts w:ascii="Times New Roman" w:hAnsi="Times New Roman" w:eastAsia="宋体" w:cs="Times New Roman"/>
          <w:color w:val="auto"/>
          <w:szCs w:val="21"/>
          <w:highlight w:val="none"/>
        </w:rPr>
      </w:pPr>
    </w:p>
    <w:p w14:paraId="3D38354C">
      <w:pPr>
        <w:spacing w:line="360" w:lineRule="auto"/>
        <w:ind w:right="78" w:rightChars="37" w:firstLine="0" w:firstLineChars="0"/>
        <w:rPr>
          <w:rFonts w:ascii="Times New Roman" w:hAnsi="Times New Roman" w:eastAsia="宋体" w:cs="Times New Roman"/>
          <w:color w:val="auto"/>
          <w:szCs w:val="21"/>
          <w:highlight w:val="none"/>
        </w:rPr>
      </w:pPr>
    </w:p>
    <w:p w14:paraId="328E70F0">
      <w:pPr>
        <w:spacing w:line="360" w:lineRule="auto"/>
        <w:ind w:right="78" w:rightChars="37" w:firstLine="0" w:firstLineChars="0"/>
        <w:rPr>
          <w:rFonts w:ascii="Times New Roman" w:hAnsi="Times New Roman" w:eastAsia="宋体" w:cs="Times New Roman"/>
          <w:color w:val="auto"/>
          <w:szCs w:val="21"/>
          <w:highlight w:val="none"/>
        </w:rPr>
      </w:pPr>
    </w:p>
    <w:p w14:paraId="009E6CF6">
      <w:pPr>
        <w:spacing w:line="360" w:lineRule="auto"/>
        <w:ind w:right="78" w:rightChars="37" w:firstLine="0" w:firstLineChars="0"/>
        <w:rPr>
          <w:rFonts w:ascii="Times New Roman" w:hAnsi="Times New Roman" w:eastAsia="宋体" w:cs="Times New Roman"/>
          <w:color w:val="auto"/>
          <w:szCs w:val="21"/>
          <w:highlight w:val="none"/>
        </w:rPr>
      </w:pPr>
    </w:p>
    <w:p w14:paraId="395A3CED">
      <w:pPr>
        <w:spacing w:line="360" w:lineRule="auto"/>
        <w:ind w:right="78" w:rightChars="37" w:firstLine="0" w:firstLineChars="0"/>
        <w:rPr>
          <w:rFonts w:ascii="Times New Roman" w:hAnsi="Times New Roman" w:eastAsia="宋体" w:cs="Times New Roman"/>
          <w:color w:val="auto"/>
          <w:szCs w:val="21"/>
          <w:highlight w:val="none"/>
        </w:rPr>
      </w:pPr>
    </w:p>
    <w:p w14:paraId="6A71C8D3">
      <w:pPr>
        <w:spacing w:before="74" w:line="360" w:lineRule="auto"/>
        <w:ind w:left="438" w:right="78" w:rightChars="37" w:firstLine="480" w:firstLineChars="0"/>
        <w:rPr>
          <w:rFonts w:ascii="Times New Roman" w:hAnsi="Times New Roman" w:eastAsia="宋体" w:cs="宋体"/>
          <w:color w:val="auto"/>
          <w:szCs w:val="21"/>
          <w:highlight w:val="none"/>
        </w:rPr>
      </w:pPr>
      <w:r>
        <w:rPr>
          <w:rFonts w:ascii="Times New Roman" w:hAnsi="Times New Roman" w:eastAsia="宋体" w:cs="宋体"/>
          <w:color w:val="auto"/>
          <w:spacing w:val="12"/>
          <w:szCs w:val="21"/>
          <w:highlight w:val="none"/>
        </w:rPr>
        <w:t>注：若</w:t>
      </w:r>
      <w:r>
        <w:rPr>
          <w:rFonts w:ascii="Times New Roman" w:hAnsi="Times New Roman" w:eastAsia="宋体" w:cs="宋体"/>
          <w:color w:val="auto"/>
          <w:spacing w:val="9"/>
          <w:szCs w:val="21"/>
          <w:highlight w:val="none"/>
        </w:rPr>
        <w:t>是</w:t>
      </w:r>
      <w:r>
        <w:rPr>
          <w:rFonts w:ascii="Times New Roman" w:hAnsi="Times New Roman" w:eastAsia="宋体" w:cs="宋体"/>
          <w:color w:val="auto"/>
          <w:spacing w:val="6"/>
          <w:szCs w:val="21"/>
          <w:highlight w:val="none"/>
        </w:rPr>
        <w:t>残疾人福利性单位则需提供上述“残疾人福利性单位声明函”，若不是残疾人</w:t>
      </w:r>
      <w:r>
        <w:rPr>
          <w:rFonts w:ascii="Times New Roman" w:hAnsi="Times New Roman" w:eastAsia="宋体" w:cs="宋体"/>
          <w:color w:val="auto"/>
          <w:spacing w:val="13"/>
          <w:szCs w:val="21"/>
          <w:highlight w:val="none"/>
        </w:rPr>
        <w:t>福</w:t>
      </w:r>
      <w:r>
        <w:rPr>
          <w:rFonts w:ascii="Times New Roman" w:hAnsi="Times New Roman" w:eastAsia="宋体" w:cs="宋体"/>
          <w:color w:val="auto"/>
          <w:spacing w:val="8"/>
          <w:szCs w:val="21"/>
          <w:highlight w:val="none"/>
        </w:rPr>
        <w:t>利性单位则不需要提供。</w:t>
      </w:r>
    </w:p>
    <w:p w14:paraId="48246E1F">
      <w:pPr>
        <w:pageBreakBefore w:val="0"/>
        <w:kinsoku/>
        <w:wordWrap w:val="0"/>
        <w:overflowPunct/>
        <w:bidi w:val="0"/>
        <w:spacing w:line="400" w:lineRule="exact"/>
        <w:rPr>
          <w:i w:val="0"/>
          <w:iCs w:val="0"/>
          <w:color w:val="auto"/>
        </w:rPr>
      </w:pPr>
      <w:r>
        <w:rPr>
          <w:rFonts w:hint="eastAsia" w:ascii="黑体" w:hAnsi="宋体" w:eastAsia="黑体" w:cs="Times New Roman"/>
          <w:color w:val="auto"/>
          <w:sz w:val="24"/>
          <w:lang w:val="en-US" w:eastAsia="zh-CN"/>
        </w:rPr>
        <w:t>6、其他资料</w:t>
      </w:r>
    </w:p>
    <w:p w14:paraId="67B6E3A1">
      <w:pPr>
        <w:pStyle w:val="14"/>
        <w:pageBreakBefore w:val="0"/>
        <w:kinsoku/>
        <w:wordWrap w:val="0"/>
        <w:overflowPunct/>
        <w:bidi w:val="0"/>
        <w:rPr>
          <w:i w:val="0"/>
          <w:iCs w:val="0"/>
          <w:color w:val="auto"/>
        </w:rPr>
        <w:sectPr>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3383990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简体" w:hAnsi="方正小标宋简体" w:eastAsia="方正小标宋简体" w:cs="方正小标宋简体"/>
          <w:i w:val="0"/>
          <w:iCs w:val="0"/>
          <w:color w:val="auto"/>
          <w:sz w:val="44"/>
          <w:szCs w:val="44"/>
          <w:u w:val="none"/>
          <w:lang w:val="en-US" w:eastAsia="zh-CN"/>
        </w:rPr>
      </w:pPr>
      <w:bookmarkStart w:id="3350" w:name="_Toc9689"/>
      <w:r>
        <w:rPr>
          <w:rFonts w:hint="eastAsia" w:ascii="方正小标宋简体" w:hAnsi="方正小标宋简体" w:eastAsia="方正小标宋简体" w:cs="方正小标宋简体"/>
          <w:i w:val="0"/>
          <w:iCs w:val="0"/>
          <w:color w:val="auto"/>
          <w:sz w:val="44"/>
          <w:szCs w:val="44"/>
          <w:u w:val="none"/>
          <w:lang w:val="en-US" w:eastAsia="zh-CN"/>
        </w:rPr>
        <w:t>技术标（暗标）</w:t>
      </w:r>
      <w:bookmarkEnd w:id="3350"/>
    </w:p>
    <w:p w14:paraId="28B52704">
      <w:pPr>
        <w:spacing w:before="71" w:line="227" w:lineRule="auto"/>
        <w:ind w:left="0" w:leftChars="0" w:firstLine="0" w:firstLineChars="0"/>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注：正式投标文件中，技术标（暗标）部分不做封面和目录。</w:t>
      </w:r>
    </w:p>
    <w:p w14:paraId="78FDBA6F">
      <w:pPr>
        <w:spacing w:before="71" w:line="227" w:lineRule="auto"/>
        <w:ind w:left="0" w:leftChars="0" w:firstLine="0" w:firstLineChars="0"/>
        <w:jc w:val="center"/>
        <w:rPr>
          <w:rFonts w:hint="eastAsia" w:ascii="方正小标宋简体" w:hAnsi="方正小标宋简体" w:eastAsia="方正小标宋简体" w:cs="方正小标宋简体"/>
          <w:i w:val="0"/>
          <w:iCs w:val="0"/>
          <w:color w:val="auto"/>
          <w:sz w:val="44"/>
          <w:szCs w:val="44"/>
          <w:u w:val="none"/>
          <w:lang w:val="en-US" w:eastAsia="zh-CN"/>
        </w:rPr>
      </w:pPr>
    </w:p>
    <w:p w14:paraId="75731D7F">
      <w:pPr>
        <w:keepNext w:val="0"/>
        <w:keepLines w:val="0"/>
        <w:pageBreakBefore w:val="0"/>
        <w:widowControl w:val="0"/>
        <w:kinsoku/>
        <w:wordWrap/>
        <w:overflowPunct/>
        <w:topLinePunct w:val="0"/>
        <w:autoSpaceDE/>
        <w:autoSpaceDN/>
        <w:bidi w:val="0"/>
        <w:adjustRightInd/>
        <w:snapToGrid/>
        <w:spacing w:before="10" w:after="0" w:afterLines="50" w:line="221" w:lineRule="auto"/>
        <w:textAlignment w:val="auto"/>
        <w:rPr>
          <w:rFonts w:ascii="宋体" w:hAnsi="宋体" w:eastAsia="宋体" w:cs="宋体"/>
          <w:i/>
          <w:iCs/>
          <w:color w:val="auto"/>
          <w:sz w:val="24"/>
          <w:szCs w:val="24"/>
        </w:rPr>
        <w:sectPr>
          <w:footerReference r:id="rId23"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2B63AA73">
      <w:pPr>
        <w:numPr>
          <w:ilvl w:val="0"/>
          <w:numId w:val="0"/>
        </w:numPr>
        <w:spacing w:before="72" w:line="225" w:lineRule="auto"/>
        <w:jc w:val="center"/>
        <w:outlineLvl w:val="1"/>
        <w:rPr>
          <w:rFonts w:hint="eastAsia" w:ascii="宋体" w:hAnsi="宋体" w:eastAsia="宋体" w:cs="宋体"/>
          <w:b/>
          <w:bCs/>
          <w:i w:val="0"/>
          <w:iCs w:val="0"/>
          <w:color w:val="auto"/>
          <w:spacing w:val="5"/>
          <w:sz w:val="28"/>
          <w:szCs w:val="28"/>
        </w:rPr>
      </w:pPr>
      <w:bookmarkStart w:id="3351" w:name="_Toc24787"/>
      <w:r>
        <w:rPr>
          <w:rFonts w:hint="eastAsia" w:ascii="宋体" w:hAnsi="宋体" w:eastAsia="宋体" w:cs="宋体"/>
          <w:b/>
          <w:bCs/>
          <w:i w:val="0"/>
          <w:iCs w:val="0"/>
          <w:color w:val="auto"/>
          <w:spacing w:val="5"/>
          <w:sz w:val="28"/>
          <w:szCs w:val="28"/>
          <w:lang w:eastAsia="zh-CN"/>
        </w:rPr>
        <w:t>一、</w:t>
      </w:r>
      <w:r>
        <w:rPr>
          <w:rFonts w:hint="eastAsia" w:ascii="宋体" w:hAnsi="宋体" w:eastAsia="宋体" w:cs="宋体"/>
          <w:b/>
          <w:bCs/>
          <w:i w:val="0"/>
          <w:iCs w:val="0"/>
          <w:color w:val="auto"/>
          <w:spacing w:val="5"/>
          <w:sz w:val="28"/>
          <w:szCs w:val="28"/>
        </w:rPr>
        <w:t>总体项目管理方案</w:t>
      </w:r>
      <w:bookmarkEnd w:id="3351"/>
    </w:p>
    <w:p w14:paraId="02FA03B0">
      <w:pPr>
        <w:numPr>
          <w:ilvl w:val="0"/>
          <w:numId w:val="0"/>
        </w:numPr>
        <w:spacing w:before="72" w:line="225" w:lineRule="auto"/>
        <w:jc w:val="center"/>
        <w:outlineLvl w:val="1"/>
        <w:rPr>
          <w:rFonts w:ascii="宋体" w:hAnsi="宋体" w:eastAsia="宋体" w:cs="宋体"/>
          <w:i w:val="0"/>
          <w:iCs w:val="0"/>
          <w:color w:val="auto"/>
          <w:sz w:val="35"/>
          <w:szCs w:val="35"/>
        </w:rPr>
      </w:pPr>
      <w:r>
        <w:rPr>
          <w:rFonts w:ascii="宋体" w:hAnsi="宋体" w:eastAsia="宋体" w:cs="宋体"/>
          <w:b/>
          <w:bCs/>
          <w:i w:val="0"/>
          <w:iCs w:val="0"/>
          <w:color w:val="auto"/>
          <w:spacing w:val="4"/>
          <w:sz w:val="35"/>
          <w:szCs w:val="35"/>
        </w:rPr>
        <w:br w:type="page"/>
      </w:r>
      <w:bookmarkStart w:id="3352" w:name="_Toc26018"/>
      <w:r>
        <w:rPr>
          <w:rFonts w:hint="eastAsia" w:ascii="宋体" w:hAnsi="宋体" w:eastAsia="宋体" w:cs="宋体"/>
          <w:b/>
          <w:bCs/>
          <w:i w:val="0"/>
          <w:iCs w:val="0"/>
          <w:color w:val="auto"/>
          <w:spacing w:val="4"/>
          <w:sz w:val="28"/>
          <w:szCs w:val="28"/>
        </w:rPr>
        <w:t>二、设计方案</w:t>
      </w:r>
      <w:bookmarkEnd w:id="3352"/>
    </w:p>
    <w:p w14:paraId="3F29B2B6">
      <w:pPr>
        <w:spacing w:line="225" w:lineRule="auto"/>
        <w:rPr>
          <w:rFonts w:ascii="宋体" w:hAnsi="宋体" w:eastAsia="宋体" w:cs="宋体"/>
          <w:i w:val="0"/>
          <w:iCs w:val="0"/>
          <w:color w:val="auto"/>
          <w:sz w:val="35"/>
          <w:szCs w:val="35"/>
        </w:rPr>
      </w:pPr>
    </w:p>
    <w:p w14:paraId="6ED31DBE">
      <w:pPr>
        <w:spacing w:line="225" w:lineRule="auto"/>
        <w:rPr>
          <w:rFonts w:ascii="宋体" w:hAnsi="宋体" w:eastAsia="宋体" w:cs="宋体"/>
          <w:i w:val="0"/>
          <w:iCs w:val="0"/>
          <w:color w:val="auto"/>
          <w:sz w:val="35"/>
          <w:szCs w:val="35"/>
        </w:rPr>
        <w:sectPr>
          <w:footerReference r:id="rId24"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0563877E">
      <w:pPr>
        <w:numPr>
          <w:ilvl w:val="0"/>
          <w:numId w:val="17"/>
        </w:numPr>
        <w:spacing w:before="71" w:line="224" w:lineRule="auto"/>
        <w:ind w:left="0" w:leftChars="0" w:firstLine="0" w:firstLineChars="0"/>
        <w:jc w:val="center"/>
        <w:outlineLvl w:val="1"/>
        <w:rPr>
          <w:rFonts w:hint="eastAsia" w:ascii="宋体" w:hAnsi="宋体" w:eastAsia="宋体" w:cs="宋体"/>
          <w:b/>
          <w:bCs/>
          <w:i w:val="0"/>
          <w:iCs w:val="0"/>
          <w:color w:val="auto"/>
          <w:spacing w:val="5"/>
          <w:sz w:val="28"/>
          <w:szCs w:val="28"/>
        </w:rPr>
      </w:pPr>
      <w:bookmarkStart w:id="3353" w:name="_Toc24435"/>
      <w:r>
        <w:rPr>
          <w:rFonts w:hint="eastAsia" w:ascii="宋体" w:hAnsi="宋体" w:eastAsia="宋体" w:cs="宋体"/>
          <w:b/>
          <w:bCs/>
          <w:i w:val="0"/>
          <w:iCs w:val="0"/>
          <w:color w:val="auto"/>
          <w:spacing w:val="5"/>
          <w:sz w:val="28"/>
          <w:szCs w:val="28"/>
        </w:rPr>
        <w:t>采购方案</w:t>
      </w:r>
      <w:bookmarkEnd w:id="3353"/>
    </w:p>
    <w:p w14:paraId="527171D6">
      <w:pPr>
        <w:numPr>
          <w:ilvl w:val="0"/>
          <w:numId w:val="0"/>
        </w:numPr>
        <w:spacing w:before="71" w:line="224" w:lineRule="auto"/>
        <w:ind w:leftChars="0"/>
        <w:rPr>
          <w:rFonts w:ascii="宋体" w:hAnsi="宋体" w:eastAsia="宋体" w:cs="宋体"/>
          <w:b/>
          <w:bCs/>
          <w:i w:val="0"/>
          <w:iCs w:val="0"/>
          <w:color w:val="auto"/>
          <w:spacing w:val="5"/>
          <w:sz w:val="35"/>
          <w:szCs w:val="35"/>
        </w:rPr>
      </w:pPr>
    </w:p>
    <w:p w14:paraId="42FAA812">
      <w:pPr>
        <w:spacing w:line="224" w:lineRule="auto"/>
        <w:rPr>
          <w:rFonts w:ascii="宋体" w:hAnsi="宋体" w:eastAsia="宋体" w:cs="宋体"/>
          <w:i w:val="0"/>
          <w:iCs w:val="0"/>
          <w:color w:val="auto"/>
          <w:sz w:val="35"/>
          <w:szCs w:val="35"/>
        </w:rPr>
        <w:sectPr>
          <w:footerReference r:id="rId25"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605E521E">
      <w:pPr>
        <w:spacing w:before="72" w:line="225" w:lineRule="auto"/>
        <w:ind w:left="0" w:leftChars="0" w:firstLine="0" w:firstLineChars="0"/>
        <w:jc w:val="center"/>
        <w:outlineLvl w:val="1"/>
        <w:rPr>
          <w:rFonts w:hint="eastAsia" w:ascii="宋体" w:hAnsi="宋体" w:eastAsia="宋体" w:cs="宋体"/>
          <w:b/>
          <w:bCs/>
          <w:i w:val="0"/>
          <w:iCs w:val="0"/>
          <w:color w:val="auto"/>
          <w:sz w:val="28"/>
          <w:szCs w:val="28"/>
        </w:rPr>
      </w:pPr>
      <w:bookmarkStart w:id="3354" w:name="_Toc7416"/>
      <w:r>
        <w:rPr>
          <w:rFonts w:hint="eastAsia" w:ascii="宋体" w:hAnsi="宋体" w:eastAsia="宋体" w:cs="宋体"/>
          <w:b/>
          <w:bCs/>
          <w:i w:val="0"/>
          <w:iCs w:val="0"/>
          <w:color w:val="auto"/>
          <w:spacing w:val="-1"/>
          <w:sz w:val="28"/>
          <w:szCs w:val="28"/>
        </w:rPr>
        <w:t>四、施工方案</w:t>
      </w:r>
      <w:bookmarkEnd w:id="3354"/>
    </w:p>
    <w:p w14:paraId="3815E41F">
      <w:pPr>
        <w:pStyle w:val="16"/>
        <w:spacing w:line="263" w:lineRule="auto"/>
        <w:rPr>
          <w:i w:val="0"/>
          <w:iCs w:val="0"/>
          <w:color w:val="auto"/>
        </w:rPr>
      </w:pPr>
    </w:p>
    <w:p w14:paraId="26E3AB50">
      <w:pPr>
        <w:spacing w:before="78" w:line="219" w:lineRule="auto"/>
        <w:ind w:left="431"/>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2"/>
          <w:sz w:val="24"/>
          <w:szCs w:val="24"/>
        </w:rPr>
        <w:t>1.投标人应编制递交完整的施工方案；</w:t>
      </w:r>
    </w:p>
    <w:p w14:paraId="6A8CB0D8">
      <w:pPr>
        <w:spacing w:before="78" w:line="219" w:lineRule="auto"/>
        <w:ind w:left="416"/>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2.施工方案除采用文字表述外应附下列图表，图表及格式要求附后；</w:t>
      </w:r>
    </w:p>
    <w:p w14:paraId="1E417FCC">
      <w:pPr>
        <w:spacing w:before="78" w:line="219" w:lineRule="auto"/>
        <w:ind w:left="412"/>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表1  拟投入的主要施工机械设备表；</w:t>
      </w:r>
    </w:p>
    <w:p w14:paraId="13B5ABE9">
      <w:pPr>
        <w:spacing w:before="78" w:line="219" w:lineRule="auto"/>
        <w:ind w:left="412"/>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表2  劳动力计划表；</w:t>
      </w:r>
    </w:p>
    <w:p w14:paraId="46EDDD1D">
      <w:pPr>
        <w:spacing w:before="78" w:line="219" w:lineRule="auto"/>
        <w:ind w:left="412"/>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表3  计划开、竣工日期和施工进度图表；</w:t>
      </w:r>
    </w:p>
    <w:p w14:paraId="78E14CDC">
      <w:pPr>
        <w:spacing w:before="78" w:line="219" w:lineRule="auto"/>
        <w:ind w:left="412"/>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表4  施工总平面布置图及临时用地表。</w:t>
      </w:r>
    </w:p>
    <w:p w14:paraId="10E46183">
      <w:pPr>
        <w:spacing w:line="219" w:lineRule="auto"/>
        <w:rPr>
          <w:rFonts w:hint="eastAsia" w:ascii="宋体" w:hAnsi="宋体" w:eastAsia="宋体" w:cs="宋体"/>
          <w:i w:val="0"/>
          <w:iCs w:val="0"/>
          <w:color w:val="auto"/>
          <w:sz w:val="24"/>
          <w:szCs w:val="24"/>
        </w:rPr>
        <w:sectPr>
          <w:footerReference r:id="rId26"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07CC8882">
      <w:pPr>
        <w:spacing w:before="56" w:line="219" w:lineRule="auto"/>
        <w:ind w:left="0" w:leftChars="0" w:firstLine="0" w:firstLineChars="0"/>
        <w:jc w:val="center"/>
        <w:rPr>
          <w:rFonts w:ascii="宋体" w:hAnsi="宋体" w:eastAsia="宋体" w:cs="宋体"/>
          <w:i w:val="0"/>
          <w:iCs w:val="0"/>
          <w:color w:val="auto"/>
          <w:sz w:val="28"/>
          <w:szCs w:val="28"/>
        </w:rPr>
      </w:pPr>
      <w:r>
        <w:rPr>
          <w:rFonts w:hint="eastAsia" w:ascii="宋体" w:hAnsi="宋体" w:eastAsia="宋体" w:cs="宋体"/>
          <w:b/>
          <w:bCs/>
          <w:i w:val="0"/>
          <w:iCs w:val="0"/>
          <w:color w:val="auto"/>
          <w:spacing w:val="-5"/>
          <w:sz w:val="28"/>
          <w:szCs w:val="28"/>
        </w:rPr>
        <w:t>表1</w:t>
      </w:r>
      <w:r>
        <w:rPr>
          <w:rFonts w:hint="eastAsia" w:ascii="宋体" w:hAnsi="宋体" w:eastAsia="宋体" w:cs="宋体"/>
          <w:b/>
          <w:bCs/>
          <w:i w:val="0"/>
          <w:iCs w:val="0"/>
          <w:color w:val="auto"/>
          <w:spacing w:val="16"/>
          <w:sz w:val="28"/>
          <w:szCs w:val="28"/>
        </w:rPr>
        <w:t xml:space="preserve">   </w:t>
      </w:r>
      <w:r>
        <w:rPr>
          <w:rFonts w:hint="eastAsia" w:ascii="宋体" w:hAnsi="宋体" w:cs="宋体"/>
          <w:b/>
          <w:bCs/>
          <w:i w:val="0"/>
          <w:iCs w:val="0"/>
          <w:color w:val="auto"/>
          <w:spacing w:val="-5"/>
          <w:sz w:val="24"/>
          <w:szCs w:val="24"/>
          <w:lang w:eastAsia="zh-CN"/>
        </w:rPr>
        <w:t>☑</w:t>
      </w:r>
      <w:r>
        <w:rPr>
          <w:rFonts w:hint="eastAsia" w:ascii="宋体" w:hAnsi="宋体" w:eastAsia="宋体" w:cs="宋体"/>
          <w:b/>
          <w:bCs/>
          <w:i w:val="0"/>
          <w:iCs w:val="0"/>
          <w:color w:val="auto"/>
          <w:spacing w:val="-5"/>
          <w:sz w:val="28"/>
          <w:szCs w:val="28"/>
        </w:rPr>
        <w:t>拟投入的主要施工机械设备表</w:t>
      </w:r>
    </w:p>
    <w:p w14:paraId="54DAB1A7">
      <w:pPr>
        <w:spacing w:line="135" w:lineRule="exact"/>
        <w:rPr>
          <w:i w:val="0"/>
          <w:iCs w:val="0"/>
          <w:color w:val="auto"/>
        </w:rPr>
      </w:pP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22"/>
        <w:gridCol w:w="858"/>
        <w:gridCol w:w="1116"/>
        <w:gridCol w:w="757"/>
        <w:gridCol w:w="830"/>
        <w:gridCol w:w="1364"/>
        <w:gridCol w:w="984"/>
        <w:gridCol w:w="1189"/>
        <w:gridCol w:w="779"/>
      </w:tblGrid>
      <w:tr w14:paraId="3D8F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center"/>
          </w:tcPr>
          <w:p w14:paraId="398DA4B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序号</w:t>
            </w:r>
          </w:p>
        </w:tc>
        <w:tc>
          <w:tcPr>
            <w:tcW w:w="620" w:type="pct"/>
            <w:noWrap w:val="0"/>
            <w:vAlign w:val="center"/>
          </w:tcPr>
          <w:p w14:paraId="50D2A47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设备名称</w:t>
            </w:r>
          </w:p>
        </w:tc>
        <w:tc>
          <w:tcPr>
            <w:tcW w:w="435" w:type="pct"/>
            <w:noWrap w:val="0"/>
            <w:vAlign w:val="center"/>
          </w:tcPr>
          <w:p w14:paraId="17A6096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型号</w:t>
            </w:r>
          </w:p>
          <w:p w14:paraId="21A5BA2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规格</w:t>
            </w:r>
          </w:p>
        </w:tc>
        <w:tc>
          <w:tcPr>
            <w:tcW w:w="566" w:type="pct"/>
            <w:noWrap w:val="0"/>
            <w:vAlign w:val="center"/>
          </w:tcPr>
          <w:p w14:paraId="6EAA18D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数量</w:t>
            </w:r>
          </w:p>
        </w:tc>
        <w:tc>
          <w:tcPr>
            <w:tcW w:w="384" w:type="pct"/>
            <w:noWrap w:val="0"/>
            <w:vAlign w:val="center"/>
          </w:tcPr>
          <w:p w14:paraId="60C802F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国别</w:t>
            </w:r>
          </w:p>
          <w:p w14:paraId="1054CE3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产地</w:t>
            </w:r>
          </w:p>
        </w:tc>
        <w:tc>
          <w:tcPr>
            <w:tcW w:w="421" w:type="pct"/>
            <w:noWrap w:val="0"/>
            <w:vAlign w:val="center"/>
          </w:tcPr>
          <w:p w14:paraId="4E02F12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制造</w:t>
            </w:r>
          </w:p>
          <w:p w14:paraId="2C526D8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年份</w:t>
            </w:r>
          </w:p>
        </w:tc>
        <w:tc>
          <w:tcPr>
            <w:tcW w:w="692" w:type="pct"/>
            <w:noWrap w:val="0"/>
            <w:vAlign w:val="center"/>
          </w:tcPr>
          <w:p w14:paraId="5C30E0A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额定功率（kW）</w:t>
            </w:r>
          </w:p>
        </w:tc>
        <w:tc>
          <w:tcPr>
            <w:tcW w:w="499" w:type="pct"/>
            <w:noWrap w:val="0"/>
            <w:vAlign w:val="center"/>
          </w:tcPr>
          <w:p w14:paraId="2BEDEB7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生产</w:t>
            </w:r>
          </w:p>
          <w:p w14:paraId="62927F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能力</w:t>
            </w:r>
          </w:p>
        </w:tc>
        <w:tc>
          <w:tcPr>
            <w:tcW w:w="603" w:type="pct"/>
            <w:noWrap w:val="0"/>
            <w:vAlign w:val="center"/>
          </w:tcPr>
          <w:p w14:paraId="161B6D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用于施工部位</w:t>
            </w:r>
          </w:p>
        </w:tc>
        <w:tc>
          <w:tcPr>
            <w:tcW w:w="395" w:type="pct"/>
            <w:noWrap w:val="0"/>
            <w:vAlign w:val="center"/>
          </w:tcPr>
          <w:p w14:paraId="58E2757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备注</w:t>
            </w:r>
          </w:p>
        </w:tc>
      </w:tr>
      <w:tr w14:paraId="06C4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center"/>
          </w:tcPr>
          <w:p w14:paraId="01919B7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center"/>
          </w:tcPr>
          <w:p w14:paraId="684BC27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center"/>
          </w:tcPr>
          <w:p w14:paraId="5CEF2C3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center"/>
          </w:tcPr>
          <w:p w14:paraId="4016476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center"/>
          </w:tcPr>
          <w:p w14:paraId="1F670B7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center"/>
          </w:tcPr>
          <w:p w14:paraId="00A77CE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center"/>
          </w:tcPr>
          <w:p w14:paraId="61A7C59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center"/>
          </w:tcPr>
          <w:p w14:paraId="70500FC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center"/>
          </w:tcPr>
          <w:p w14:paraId="19854D6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center"/>
          </w:tcPr>
          <w:p w14:paraId="54ECC2C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69B3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center"/>
          </w:tcPr>
          <w:p w14:paraId="1F95C67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center"/>
          </w:tcPr>
          <w:p w14:paraId="2B173EE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center"/>
          </w:tcPr>
          <w:p w14:paraId="251F056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center"/>
          </w:tcPr>
          <w:p w14:paraId="3A8B706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center"/>
          </w:tcPr>
          <w:p w14:paraId="5B004C1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center"/>
          </w:tcPr>
          <w:p w14:paraId="56C273F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center"/>
          </w:tcPr>
          <w:p w14:paraId="23B96D5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center"/>
          </w:tcPr>
          <w:p w14:paraId="720CF97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center"/>
          </w:tcPr>
          <w:p w14:paraId="1EBD388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center"/>
          </w:tcPr>
          <w:p w14:paraId="57E13BF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2CAB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5B6C1F4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691AFE2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1E5006A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02DA34E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77C8293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7BA0F82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316C592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0CC71EF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2B79B3B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3DDBA27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398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324CF37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09EF19A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16034A0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67E351B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44FA735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25451BF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22FDD57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54516ED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3DC780A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0BBE059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1B02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669B3C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7098CE0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6797296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11B705A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2073BA8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7515D6E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2B7AA5A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039EB13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5AC61C0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5C8BE1D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182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11D6B34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0E94D06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35A9762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511E5ED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786972D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4F8D854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559A1A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564131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050A952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437CC6B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1EDD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59D8849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3B7493B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5CBF779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5A7E5D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1CF455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4A7BAF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3E9BAB5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2B0F872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7F03111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68C3BE1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0BE9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071163D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1F27A72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009AA56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23A3FDC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37621FD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3441145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34B930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8E0011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5BB2DCD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448AE4B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BD9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41B13DE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79C9E4F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562F43B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11452A3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03EC83A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0CDEFF6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183455A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1D662FF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4CCC864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5708738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2D62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2CEA006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39D0E72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6934D03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5545BED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7FF4345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4B82285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0018DCA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F37C70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59BB08E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6D16E59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7FB1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18EAD3C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0B3E7D0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3501FD1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2521961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3DFCE44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7C9333D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685233F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1AA6B50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7E33D1A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51CDDEB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64EB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03104E7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44A86DC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2247E56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4F0D9FB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3CEBCD7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3B347A1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18B32B1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10B7CAC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150391D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3A9271D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6E1B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67ADC4E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7F43E4E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05EBA49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2E2C672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54582A7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14B2577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5DF8F5A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1411155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5AF4B07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5326525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1E15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3546EDB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40A69CC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2F8E70F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09B2B9F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5C88E22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4155937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1DD84CA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124270F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2C2E233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536A55B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2D1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7A8F2F0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47DD083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0A8FBE8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29D42DC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48E1B9E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274BD7C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1B4A015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526EF26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039B5A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3DFE7E6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2386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30D4B7F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611A283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7E63B47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5DAA46F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011235E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550A4BB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60991AA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2954CE6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519ED05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3CA273B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6151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1833DBC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645F570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1334AFE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2B0D87D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05EBD47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22F9D8A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739AFA3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1D2364B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2557682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438CD57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2ED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50545A2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10D679A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7F71A79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5165DB2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760E38F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5D8EE33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678ACCF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8A4F3F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4A5B1FB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00E316D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79D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1EE265D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1063DC2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44AD744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6D957E5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00BC58E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3D6B401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653C5AF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1F559C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3AD1498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0822FD8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53C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5EF02F9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537086E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33945AB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32BD215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60B5559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71AC385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61474BC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FFC9DC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225007E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5CA3F58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24F5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1CEDF0B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68CEADF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14563E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6219562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47A7F1D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74CE6D2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0A11B48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085B2E4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7510EC9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04DA4B2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6072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1865F2D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018C4B4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59DB85C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1189B82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52A29AE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5C4E343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43475CB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06C01AC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526E0DA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2C5625F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090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0FA140B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75DC9E6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20CE5C2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77D8624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02FCB44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61BA698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77D7156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A3E9A2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49089D9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6ECB12C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bl>
    <w:p w14:paraId="4D82D7ED">
      <w:pPr>
        <w:spacing w:before="56" w:line="220" w:lineRule="auto"/>
        <w:ind w:left="0" w:leftChars="0" w:firstLine="0" w:firstLineChars="0"/>
        <w:jc w:val="center"/>
        <w:rPr>
          <w:rFonts w:ascii="宋体" w:hAnsi="宋体" w:eastAsia="宋体" w:cs="宋体"/>
          <w:i w:val="0"/>
          <w:iCs w:val="0"/>
          <w:color w:val="auto"/>
          <w:sz w:val="28"/>
          <w:szCs w:val="28"/>
        </w:rPr>
      </w:pPr>
      <w:r>
        <w:rPr>
          <w:rFonts w:ascii="宋体" w:hAnsi="宋体" w:eastAsia="宋体" w:cs="宋体"/>
          <w:b/>
          <w:bCs/>
          <w:i w:val="0"/>
          <w:iCs w:val="0"/>
          <w:color w:val="auto"/>
          <w:spacing w:val="-7"/>
          <w:sz w:val="28"/>
          <w:szCs w:val="28"/>
        </w:rPr>
        <w:br w:type="page"/>
      </w:r>
      <w:r>
        <w:rPr>
          <w:rFonts w:hint="eastAsia" w:ascii="宋体" w:hAnsi="宋体" w:eastAsia="宋体" w:cs="宋体"/>
          <w:b/>
          <w:bCs/>
          <w:i w:val="0"/>
          <w:iCs w:val="0"/>
          <w:color w:val="auto"/>
          <w:spacing w:val="-7"/>
          <w:sz w:val="28"/>
          <w:szCs w:val="28"/>
        </w:rPr>
        <w:t>表2</w:t>
      </w:r>
      <w:r>
        <w:rPr>
          <w:rFonts w:hint="eastAsia" w:ascii="宋体" w:hAnsi="宋体" w:eastAsia="宋体" w:cs="宋体"/>
          <w:b/>
          <w:bCs/>
          <w:i w:val="0"/>
          <w:iCs w:val="0"/>
          <w:color w:val="auto"/>
          <w:spacing w:val="16"/>
          <w:sz w:val="28"/>
          <w:szCs w:val="28"/>
        </w:rPr>
        <w:t xml:space="preserve">   </w:t>
      </w:r>
      <w:r>
        <w:rPr>
          <w:rFonts w:hint="eastAsia" w:ascii="宋体" w:hAnsi="宋体" w:cs="宋体"/>
          <w:b/>
          <w:bCs/>
          <w:i w:val="0"/>
          <w:iCs w:val="0"/>
          <w:color w:val="auto"/>
          <w:spacing w:val="-7"/>
          <w:sz w:val="28"/>
          <w:szCs w:val="28"/>
          <w:lang w:eastAsia="zh-CN"/>
        </w:rPr>
        <w:t>☑</w:t>
      </w:r>
      <w:r>
        <w:rPr>
          <w:rFonts w:hint="eastAsia" w:ascii="宋体" w:hAnsi="宋体" w:eastAsia="宋体" w:cs="宋体"/>
          <w:b/>
          <w:bCs/>
          <w:i w:val="0"/>
          <w:iCs w:val="0"/>
          <w:color w:val="auto"/>
          <w:spacing w:val="-7"/>
          <w:sz w:val="28"/>
          <w:szCs w:val="28"/>
        </w:rPr>
        <w:t>劳动力计划表</w:t>
      </w:r>
    </w:p>
    <w:p w14:paraId="20C10BDA">
      <w:pPr>
        <w:spacing w:line="160" w:lineRule="exact"/>
        <w:rPr>
          <w:i w:val="0"/>
          <w:iCs w:val="0"/>
          <w:color w:val="auto"/>
        </w:rPr>
      </w:pPr>
    </w:p>
    <w:tbl>
      <w:tblPr>
        <w:tblStyle w:val="7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09"/>
        <w:gridCol w:w="1203"/>
        <w:gridCol w:w="1203"/>
        <w:gridCol w:w="1203"/>
        <w:gridCol w:w="1202"/>
        <w:gridCol w:w="1203"/>
        <w:gridCol w:w="1202"/>
        <w:gridCol w:w="1216"/>
      </w:tblGrid>
      <w:tr w14:paraId="202CC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27" w:type="pct"/>
            <w:vMerge w:val="restart"/>
            <w:tcBorders>
              <w:bottom w:val="nil"/>
            </w:tcBorders>
            <w:noWrap w:val="0"/>
            <w:vAlign w:val="center"/>
          </w:tcPr>
          <w:p w14:paraId="3F76F71E">
            <w:pPr>
              <w:ind w:firstLine="0" w:firstLineChars="0"/>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工种</w:t>
            </w:r>
          </w:p>
        </w:tc>
        <w:tc>
          <w:tcPr>
            <w:tcW w:w="4372" w:type="pct"/>
            <w:gridSpan w:val="7"/>
            <w:noWrap w:val="0"/>
            <w:vAlign w:val="top"/>
          </w:tcPr>
          <w:p w14:paraId="720DF07E">
            <w:pPr>
              <w:pStyle w:val="75"/>
              <w:spacing w:before="110" w:line="219" w:lineRule="auto"/>
              <w:ind w:left="1998"/>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pacing w:val="-1"/>
                <w:sz w:val="24"/>
                <w:szCs w:val="24"/>
              </w:rPr>
              <w:t>按工程施工阶段投入劳动力情况</w:t>
            </w:r>
            <w:r>
              <w:rPr>
                <w:rFonts w:hint="eastAsia" w:cs="宋体"/>
                <w:i w:val="0"/>
                <w:iCs w:val="0"/>
                <w:color w:val="auto"/>
                <w:spacing w:val="-1"/>
                <w:sz w:val="24"/>
                <w:szCs w:val="24"/>
                <w:lang w:eastAsia="zh-CN"/>
              </w:rPr>
              <w:t>（</w:t>
            </w:r>
            <w:r>
              <w:rPr>
                <w:rFonts w:ascii="宋体" w:hAnsi="宋体" w:eastAsia="宋体" w:cs="宋体"/>
                <w:i w:val="0"/>
                <w:iCs w:val="0"/>
                <w:color w:val="auto"/>
                <w:sz w:val="24"/>
                <w:szCs w:val="24"/>
              </w:rPr>
              <w:t>单位：人</w:t>
            </w:r>
            <w:r>
              <w:rPr>
                <w:rFonts w:hint="eastAsia" w:cs="宋体"/>
                <w:i w:val="0"/>
                <w:iCs w:val="0"/>
                <w:color w:val="auto"/>
                <w:spacing w:val="-1"/>
                <w:sz w:val="24"/>
                <w:szCs w:val="24"/>
                <w:lang w:eastAsia="zh-CN"/>
              </w:rPr>
              <w:t>）</w:t>
            </w:r>
          </w:p>
        </w:tc>
      </w:tr>
      <w:tr w14:paraId="599A9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27" w:type="pct"/>
            <w:vMerge w:val="continue"/>
            <w:tcBorders>
              <w:top w:val="nil"/>
            </w:tcBorders>
            <w:noWrap w:val="0"/>
            <w:vAlign w:val="top"/>
          </w:tcPr>
          <w:p w14:paraId="5FB7EF8A">
            <w:pPr>
              <w:rPr>
                <w:rFonts w:hint="eastAsia" w:ascii="宋体" w:hAnsi="宋体" w:eastAsia="宋体" w:cs="宋体"/>
                <w:i w:val="0"/>
                <w:iCs w:val="0"/>
                <w:color w:val="auto"/>
                <w:sz w:val="24"/>
                <w:szCs w:val="24"/>
              </w:rPr>
            </w:pPr>
          </w:p>
        </w:tc>
        <w:tc>
          <w:tcPr>
            <w:tcW w:w="624" w:type="pct"/>
            <w:noWrap w:val="0"/>
            <w:vAlign w:val="top"/>
          </w:tcPr>
          <w:p w14:paraId="34FB63ED">
            <w:pPr>
              <w:rPr>
                <w:rFonts w:hint="eastAsia" w:ascii="宋体" w:hAnsi="宋体" w:eastAsia="宋体" w:cs="宋体"/>
                <w:i w:val="0"/>
                <w:iCs w:val="0"/>
                <w:color w:val="auto"/>
                <w:sz w:val="24"/>
                <w:szCs w:val="24"/>
              </w:rPr>
            </w:pPr>
          </w:p>
        </w:tc>
        <w:tc>
          <w:tcPr>
            <w:tcW w:w="624" w:type="pct"/>
            <w:noWrap w:val="0"/>
            <w:vAlign w:val="top"/>
          </w:tcPr>
          <w:p w14:paraId="203B0D4C">
            <w:pPr>
              <w:rPr>
                <w:rFonts w:hint="eastAsia" w:ascii="宋体" w:hAnsi="宋体" w:eastAsia="宋体" w:cs="宋体"/>
                <w:i w:val="0"/>
                <w:iCs w:val="0"/>
                <w:color w:val="auto"/>
                <w:sz w:val="24"/>
                <w:szCs w:val="24"/>
              </w:rPr>
            </w:pPr>
          </w:p>
        </w:tc>
        <w:tc>
          <w:tcPr>
            <w:tcW w:w="624" w:type="pct"/>
            <w:noWrap w:val="0"/>
            <w:vAlign w:val="top"/>
          </w:tcPr>
          <w:p w14:paraId="54A7CBA9">
            <w:pPr>
              <w:rPr>
                <w:rFonts w:hint="eastAsia" w:ascii="宋体" w:hAnsi="宋体" w:eastAsia="宋体" w:cs="宋体"/>
                <w:i w:val="0"/>
                <w:iCs w:val="0"/>
                <w:color w:val="auto"/>
                <w:sz w:val="24"/>
                <w:szCs w:val="24"/>
              </w:rPr>
            </w:pPr>
          </w:p>
        </w:tc>
        <w:tc>
          <w:tcPr>
            <w:tcW w:w="623" w:type="pct"/>
            <w:noWrap w:val="0"/>
            <w:vAlign w:val="top"/>
          </w:tcPr>
          <w:p w14:paraId="0EA3E3AC">
            <w:pPr>
              <w:rPr>
                <w:rFonts w:hint="eastAsia" w:ascii="宋体" w:hAnsi="宋体" w:eastAsia="宋体" w:cs="宋体"/>
                <w:i w:val="0"/>
                <w:iCs w:val="0"/>
                <w:color w:val="auto"/>
                <w:sz w:val="24"/>
                <w:szCs w:val="24"/>
              </w:rPr>
            </w:pPr>
          </w:p>
        </w:tc>
        <w:tc>
          <w:tcPr>
            <w:tcW w:w="624" w:type="pct"/>
            <w:noWrap w:val="0"/>
            <w:vAlign w:val="top"/>
          </w:tcPr>
          <w:p w14:paraId="2F2B17CB">
            <w:pPr>
              <w:rPr>
                <w:rFonts w:hint="eastAsia" w:ascii="宋体" w:hAnsi="宋体" w:eastAsia="宋体" w:cs="宋体"/>
                <w:i w:val="0"/>
                <w:iCs w:val="0"/>
                <w:color w:val="auto"/>
                <w:sz w:val="24"/>
                <w:szCs w:val="24"/>
              </w:rPr>
            </w:pPr>
          </w:p>
        </w:tc>
        <w:tc>
          <w:tcPr>
            <w:tcW w:w="623" w:type="pct"/>
            <w:noWrap w:val="0"/>
            <w:vAlign w:val="top"/>
          </w:tcPr>
          <w:p w14:paraId="25DD35CD">
            <w:pPr>
              <w:rPr>
                <w:rFonts w:hint="eastAsia" w:ascii="宋体" w:hAnsi="宋体" w:eastAsia="宋体" w:cs="宋体"/>
                <w:i w:val="0"/>
                <w:iCs w:val="0"/>
                <w:color w:val="auto"/>
                <w:sz w:val="24"/>
                <w:szCs w:val="24"/>
              </w:rPr>
            </w:pPr>
          </w:p>
        </w:tc>
        <w:tc>
          <w:tcPr>
            <w:tcW w:w="628" w:type="pct"/>
            <w:noWrap w:val="0"/>
            <w:vAlign w:val="top"/>
          </w:tcPr>
          <w:p w14:paraId="7565D717">
            <w:pPr>
              <w:rPr>
                <w:rFonts w:hint="eastAsia" w:ascii="宋体" w:hAnsi="宋体" w:eastAsia="宋体" w:cs="宋体"/>
                <w:i w:val="0"/>
                <w:iCs w:val="0"/>
                <w:color w:val="auto"/>
                <w:sz w:val="24"/>
                <w:szCs w:val="24"/>
              </w:rPr>
            </w:pPr>
          </w:p>
        </w:tc>
      </w:tr>
      <w:tr w14:paraId="34E3E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27" w:type="pct"/>
            <w:noWrap w:val="0"/>
            <w:vAlign w:val="top"/>
          </w:tcPr>
          <w:p w14:paraId="672CA855">
            <w:pPr>
              <w:rPr>
                <w:rFonts w:hint="eastAsia" w:ascii="宋体" w:hAnsi="宋体" w:eastAsia="宋体" w:cs="宋体"/>
                <w:i w:val="0"/>
                <w:iCs w:val="0"/>
                <w:color w:val="auto"/>
                <w:sz w:val="24"/>
                <w:szCs w:val="24"/>
              </w:rPr>
            </w:pPr>
          </w:p>
        </w:tc>
        <w:tc>
          <w:tcPr>
            <w:tcW w:w="624" w:type="pct"/>
            <w:noWrap w:val="0"/>
            <w:vAlign w:val="top"/>
          </w:tcPr>
          <w:p w14:paraId="75111BDC">
            <w:pPr>
              <w:rPr>
                <w:rFonts w:hint="eastAsia" w:ascii="宋体" w:hAnsi="宋体" w:eastAsia="宋体" w:cs="宋体"/>
                <w:i w:val="0"/>
                <w:iCs w:val="0"/>
                <w:color w:val="auto"/>
                <w:sz w:val="24"/>
                <w:szCs w:val="24"/>
              </w:rPr>
            </w:pPr>
          </w:p>
        </w:tc>
        <w:tc>
          <w:tcPr>
            <w:tcW w:w="624" w:type="pct"/>
            <w:noWrap w:val="0"/>
            <w:vAlign w:val="top"/>
          </w:tcPr>
          <w:p w14:paraId="2713A947">
            <w:pPr>
              <w:rPr>
                <w:rFonts w:hint="eastAsia" w:ascii="宋体" w:hAnsi="宋体" w:eastAsia="宋体" w:cs="宋体"/>
                <w:i w:val="0"/>
                <w:iCs w:val="0"/>
                <w:color w:val="auto"/>
                <w:sz w:val="24"/>
                <w:szCs w:val="24"/>
              </w:rPr>
            </w:pPr>
          </w:p>
        </w:tc>
        <w:tc>
          <w:tcPr>
            <w:tcW w:w="624" w:type="pct"/>
            <w:noWrap w:val="0"/>
            <w:vAlign w:val="top"/>
          </w:tcPr>
          <w:p w14:paraId="47D2163F">
            <w:pPr>
              <w:rPr>
                <w:rFonts w:hint="eastAsia" w:ascii="宋体" w:hAnsi="宋体" w:eastAsia="宋体" w:cs="宋体"/>
                <w:i w:val="0"/>
                <w:iCs w:val="0"/>
                <w:color w:val="auto"/>
                <w:sz w:val="24"/>
                <w:szCs w:val="24"/>
              </w:rPr>
            </w:pPr>
          </w:p>
        </w:tc>
        <w:tc>
          <w:tcPr>
            <w:tcW w:w="623" w:type="pct"/>
            <w:noWrap w:val="0"/>
            <w:vAlign w:val="top"/>
          </w:tcPr>
          <w:p w14:paraId="195AEECF">
            <w:pPr>
              <w:rPr>
                <w:rFonts w:hint="eastAsia" w:ascii="宋体" w:hAnsi="宋体" w:eastAsia="宋体" w:cs="宋体"/>
                <w:i w:val="0"/>
                <w:iCs w:val="0"/>
                <w:color w:val="auto"/>
                <w:sz w:val="24"/>
                <w:szCs w:val="24"/>
              </w:rPr>
            </w:pPr>
          </w:p>
        </w:tc>
        <w:tc>
          <w:tcPr>
            <w:tcW w:w="624" w:type="pct"/>
            <w:noWrap w:val="0"/>
            <w:vAlign w:val="top"/>
          </w:tcPr>
          <w:p w14:paraId="2DB0F8C6">
            <w:pPr>
              <w:rPr>
                <w:rFonts w:hint="eastAsia" w:ascii="宋体" w:hAnsi="宋体" w:eastAsia="宋体" w:cs="宋体"/>
                <w:i w:val="0"/>
                <w:iCs w:val="0"/>
                <w:color w:val="auto"/>
                <w:sz w:val="24"/>
                <w:szCs w:val="24"/>
              </w:rPr>
            </w:pPr>
          </w:p>
        </w:tc>
        <w:tc>
          <w:tcPr>
            <w:tcW w:w="623" w:type="pct"/>
            <w:noWrap w:val="0"/>
            <w:vAlign w:val="top"/>
          </w:tcPr>
          <w:p w14:paraId="6B610121">
            <w:pPr>
              <w:rPr>
                <w:rFonts w:hint="eastAsia" w:ascii="宋体" w:hAnsi="宋体" w:eastAsia="宋体" w:cs="宋体"/>
                <w:i w:val="0"/>
                <w:iCs w:val="0"/>
                <w:color w:val="auto"/>
                <w:sz w:val="24"/>
                <w:szCs w:val="24"/>
              </w:rPr>
            </w:pPr>
          </w:p>
        </w:tc>
        <w:tc>
          <w:tcPr>
            <w:tcW w:w="628" w:type="pct"/>
            <w:noWrap w:val="0"/>
            <w:vAlign w:val="top"/>
          </w:tcPr>
          <w:p w14:paraId="7404247F">
            <w:pPr>
              <w:rPr>
                <w:rFonts w:hint="eastAsia" w:ascii="宋体" w:hAnsi="宋体" w:eastAsia="宋体" w:cs="宋体"/>
                <w:i w:val="0"/>
                <w:iCs w:val="0"/>
                <w:color w:val="auto"/>
                <w:sz w:val="24"/>
                <w:szCs w:val="24"/>
              </w:rPr>
            </w:pPr>
          </w:p>
        </w:tc>
      </w:tr>
      <w:tr w14:paraId="22752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7" w:type="pct"/>
            <w:noWrap w:val="0"/>
            <w:vAlign w:val="top"/>
          </w:tcPr>
          <w:p w14:paraId="2BB5D812">
            <w:pPr>
              <w:rPr>
                <w:rFonts w:hint="eastAsia" w:ascii="宋体" w:hAnsi="宋体" w:eastAsia="宋体" w:cs="宋体"/>
                <w:i w:val="0"/>
                <w:iCs w:val="0"/>
                <w:color w:val="auto"/>
                <w:sz w:val="24"/>
                <w:szCs w:val="24"/>
              </w:rPr>
            </w:pPr>
          </w:p>
        </w:tc>
        <w:tc>
          <w:tcPr>
            <w:tcW w:w="624" w:type="pct"/>
            <w:noWrap w:val="0"/>
            <w:vAlign w:val="top"/>
          </w:tcPr>
          <w:p w14:paraId="4299ADE0">
            <w:pPr>
              <w:rPr>
                <w:rFonts w:hint="eastAsia" w:ascii="宋体" w:hAnsi="宋体" w:eastAsia="宋体" w:cs="宋体"/>
                <w:i w:val="0"/>
                <w:iCs w:val="0"/>
                <w:color w:val="auto"/>
                <w:sz w:val="24"/>
                <w:szCs w:val="24"/>
              </w:rPr>
            </w:pPr>
          </w:p>
        </w:tc>
        <w:tc>
          <w:tcPr>
            <w:tcW w:w="624" w:type="pct"/>
            <w:noWrap w:val="0"/>
            <w:vAlign w:val="top"/>
          </w:tcPr>
          <w:p w14:paraId="0920D896">
            <w:pPr>
              <w:rPr>
                <w:rFonts w:hint="eastAsia" w:ascii="宋体" w:hAnsi="宋体" w:eastAsia="宋体" w:cs="宋体"/>
                <w:i w:val="0"/>
                <w:iCs w:val="0"/>
                <w:color w:val="auto"/>
                <w:sz w:val="24"/>
                <w:szCs w:val="24"/>
              </w:rPr>
            </w:pPr>
          </w:p>
        </w:tc>
        <w:tc>
          <w:tcPr>
            <w:tcW w:w="624" w:type="pct"/>
            <w:noWrap w:val="0"/>
            <w:vAlign w:val="top"/>
          </w:tcPr>
          <w:p w14:paraId="12A63476">
            <w:pPr>
              <w:rPr>
                <w:rFonts w:hint="eastAsia" w:ascii="宋体" w:hAnsi="宋体" w:eastAsia="宋体" w:cs="宋体"/>
                <w:i w:val="0"/>
                <w:iCs w:val="0"/>
                <w:color w:val="auto"/>
                <w:sz w:val="24"/>
                <w:szCs w:val="24"/>
              </w:rPr>
            </w:pPr>
          </w:p>
        </w:tc>
        <w:tc>
          <w:tcPr>
            <w:tcW w:w="623" w:type="pct"/>
            <w:noWrap w:val="0"/>
            <w:vAlign w:val="top"/>
          </w:tcPr>
          <w:p w14:paraId="27211BC1">
            <w:pPr>
              <w:rPr>
                <w:rFonts w:hint="eastAsia" w:ascii="宋体" w:hAnsi="宋体" w:eastAsia="宋体" w:cs="宋体"/>
                <w:i w:val="0"/>
                <w:iCs w:val="0"/>
                <w:color w:val="auto"/>
                <w:sz w:val="24"/>
                <w:szCs w:val="24"/>
              </w:rPr>
            </w:pPr>
          </w:p>
        </w:tc>
        <w:tc>
          <w:tcPr>
            <w:tcW w:w="624" w:type="pct"/>
            <w:noWrap w:val="0"/>
            <w:vAlign w:val="top"/>
          </w:tcPr>
          <w:p w14:paraId="491EAFDD">
            <w:pPr>
              <w:rPr>
                <w:rFonts w:hint="eastAsia" w:ascii="宋体" w:hAnsi="宋体" w:eastAsia="宋体" w:cs="宋体"/>
                <w:i w:val="0"/>
                <w:iCs w:val="0"/>
                <w:color w:val="auto"/>
                <w:sz w:val="24"/>
                <w:szCs w:val="24"/>
              </w:rPr>
            </w:pPr>
          </w:p>
        </w:tc>
        <w:tc>
          <w:tcPr>
            <w:tcW w:w="623" w:type="pct"/>
            <w:noWrap w:val="0"/>
            <w:vAlign w:val="top"/>
          </w:tcPr>
          <w:p w14:paraId="68CD224C">
            <w:pPr>
              <w:rPr>
                <w:rFonts w:hint="eastAsia" w:ascii="宋体" w:hAnsi="宋体" w:eastAsia="宋体" w:cs="宋体"/>
                <w:i w:val="0"/>
                <w:iCs w:val="0"/>
                <w:color w:val="auto"/>
                <w:sz w:val="24"/>
                <w:szCs w:val="24"/>
              </w:rPr>
            </w:pPr>
          </w:p>
        </w:tc>
        <w:tc>
          <w:tcPr>
            <w:tcW w:w="628" w:type="pct"/>
            <w:noWrap w:val="0"/>
            <w:vAlign w:val="top"/>
          </w:tcPr>
          <w:p w14:paraId="31416CA9">
            <w:pPr>
              <w:rPr>
                <w:rFonts w:hint="eastAsia" w:ascii="宋体" w:hAnsi="宋体" w:eastAsia="宋体" w:cs="宋体"/>
                <w:i w:val="0"/>
                <w:iCs w:val="0"/>
                <w:color w:val="auto"/>
                <w:sz w:val="24"/>
                <w:szCs w:val="24"/>
              </w:rPr>
            </w:pPr>
          </w:p>
        </w:tc>
      </w:tr>
      <w:tr w14:paraId="7A816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27" w:type="pct"/>
            <w:noWrap w:val="0"/>
            <w:vAlign w:val="top"/>
          </w:tcPr>
          <w:p w14:paraId="78B4F213">
            <w:pPr>
              <w:rPr>
                <w:rFonts w:hint="eastAsia" w:ascii="宋体" w:hAnsi="宋体" w:eastAsia="宋体" w:cs="宋体"/>
                <w:i w:val="0"/>
                <w:iCs w:val="0"/>
                <w:color w:val="auto"/>
                <w:sz w:val="24"/>
                <w:szCs w:val="24"/>
              </w:rPr>
            </w:pPr>
          </w:p>
        </w:tc>
        <w:tc>
          <w:tcPr>
            <w:tcW w:w="624" w:type="pct"/>
            <w:noWrap w:val="0"/>
            <w:vAlign w:val="top"/>
          </w:tcPr>
          <w:p w14:paraId="45C94BE8">
            <w:pPr>
              <w:rPr>
                <w:rFonts w:hint="eastAsia" w:ascii="宋体" w:hAnsi="宋体" w:eastAsia="宋体" w:cs="宋体"/>
                <w:i w:val="0"/>
                <w:iCs w:val="0"/>
                <w:color w:val="auto"/>
                <w:sz w:val="24"/>
                <w:szCs w:val="24"/>
              </w:rPr>
            </w:pPr>
          </w:p>
        </w:tc>
        <w:tc>
          <w:tcPr>
            <w:tcW w:w="624" w:type="pct"/>
            <w:noWrap w:val="0"/>
            <w:vAlign w:val="top"/>
          </w:tcPr>
          <w:p w14:paraId="3564AA5E">
            <w:pPr>
              <w:rPr>
                <w:rFonts w:hint="eastAsia" w:ascii="宋体" w:hAnsi="宋体" w:eastAsia="宋体" w:cs="宋体"/>
                <w:i w:val="0"/>
                <w:iCs w:val="0"/>
                <w:color w:val="auto"/>
                <w:sz w:val="24"/>
                <w:szCs w:val="24"/>
              </w:rPr>
            </w:pPr>
          </w:p>
        </w:tc>
        <w:tc>
          <w:tcPr>
            <w:tcW w:w="624" w:type="pct"/>
            <w:noWrap w:val="0"/>
            <w:vAlign w:val="top"/>
          </w:tcPr>
          <w:p w14:paraId="0B10892B">
            <w:pPr>
              <w:rPr>
                <w:rFonts w:hint="eastAsia" w:ascii="宋体" w:hAnsi="宋体" w:eastAsia="宋体" w:cs="宋体"/>
                <w:i w:val="0"/>
                <w:iCs w:val="0"/>
                <w:color w:val="auto"/>
                <w:sz w:val="24"/>
                <w:szCs w:val="24"/>
              </w:rPr>
            </w:pPr>
          </w:p>
        </w:tc>
        <w:tc>
          <w:tcPr>
            <w:tcW w:w="623" w:type="pct"/>
            <w:noWrap w:val="0"/>
            <w:vAlign w:val="top"/>
          </w:tcPr>
          <w:p w14:paraId="10545595">
            <w:pPr>
              <w:rPr>
                <w:rFonts w:hint="eastAsia" w:ascii="宋体" w:hAnsi="宋体" w:eastAsia="宋体" w:cs="宋体"/>
                <w:i w:val="0"/>
                <w:iCs w:val="0"/>
                <w:color w:val="auto"/>
                <w:sz w:val="24"/>
                <w:szCs w:val="24"/>
              </w:rPr>
            </w:pPr>
          </w:p>
        </w:tc>
        <w:tc>
          <w:tcPr>
            <w:tcW w:w="624" w:type="pct"/>
            <w:noWrap w:val="0"/>
            <w:vAlign w:val="top"/>
          </w:tcPr>
          <w:p w14:paraId="09FBC1D0">
            <w:pPr>
              <w:rPr>
                <w:rFonts w:hint="eastAsia" w:ascii="宋体" w:hAnsi="宋体" w:eastAsia="宋体" w:cs="宋体"/>
                <w:i w:val="0"/>
                <w:iCs w:val="0"/>
                <w:color w:val="auto"/>
                <w:sz w:val="24"/>
                <w:szCs w:val="24"/>
              </w:rPr>
            </w:pPr>
          </w:p>
        </w:tc>
        <w:tc>
          <w:tcPr>
            <w:tcW w:w="623" w:type="pct"/>
            <w:noWrap w:val="0"/>
            <w:vAlign w:val="top"/>
          </w:tcPr>
          <w:p w14:paraId="10BD9A02">
            <w:pPr>
              <w:rPr>
                <w:rFonts w:hint="eastAsia" w:ascii="宋体" w:hAnsi="宋体" w:eastAsia="宋体" w:cs="宋体"/>
                <w:i w:val="0"/>
                <w:iCs w:val="0"/>
                <w:color w:val="auto"/>
                <w:sz w:val="24"/>
                <w:szCs w:val="24"/>
              </w:rPr>
            </w:pPr>
          </w:p>
        </w:tc>
        <w:tc>
          <w:tcPr>
            <w:tcW w:w="628" w:type="pct"/>
            <w:noWrap w:val="0"/>
            <w:vAlign w:val="top"/>
          </w:tcPr>
          <w:p w14:paraId="77B0D590">
            <w:pPr>
              <w:rPr>
                <w:rFonts w:hint="eastAsia" w:ascii="宋体" w:hAnsi="宋体" w:eastAsia="宋体" w:cs="宋体"/>
                <w:i w:val="0"/>
                <w:iCs w:val="0"/>
                <w:color w:val="auto"/>
                <w:sz w:val="24"/>
                <w:szCs w:val="24"/>
              </w:rPr>
            </w:pPr>
          </w:p>
        </w:tc>
      </w:tr>
      <w:tr w14:paraId="2356E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27" w:type="pct"/>
            <w:noWrap w:val="0"/>
            <w:vAlign w:val="top"/>
          </w:tcPr>
          <w:p w14:paraId="75DE501A">
            <w:pPr>
              <w:rPr>
                <w:rFonts w:hint="eastAsia" w:ascii="宋体" w:hAnsi="宋体" w:eastAsia="宋体" w:cs="宋体"/>
                <w:i w:val="0"/>
                <w:iCs w:val="0"/>
                <w:color w:val="auto"/>
                <w:sz w:val="24"/>
                <w:szCs w:val="24"/>
              </w:rPr>
            </w:pPr>
          </w:p>
        </w:tc>
        <w:tc>
          <w:tcPr>
            <w:tcW w:w="624" w:type="pct"/>
            <w:noWrap w:val="0"/>
            <w:vAlign w:val="top"/>
          </w:tcPr>
          <w:p w14:paraId="045AF1B4">
            <w:pPr>
              <w:rPr>
                <w:rFonts w:hint="eastAsia" w:ascii="宋体" w:hAnsi="宋体" w:eastAsia="宋体" w:cs="宋体"/>
                <w:i w:val="0"/>
                <w:iCs w:val="0"/>
                <w:color w:val="auto"/>
                <w:sz w:val="24"/>
                <w:szCs w:val="24"/>
              </w:rPr>
            </w:pPr>
          </w:p>
        </w:tc>
        <w:tc>
          <w:tcPr>
            <w:tcW w:w="624" w:type="pct"/>
            <w:noWrap w:val="0"/>
            <w:vAlign w:val="top"/>
          </w:tcPr>
          <w:p w14:paraId="12673DF2">
            <w:pPr>
              <w:rPr>
                <w:rFonts w:hint="eastAsia" w:ascii="宋体" w:hAnsi="宋体" w:eastAsia="宋体" w:cs="宋体"/>
                <w:i w:val="0"/>
                <w:iCs w:val="0"/>
                <w:color w:val="auto"/>
                <w:sz w:val="24"/>
                <w:szCs w:val="24"/>
              </w:rPr>
            </w:pPr>
          </w:p>
        </w:tc>
        <w:tc>
          <w:tcPr>
            <w:tcW w:w="624" w:type="pct"/>
            <w:noWrap w:val="0"/>
            <w:vAlign w:val="top"/>
          </w:tcPr>
          <w:p w14:paraId="587E06D9">
            <w:pPr>
              <w:rPr>
                <w:rFonts w:hint="eastAsia" w:ascii="宋体" w:hAnsi="宋体" w:eastAsia="宋体" w:cs="宋体"/>
                <w:i w:val="0"/>
                <w:iCs w:val="0"/>
                <w:color w:val="auto"/>
                <w:sz w:val="24"/>
                <w:szCs w:val="24"/>
              </w:rPr>
            </w:pPr>
          </w:p>
        </w:tc>
        <w:tc>
          <w:tcPr>
            <w:tcW w:w="623" w:type="pct"/>
            <w:noWrap w:val="0"/>
            <w:vAlign w:val="top"/>
          </w:tcPr>
          <w:p w14:paraId="2CB36446">
            <w:pPr>
              <w:rPr>
                <w:rFonts w:hint="eastAsia" w:ascii="宋体" w:hAnsi="宋体" w:eastAsia="宋体" w:cs="宋体"/>
                <w:i w:val="0"/>
                <w:iCs w:val="0"/>
                <w:color w:val="auto"/>
                <w:sz w:val="24"/>
                <w:szCs w:val="24"/>
              </w:rPr>
            </w:pPr>
          </w:p>
        </w:tc>
        <w:tc>
          <w:tcPr>
            <w:tcW w:w="624" w:type="pct"/>
            <w:noWrap w:val="0"/>
            <w:vAlign w:val="top"/>
          </w:tcPr>
          <w:p w14:paraId="76A95B1B">
            <w:pPr>
              <w:rPr>
                <w:rFonts w:hint="eastAsia" w:ascii="宋体" w:hAnsi="宋体" w:eastAsia="宋体" w:cs="宋体"/>
                <w:i w:val="0"/>
                <w:iCs w:val="0"/>
                <w:color w:val="auto"/>
                <w:sz w:val="24"/>
                <w:szCs w:val="24"/>
              </w:rPr>
            </w:pPr>
          </w:p>
        </w:tc>
        <w:tc>
          <w:tcPr>
            <w:tcW w:w="623" w:type="pct"/>
            <w:noWrap w:val="0"/>
            <w:vAlign w:val="top"/>
          </w:tcPr>
          <w:p w14:paraId="7A71CE16">
            <w:pPr>
              <w:rPr>
                <w:rFonts w:hint="eastAsia" w:ascii="宋体" w:hAnsi="宋体" w:eastAsia="宋体" w:cs="宋体"/>
                <w:i w:val="0"/>
                <w:iCs w:val="0"/>
                <w:color w:val="auto"/>
                <w:sz w:val="24"/>
                <w:szCs w:val="24"/>
              </w:rPr>
            </w:pPr>
          </w:p>
        </w:tc>
        <w:tc>
          <w:tcPr>
            <w:tcW w:w="628" w:type="pct"/>
            <w:noWrap w:val="0"/>
            <w:vAlign w:val="top"/>
          </w:tcPr>
          <w:p w14:paraId="6F1577C2">
            <w:pPr>
              <w:rPr>
                <w:rFonts w:hint="eastAsia" w:ascii="宋体" w:hAnsi="宋体" w:eastAsia="宋体" w:cs="宋体"/>
                <w:i w:val="0"/>
                <w:iCs w:val="0"/>
                <w:color w:val="auto"/>
                <w:sz w:val="24"/>
                <w:szCs w:val="24"/>
              </w:rPr>
            </w:pPr>
          </w:p>
        </w:tc>
      </w:tr>
      <w:tr w14:paraId="0B1DE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7" w:type="pct"/>
            <w:noWrap w:val="0"/>
            <w:vAlign w:val="top"/>
          </w:tcPr>
          <w:p w14:paraId="73188776">
            <w:pPr>
              <w:rPr>
                <w:rFonts w:hint="eastAsia" w:ascii="宋体" w:hAnsi="宋体" w:eastAsia="宋体" w:cs="宋体"/>
                <w:i w:val="0"/>
                <w:iCs w:val="0"/>
                <w:color w:val="auto"/>
                <w:sz w:val="24"/>
                <w:szCs w:val="24"/>
              </w:rPr>
            </w:pPr>
          </w:p>
        </w:tc>
        <w:tc>
          <w:tcPr>
            <w:tcW w:w="624" w:type="pct"/>
            <w:noWrap w:val="0"/>
            <w:vAlign w:val="top"/>
          </w:tcPr>
          <w:p w14:paraId="0D9DF81A">
            <w:pPr>
              <w:rPr>
                <w:rFonts w:hint="eastAsia" w:ascii="宋体" w:hAnsi="宋体" w:eastAsia="宋体" w:cs="宋体"/>
                <w:i w:val="0"/>
                <w:iCs w:val="0"/>
                <w:color w:val="auto"/>
                <w:sz w:val="24"/>
                <w:szCs w:val="24"/>
              </w:rPr>
            </w:pPr>
          </w:p>
        </w:tc>
        <w:tc>
          <w:tcPr>
            <w:tcW w:w="624" w:type="pct"/>
            <w:noWrap w:val="0"/>
            <w:vAlign w:val="top"/>
          </w:tcPr>
          <w:p w14:paraId="1E28051B">
            <w:pPr>
              <w:rPr>
                <w:rFonts w:hint="eastAsia" w:ascii="宋体" w:hAnsi="宋体" w:eastAsia="宋体" w:cs="宋体"/>
                <w:i w:val="0"/>
                <w:iCs w:val="0"/>
                <w:color w:val="auto"/>
                <w:sz w:val="24"/>
                <w:szCs w:val="24"/>
              </w:rPr>
            </w:pPr>
          </w:p>
        </w:tc>
        <w:tc>
          <w:tcPr>
            <w:tcW w:w="624" w:type="pct"/>
            <w:noWrap w:val="0"/>
            <w:vAlign w:val="top"/>
          </w:tcPr>
          <w:p w14:paraId="3394DB32">
            <w:pPr>
              <w:rPr>
                <w:rFonts w:hint="eastAsia" w:ascii="宋体" w:hAnsi="宋体" w:eastAsia="宋体" w:cs="宋体"/>
                <w:i w:val="0"/>
                <w:iCs w:val="0"/>
                <w:color w:val="auto"/>
                <w:sz w:val="24"/>
                <w:szCs w:val="24"/>
              </w:rPr>
            </w:pPr>
          </w:p>
        </w:tc>
        <w:tc>
          <w:tcPr>
            <w:tcW w:w="623" w:type="pct"/>
            <w:noWrap w:val="0"/>
            <w:vAlign w:val="top"/>
          </w:tcPr>
          <w:p w14:paraId="533C8864">
            <w:pPr>
              <w:rPr>
                <w:rFonts w:hint="eastAsia" w:ascii="宋体" w:hAnsi="宋体" w:eastAsia="宋体" w:cs="宋体"/>
                <w:i w:val="0"/>
                <w:iCs w:val="0"/>
                <w:color w:val="auto"/>
                <w:sz w:val="24"/>
                <w:szCs w:val="24"/>
              </w:rPr>
            </w:pPr>
          </w:p>
        </w:tc>
        <w:tc>
          <w:tcPr>
            <w:tcW w:w="624" w:type="pct"/>
            <w:noWrap w:val="0"/>
            <w:vAlign w:val="top"/>
          </w:tcPr>
          <w:p w14:paraId="6E9A852E">
            <w:pPr>
              <w:rPr>
                <w:rFonts w:hint="eastAsia" w:ascii="宋体" w:hAnsi="宋体" w:eastAsia="宋体" w:cs="宋体"/>
                <w:i w:val="0"/>
                <w:iCs w:val="0"/>
                <w:color w:val="auto"/>
                <w:sz w:val="24"/>
                <w:szCs w:val="24"/>
              </w:rPr>
            </w:pPr>
          </w:p>
        </w:tc>
        <w:tc>
          <w:tcPr>
            <w:tcW w:w="623" w:type="pct"/>
            <w:noWrap w:val="0"/>
            <w:vAlign w:val="top"/>
          </w:tcPr>
          <w:p w14:paraId="6F191822">
            <w:pPr>
              <w:rPr>
                <w:rFonts w:hint="eastAsia" w:ascii="宋体" w:hAnsi="宋体" w:eastAsia="宋体" w:cs="宋体"/>
                <w:i w:val="0"/>
                <w:iCs w:val="0"/>
                <w:color w:val="auto"/>
                <w:sz w:val="24"/>
                <w:szCs w:val="24"/>
              </w:rPr>
            </w:pPr>
          </w:p>
        </w:tc>
        <w:tc>
          <w:tcPr>
            <w:tcW w:w="628" w:type="pct"/>
            <w:noWrap w:val="0"/>
            <w:vAlign w:val="top"/>
          </w:tcPr>
          <w:p w14:paraId="29E3B920">
            <w:pPr>
              <w:rPr>
                <w:rFonts w:hint="eastAsia" w:ascii="宋体" w:hAnsi="宋体" w:eastAsia="宋体" w:cs="宋体"/>
                <w:i w:val="0"/>
                <w:iCs w:val="0"/>
                <w:color w:val="auto"/>
                <w:sz w:val="24"/>
                <w:szCs w:val="24"/>
              </w:rPr>
            </w:pPr>
          </w:p>
        </w:tc>
      </w:tr>
      <w:tr w14:paraId="2A601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27" w:type="pct"/>
            <w:noWrap w:val="0"/>
            <w:vAlign w:val="top"/>
          </w:tcPr>
          <w:p w14:paraId="2A254FA1">
            <w:pPr>
              <w:rPr>
                <w:rFonts w:hint="eastAsia" w:ascii="宋体" w:hAnsi="宋体" w:eastAsia="宋体" w:cs="宋体"/>
                <w:i w:val="0"/>
                <w:iCs w:val="0"/>
                <w:color w:val="auto"/>
                <w:sz w:val="24"/>
                <w:szCs w:val="24"/>
              </w:rPr>
            </w:pPr>
          </w:p>
        </w:tc>
        <w:tc>
          <w:tcPr>
            <w:tcW w:w="624" w:type="pct"/>
            <w:noWrap w:val="0"/>
            <w:vAlign w:val="top"/>
          </w:tcPr>
          <w:p w14:paraId="41802219">
            <w:pPr>
              <w:rPr>
                <w:rFonts w:hint="eastAsia" w:ascii="宋体" w:hAnsi="宋体" w:eastAsia="宋体" w:cs="宋体"/>
                <w:i w:val="0"/>
                <w:iCs w:val="0"/>
                <w:color w:val="auto"/>
                <w:sz w:val="24"/>
                <w:szCs w:val="24"/>
              </w:rPr>
            </w:pPr>
          </w:p>
        </w:tc>
        <w:tc>
          <w:tcPr>
            <w:tcW w:w="624" w:type="pct"/>
            <w:noWrap w:val="0"/>
            <w:vAlign w:val="top"/>
          </w:tcPr>
          <w:p w14:paraId="03299F04">
            <w:pPr>
              <w:rPr>
                <w:rFonts w:hint="eastAsia" w:ascii="宋体" w:hAnsi="宋体" w:eastAsia="宋体" w:cs="宋体"/>
                <w:i w:val="0"/>
                <w:iCs w:val="0"/>
                <w:color w:val="auto"/>
                <w:sz w:val="24"/>
                <w:szCs w:val="24"/>
              </w:rPr>
            </w:pPr>
          </w:p>
        </w:tc>
        <w:tc>
          <w:tcPr>
            <w:tcW w:w="624" w:type="pct"/>
            <w:noWrap w:val="0"/>
            <w:vAlign w:val="top"/>
          </w:tcPr>
          <w:p w14:paraId="47B819AF">
            <w:pPr>
              <w:rPr>
                <w:rFonts w:hint="eastAsia" w:ascii="宋体" w:hAnsi="宋体" w:eastAsia="宋体" w:cs="宋体"/>
                <w:i w:val="0"/>
                <w:iCs w:val="0"/>
                <w:color w:val="auto"/>
                <w:sz w:val="24"/>
                <w:szCs w:val="24"/>
              </w:rPr>
            </w:pPr>
          </w:p>
        </w:tc>
        <w:tc>
          <w:tcPr>
            <w:tcW w:w="623" w:type="pct"/>
            <w:noWrap w:val="0"/>
            <w:vAlign w:val="top"/>
          </w:tcPr>
          <w:p w14:paraId="60D8EB35">
            <w:pPr>
              <w:rPr>
                <w:rFonts w:hint="eastAsia" w:ascii="宋体" w:hAnsi="宋体" w:eastAsia="宋体" w:cs="宋体"/>
                <w:i w:val="0"/>
                <w:iCs w:val="0"/>
                <w:color w:val="auto"/>
                <w:sz w:val="24"/>
                <w:szCs w:val="24"/>
              </w:rPr>
            </w:pPr>
          </w:p>
        </w:tc>
        <w:tc>
          <w:tcPr>
            <w:tcW w:w="624" w:type="pct"/>
            <w:noWrap w:val="0"/>
            <w:vAlign w:val="top"/>
          </w:tcPr>
          <w:p w14:paraId="5BE34767">
            <w:pPr>
              <w:rPr>
                <w:rFonts w:hint="eastAsia" w:ascii="宋体" w:hAnsi="宋体" w:eastAsia="宋体" w:cs="宋体"/>
                <w:i w:val="0"/>
                <w:iCs w:val="0"/>
                <w:color w:val="auto"/>
                <w:sz w:val="24"/>
                <w:szCs w:val="24"/>
              </w:rPr>
            </w:pPr>
          </w:p>
        </w:tc>
        <w:tc>
          <w:tcPr>
            <w:tcW w:w="623" w:type="pct"/>
            <w:noWrap w:val="0"/>
            <w:vAlign w:val="top"/>
          </w:tcPr>
          <w:p w14:paraId="3F5CFEE7">
            <w:pPr>
              <w:rPr>
                <w:rFonts w:hint="eastAsia" w:ascii="宋体" w:hAnsi="宋体" w:eastAsia="宋体" w:cs="宋体"/>
                <w:i w:val="0"/>
                <w:iCs w:val="0"/>
                <w:color w:val="auto"/>
                <w:sz w:val="24"/>
                <w:szCs w:val="24"/>
              </w:rPr>
            </w:pPr>
          </w:p>
        </w:tc>
        <w:tc>
          <w:tcPr>
            <w:tcW w:w="628" w:type="pct"/>
            <w:noWrap w:val="0"/>
            <w:vAlign w:val="top"/>
          </w:tcPr>
          <w:p w14:paraId="6BF8F591">
            <w:pPr>
              <w:rPr>
                <w:rFonts w:hint="eastAsia" w:ascii="宋体" w:hAnsi="宋体" w:eastAsia="宋体" w:cs="宋体"/>
                <w:i w:val="0"/>
                <w:iCs w:val="0"/>
                <w:color w:val="auto"/>
                <w:sz w:val="24"/>
                <w:szCs w:val="24"/>
              </w:rPr>
            </w:pPr>
          </w:p>
        </w:tc>
      </w:tr>
      <w:tr w14:paraId="549D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7" w:type="pct"/>
            <w:noWrap w:val="0"/>
            <w:vAlign w:val="top"/>
          </w:tcPr>
          <w:p w14:paraId="2D7A2F5F">
            <w:pPr>
              <w:rPr>
                <w:rFonts w:hint="eastAsia" w:ascii="宋体" w:hAnsi="宋体" w:eastAsia="宋体" w:cs="宋体"/>
                <w:i w:val="0"/>
                <w:iCs w:val="0"/>
                <w:color w:val="auto"/>
                <w:sz w:val="24"/>
                <w:szCs w:val="24"/>
              </w:rPr>
            </w:pPr>
          </w:p>
        </w:tc>
        <w:tc>
          <w:tcPr>
            <w:tcW w:w="624" w:type="pct"/>
            <w:noWrap w:val="0"/>
            <w:vAlign w:val="top"/>
          </w:tcPr>
          <w:p w14:paraId="5FD487AD">
            <w:pPr>
              <w:rPr>
                <w:rFonts w:hint="eastAsia" w:ascii="宋体" w:hAnsi="宋体" w:eastAsia="宋体" w:cs="宋体"/>
                <w:i w:val="0"/>
                <w:iCs w:val="0"/>
                <w:color w:val="auto"/>
                <w:sz w:val="24"/>
                <w:szCs w:val="24"/>
              </w:rPr>
            </w:pPr>
          </w:p>
        </w:tc>
        <w:tc>
          <w:tcPr>
            <w:tcW w:w="624" w:type="pct"/>
            <w:noWrap w:val="0"/>
            <w:vAlign w:val="top"/>
          </w:tcPr>
          <w:p w14:paraId="07BD8481">
            <w:pPr>
              <w:rPr>
                <w:rFonts w:hint="eastAsia" w:ascii="宋体" w:hAnsi="宋体" w:eastAsia="宋体" w:cs="宋体"/>
                <w:i w:val="0"/>
                <w:iCs w:val="0"/>
                <w:color w:val="auto"/>
                <w:sz w:val="24"/>
                <w:szCs w:val="24"/>
              </w:rPr>
            </w:pPr>
          </w:p>
        </w:tc>
        <w:tc>
          <w:tcPr>
            <w:tcW w:w="624" w:type="pct"/>
            <w:noWrap w:val="0"/>
            <w:vAlign w:val="top"/>
          </w:tcPr>
          <w:p w14:paraId="1CAFB99E">
            <w:pPr>
              <w:rPr>
                <w:rFonts w:hint="eastAsia" w:ascii="宋体" w:hAnsi="宋体" w:eastAsia="宋体" w:cs="宋体"/>
                <w:i w:val="0"/>
                <w:iCs w:val="0"/>
                <w:color w:val="auto"/>
                <w:sz w:val="24"/>
                <w:szCs w:val="24"/>
              </w:rPr>
            </w:pPr>
          </w:p>
        </w:tc>
        <w:tc>
          <w:tcPr>
            <w:tcW w:w="623" w:type="pct"/>
            <w:noWrap w:val="0"/>
            <w:vAlign w:val="top"/>
          </w:tcPr>
          <w:p w14:paraId="3739862A">
            <w:pPr>
              <w:rPr>
                <w:rFonts w:hint="eastAsia" w:ascii="宋体" w:hAnsi="宋体" w:eastAsia="宋体" w:cs="宋体"/>
                <w:i w:val="0"/>
                <w:iCs w:val="0"/>
                <w:color w:val="auto"/>
                <w:sz w:val="24"/>
                <w:szCs w:val="24"/>
              </w:rPr>
            </w:pPr>
          </w:p>
        </w:tc>
        <w:tc>
          <w:tcPr>
            <w:tcW w:w="624" w:type="pct"/>
            <w:noWrap w:val="0"/>
            <w:vAlign w:val="top"/>
          </w:tcPr>
          <w:p w14:paraId="0559EEAB">
            <w:pPr>
              <w:rPr>
                <w:rFonts w:hint="eastAsia" w:ascii="宋体" w:hAnsi="宋体" w:eastAsia="宋体" w:cs="宋体"/>
                <w:i w:val="0"/>
                <w:iCs w:val="0"/>
                <w:color w:val="auto"/>
                <w:sz w:val="24"/>
                <w:szCs w:val="24"/>
              </w:rPr>
            </w:pPr>
          </w:p>
        </w:tc>
        <w:tc>
          <w:tcPr>
            <w:tcW w:w="623" w:type="pct"/>
            <w:noWrap w:val="0"/>
            <w:vAlign w:val="top"/>
          </w:tcPr>
          <w:p w14:paraId="2A63A7F3">
            <w:pPr>
              <w:rPr>
                <w:rFonts w:hint="eastAsia" w:ascii="宋体" w:hAnsi="宋体" w:eastAsia="宋体" w:cs="宋体"/>
                <w:i w:val="0"/>
                <w:iCs w:val="0"/>
                <w:color w:val="auto"/>
                <w:sz w:val="24"/>
                <w:szCs w:val="24"/>
              </w:rPr>
            </w:pPr>
          </w:p>
        </w:tc>
        <w:tc>
          <w:tcPr>
            <w:tcW w:w="628" w:type="pct"/>
            <w:noWrap w:val="0"/>
            <w:vAlign w:val="top"/>
          </w:tcPr>
          <w:p w14:paraId="5E81090F">
            <w:pPr>
              <w:rPr>
                <w:rFonts w:hint="eastAsia" w:ascii="宋体" w:hAnsi="宋体" w:eastAsia="宋体" w:cs="宋体"/>
                <w:i w:val="0"/>
                <w:iCs w:val="0"/>
                <w:color w:val="auto"/>
                <w:sz w:val="24"/>
                <w:szCs w:val="24"/>
              </w:rPr>
            </w:pPr>
          </w:p>
        </w:tc>
      </w:tr>
      <w:tr w14:paraId="1F5C7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7" w:type="pct"/>
            <w:noWrap w:val="0"/>
            <w:vAlign w:val="top"/>
          </w:tcPr>
          <w:p w14:paraId="07A72D7A">
            <w:pPr>
              <w:rPr>
                <w:rFonts w:hint="eastAsia" w:ascii="宋体" w:hAnsi="宋体" w:eastAsia="宋体" w:cs="宋体"/>
                <w:i w:val="0"/>
                <w:iCs w:val="0"/>
                <w:color w:val="auto"/>
                <w:sz w:val="24"/>
                <w:szCs w:val="24"/>
              </w:rPr>
            </w:pPr>
          </w:p>
        </w:tc>
        <w:tc>
          <w:tcPr>
            <w:tcW w:w="624" w:type="pct"/>
            <w:noWrap w:val="0"/>
            <w:vAlign w:val="top"/>
          </w:tcPr>
          <w:p w14:paraId="4AA6F451">
            <w:pPr>
              <w:rPr>
                <w:rFonts w:hint="eastAsia" w:ascii="宋体" w:hAnsi="宋体" w:eastAsia="宋体" w:cs="宋体"/>
                <w:i w:val="0"/>
                <w:iCs w:val="0"/>
                <w:color w:val="auto"/>
                <w:sz w:val="24"/>
                <w:szCs w:val="24"/>
              </w:rPr>
            </w:pPr>
          </w:p>
        </w:tc>
        <w:tc>
          <w:tcPr>
            <w:tcW w:w="624" w:type="pct"/>
            <w:noWrap w:val="0"/>
            <w:vAlign w:val="top"/>
          </w:tcPr>
          <w:p w14:paraId="5738FD6E">
            <w:pPr>
              <w:rPr>
                <w:rFonts w:hint="eastAsia" w:ascii="宋体" w:hAnsi="宋体" w:eastAsia="宋体" w:cs="宋体"/>
                <w:i w:val="0"/>
                <w:iCs w:val="0"/>
                <w:color w:val="auto"/>
                <w:sz w:val="24"/>
                <w:szCs w:val="24"/>
              </w:rPr>
            </w:pPr>
          </w:p>
        </w:tc>
        <w:tc>
          <w:tcPr>
            <w:tcW w:w="624" w:type="pct"/>
            <w:noWrap w:val="0"/>
            <w:vAlign w:val="top"/>
          </w:tcPr>
          <w:p w14:paraId="297C8713">
            <w:pPr>
              <w:rPr>
                <w:rFonts w:hint="eastAsia" w:ascii="宋体" w:hAnsi="宋体" w:eastAsia="宋体" w:cs="宋体"/>
                <w:i w:val="0"/>
                <w:iCs w:val="0"/>
                <w:color w:val="auto"/>
                <w:sz w:val="24"/>
                <w:szCs w:val="24"/>
              </w:rPr>
            </w:pPr>
          </w:p>
        </w:tc>
        <w:tc>
          <w:tcPr>
            <w:tcW w:w="623" w:type="pct"/>
            <w:noWrap w:val="0"/>
            <w:vAlign w:val="top"/>
          </w:tcPr>
          <w:p w14:paraId="3BB7A475">
            <w:pPr>
              <w:rPr>
                <w:rFonts w:hint="eastAsia" w:ascii="宋体" w:hAnsi="宋体" w:eastAsia="宋体" w:cs="宋体"/>
                <w:i w:val="0"/>
                <w:iCs w:val="0"/>
                <w:color w:val="auto"/>
                <w:sz w:val="24"/>
                <w:szCs w:val="24"/>
              </w:rPr>
            </w:pPr>
          </w:p>
        </w:tc>
        <w:tc>
          <w:tcPr>
            <w:tcW w:w="624" w:type="pct"/>
            <w:noWrap w:val="0"/>
            <w:vAlign w:val="top"/>
          </w:tcPr>
          <w:p w14:paraId="7CDE99CD">
            <w:pPr>
              <w:rPr>
                <w:rFonts w:hint="eastAsia" w:ascii="宋体" w:hAnsi="宋体" w:eastAsia="宋体" w:cs="宋体"/>
                <w:i w:val="0"/>
                <w:iCs w:val="0"/>
                <w:color w:val="auto"/>
                <w:sz w:val="24"/>
                <w:szCs w:val="24"/>
              </w:rPr>
            </w:pPr>
          </w:p>
        </w:tc>
        <w:tc>
          <w:tcPr>
            <w:tcW w:w="623" w:type="pct"/>
            <w:noWrap w:val="0"/>
            <w:vAlign w:val="top"/>
          </w:tcPr>
          <w:p w14:paraId="3FE84583">
            <w:pPr>
              <w:rPr>
                <w:rFonts w:hint="eastAsia" w:ascii="宋体" w:hAnsi="宋体" w:eastAsia="宋体" w:cs="宋体"/>
                <w:i w:val="0"/>
                <w:iCs w:val="0"/>
                <w:color w:val="auto"/>
                <w:sz w:val="24"/>
                <w:szCs w:val="24"/>
              </w:rPr>
            </w:pPr>
          </w:p>
        </w:tc>
        <w:tc>
          <w:tcPr>
            <w:tcW w:w="628" w:type="pct"/>
            <w:noWrap w:val="0"/>
            <w:vAlign w:val="top"/>
          </w:tcPr>
          <w:p w14:paraId="7F4EA162">
            <w:pPr>
              <w:rPr>
                <w:rFonts w:hint="eastAsia" w:ascii="宋体" w:hAnsi="宋体" w:eastAsia="宋体" w:cs="宋体"/>
                <w:i w:val="0"/>
                <w:iCs w:val="0"/>
                <w:color w:val="auto"/>
                <w:sz w:val="24"/>
                <w:szCs w:val="24"/>
              </w:rPr>
            </w:pPr>
          </w:p>
        </w:tc>
      </w:tr>
      <w:tr w14:paraId="27D92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7" w:type="pct"/>
            <w:noWrap w:val="0"/>
            <w:vAlign w:val="top"/>
          </w:tcPr>
          <w:p w14:paraId="075FF4CD">
            <w:pPr>
              <w:rPr>
                <w:rFonts w:hint="eastAsia" w:ascii="宋体" w:hAnsi="宋体" w:eastAsia="宋体" w:cs="宋体"/>
                <w:i w:val="0"/>
                <w:iCs w:val="0"/>
                <w:color w:val="auto"/>
                <w:sz w:val="24"/>
                <w:szCs w:val="24"/>
              </w:rPr>
            </w:pPr>
          </w:p>
        </w:tc>
        <w:tc>
          <w:tcPr>
            <w:tcW w:w="624" w:type="pct"/>
            <w:noWrap w:val="0"/>
            <w:vAlign w:val="top"/>
          </w:tcPr>
          <w:p w14:paraId="1E28B25C">
            <w:pPr>
              <w:rPr>
                <w:rFonts w:hint="eastAsia" w:ascii="宋体" w:hAnsi="宋体" w:eastAsia="宋体" w:cs="宋体"/>
                <w:i w:val="0"/>
                <w:iCs w:val="0"/>
                <w:color w:val="auto"/>
                <w:sz w:val="24"/>
                <w:szCs w:val="24"/>
              </w:rPr>
            </w:pPr>
          </w:p>
        </w:tc>
        <w:tc>
          <w:tcPr>
            <w:tcW w:w="624" w:type="pct"/>
            <w:noWrap w:val="0"/>
            <w:vAlign w:val="top"/>
          </w:tcPr>
          <w:p w14:paraId="72B05A86">
            <w:pPr>
              <w:rPr>
                <w:rFonts w:hint="eastAsia" w:ascii="宋体" w:hAnsi="宋体" w:eastAsia="宋体" w:cs="宋体"/>
                <w:i w:val="0"/>
                <w:iCs w:val="0"/>
                <w:color w:val="auto"/>
                <w:sz w:val="24"/>
                <w:szCs w:val="24"/>
              </w:rPr>
            </w:pPr>
          </w:p>
        </w:tc>
        <w:tc>
          <w:tcPr>
            <w:tcW w:w="624" w:type="pct"/>
            <w:noWrap w:val="0"/>
            <w:vAlign w:val="top"/>
          </w:tcPr>
          <w:p w14:paraId="633E5821">
            <w:pPr>
              <w:rPr>
                <w:rFonts w:hint="eastAsia" w:ascii="宋体" w:hAnsi="宋体" w:eastAsia="宋体" w:cs="宋体"/>
                <w:i w:val="0"/>
                <w:iCs w:val="0"/>
                <w:color w:val="auto"/>
                <w:sz w:val="24"/>
                <w:szCs w:val="24"/>
              </w:rPr>
            </w:pPr>
          </w:p>
        </w:tc>
        <w:tc>
          <w:tcPr>
            <w:tcW w:w="623" w:type="pct"/>
            <w:noWrap w:val="0"/>
            <w:vAlign w:val="top"/>
          </w:tcPr>
          <w:p w14:paraId="40986A85">
            <w:pPr>
              <w:rPr>
                <w:rFonts w:hint="eastAsia" w:ascii="宋体" w:hAnsi="宋体" w:eastAsia="宋体" w:cs="宋体"/>
                <w:i w:val="0"/>
                <w:iCs w:val="0"/>
                <w:color w:val="auto"/>
                <w:sz w:val="24"/>
                <w:szCs w:val="24"/>
              </w:rPr>
            </w:pPr>
          </w:p>
        </w:tc>
        <w:tc>
          <w:tcPr>
            <w:tcW w:w="624" w:type="pct"/>
            <w:noWrap w:val="0"/>
            <w:vAlign w:val="top"/>
          </w:tcPr>
          <w:p w14:paraId="0024BE9A">
            <w:pPr>
              <w:rPr>
                <w:rFonts w:hint="eastAsia" w:ascii="宋体" w:hAnsi="宋体" w:eastAsia="宋体" w:cs="宋体"/>
                <w:i w:val="0"/>
                <w:iCs w:val="0"/>
                <w:color w:val="auto"/>
                <w:sz w:val="24"/>
                <w:szCs w:val="24"/>
              </w:rPr>
            </w:pPr>
          </w:p>
        </w:tc>
        <w:tc>
          <w:tcPr>
            <w:tcW w:w="623" w:type="pct"/>
            <w:noWrap w:val="0"/>
            <w:vAlign w:val="top"/>
          </w:tcPr>
          <w:p w14:paraId="78F77F99">
            <w:pPr>
              <w:rPr>
                <w:rFonts w:hint="eastAsia" w:ascii="宋体" w:hAnsi="宋体" w:eastAsia="宋体" w:cs="宋体"/>
                <w:i w:val="0"/>
                <w:iCs w:val="0"/>
                <w:color w:val="auto"/>
                <w:sz w:val="24"/>
                <w:szCs w:val="24"/>
              </w:rPr>
            </w:pPr>
          </w:p>
        </w:tc>
        <w:tc>
          <w:tcPr>
            <w:tcW w:w="628" w:type="pct"/>
            <w:noWrap w:val="0"/>
            <w:vAlign w:val="top"/>
          </w:tcPr>
          <w:p w14:paraId="7A6E36A6">
            <w:pPr>
              <w:rPr>
                <w:rFonts w:hint="eastAsia" w:ascii="宋体" w:hAnsi="宋体" w:eastAsia="宋体" w:cs="宋体"/>
                <w:i w:val="0"/>
                <w:iCs w:val="0"/>
                <w:color w:val="auto"/>
                <w:sz w:val="24"/>
                <w:szCs w:val="24"/>
              </w:rPr>
            </w:pPr>
          </w:p>
        </w:tc>
      </w:tr>
      <w:tr w14:paraId="6F309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7" w:type="pct"/>
            <w:noWrap w:val="0"/>
            <w:vAlign w:val="top"/>
          </w:tcPr>
          <w:p w14:paraId="33760C0D">
            <w:pPr>
              <w:rPr>
                <w:rFonts w:hint="eastAsia" w:ascii="宋体" w:hAnsi="宋体" w:eastAsia="宋体" w:cs="宋体"/>
                <w:i w:val="0"/>
                <w:iCs w:val="0"/>
                <w:color w:val="auto"/>
                <w:sz w:val="24"/>
                <w:szCs w:val="24"/>
              </w:rPr>
            </w:pPr>
          </w:p>
        </w:tc>
        <w:tc>
          <w:tcPr>
            <w:tcW w:w="624" w:type="pct"/>
            <w:noWrap w:val="0"/>
            <w:vAlign w:val="top"/>
          </w:tcPr>
          <w:p w14:paraId="21976E2A">
            <w:pPr>
              <w:rPr>
                <w:rFonts w:hint="eastAsia" w:ascii="宋体" w:hAnsi="宋体" w:eastAsia="宋体" w:cs="宋体"/>
                <w:i w:val="0"/>
                <w:iCs w:val="0"/>
                <w:color w:val="auto"/>
                <w:sz w:val="24"/>
                <w:szCs w:val="24"/>
              </w:rPr>
            </w:pPr>
          </w:p>
        </w:tc>
        <w:tc>
          <w:tcPr>
            <w:tcW w:w="624" w:type="pct"/>
            <w:noWrap w:val="0"/>
            <w:vAlign w:val="top"/>
          </w:tcPr>
          <w:p w14:paraId="54A4DEF6">
            <w:pPr>
              <w:rPr>
                <w:rFonts w:hint="eastAsia" w:ascii="宋体" w:hAnsi="宋体" w:eastAsia="宋体" w:cs="宋体"/>
                <w:i w:val="0"/>
                <w:iCs w:val="0"/>
                <w:color w:val="auto"/>
                <w:sz w:val="24"/>
                <w:szCs w:val="24"/>
              </w:rPr>
            </w:pPr>
          </w:p>
        </w:tc>
        <w:tc>
          <w:tcPr>
            <w:tcW w:w="624" w:type="pct"/>
            <w:noWrap w:val="0"/>
            <w:vAlign w:val="top"/>
          </w:tcPr>
          <w:p w14:paraId="3C34C10E">
            <w:pPr>
              <w:rPr>
                <w:rFonts w:hint="eastAsia" w:ascii="宋体" w:hAnsi="宋体" w:eastAsia="宋体" w:cs="宋体"/>
                <w:i w:val="0"/>
                <w:iCs w:val="0"/>
                <w:color w:val="auto"/>
                <w:sz w:val="24"/>
                <w:szCs w:val="24"/>
              </w:rPr>
            </w:pPr>
          </w:p>
        </w:tc>
        <w:tc>
          <w:tcPr>
            <w:tcW w:w="623" w:type="pct"/>
            <w:noWrap w:val="0"/>
            <w:vAlign w:val="top"/>
          </w:tcPr>
          <w:p w14:paraId="1664F092">
            <w:pPr>
              <w:rPr>
                <w:rFonts w:hint="eastAsia" w:ascii="宋体" w:hAnsi="宋体" w:eastAsia="宋体" w:cs="宋体"/>
                <w:i w:val="0"/>
                <w:iCs w:val="0"/>
                <w:color w:val="auto"/>
                <w:sz w:val="24"/>
                <w:szCs w:val="24"/>
              </w:rPr>
            </w:pPr>
          </w:p>
        </w:tc>
        <w:tc>
          <w:tcPr>
            <w:tcW w:w="624" w:type="pct"/>
            <w:noWrap w:val="0"/>
            <w:vAlign w:val="top"/>
          </w:tcPr>
          <w:p w14:paraId="099F370B">
            <w:pPr>
              <w:rPr>
                <w:rFonts w:hint="eastAsia" w:ascii="宋体" w:hAnsi="宋体" w:eastAsia="宋体" w:cs="宋体"/>
                <w:i w:val="0"/>
                <w:iCs w:val="0"/>
                <w:color w:val="auto"/>
                <w:sz w:val="24"/>
                <w:szCs w:val="24"/>
              </w:rPr>
            </w:pPr>
          </w:p>
        </w:tc>
        <w:tc>
          <w:tcPr>
            <w:tcW w:w="623" w:type="pct"/>
            <w:noWrap w:val="0"/>
            <w:vAlign w:val="top"/>
          </w:tcPr>
          <w:p w14:paraId="1B2B94CA">
            <w:pPr>
              <w:rPr>
                <w:rFonts w:hint="eastAsia" w:ascii="宋体" w:hAnsi="宋体" w:eastAsia="宋体" w:cs="宋体"/>
                <w:i w:val="0"/>
                <w:iCs w:val="0"/>
                <w:color w:val="auto"/>
                <w:sz w:val="24"/>
                <w:szCs w:val="24"/>
              </w:rPr>
            </w:pPr>
          </w:p>
        </w:tc>
        <w:tc>
          <w:tcPr>
            <w:tcW w:w="628" w:type="pct"/>
            <w:noWrap w:val="0"/>
            <w:vAlign w:val="top"/>
          </w:tcPr>
          <w:p w14:paraId="51437B03">
            <w:pPr>
              <w:rPr>
                <w:rFonts w:hint="eastAsia" w:ascii="宋体" w:hAnsi="宋体" w:eastAsia="宋体" w:cs="宋体"/>
                <w:i w:val="0"/>
                <w:iCs w:val="0"/>
                <w:color w:val="auto"/>
                <w:sz w:val="24"/>
                <w:szCs w:val="24"/>
              </w:rPr>
            </w:pPr>
          </w:p>
        </w:tc>
      </w:tr>
      <w:tr w14:paraId="3D991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7" w:type="pct"/>
            <w:noWrap w:val="0"/>
            <w:vAlign w:val="top"/>
          </w:tcPr>
          <w:p w14:paraId="0AA389F6">
            <w:pPr>
              <w:rPr>
                <w:rFonts w:hint="eastAsia" w:ascii="宋体" w:hAnsi="宋体" w:eastAsia="宋体" w:cs="宋体"/>
                <w:i w:val="0"/>
                <w:iCs w:val="0"/>
                <w:color w:val="auto"/>
                <w:sz w:val="24"/>
                <w:szCs w:val="24"/>
              </w:rPr>
            </w:pPr>
          </w:p>
        </w:tc>
        <w:tc>
          <w:tcPr>
            <w:tcW w:w="624" w:type="pct"/>
            <w:noWrap w:val="0"/>
            <w:vAlign w:val="top"/>
          </w:tcPr>
          <w:p w14:paraId="44673709">
            <w:pPr>
              <w:rPr>
                <w:rFonts w:hint="eastAsia" w:ascii="宋体" w:hAnsi="宋体" w:eastAsia="宋体" w:cs="宋体"/>
                <w:i w:val="0"/>
                <w:iCs w:val="0"/>
                <w:color w:val="auto"/>
                <w:sz w:val="24"/>
                <w:szCs w:val="24"/>
              </w:rPr>
            </w:pPr>
          </w:p>
        </w:tc>
        <w:tc>
          <w:tcPr>
            <w:tcW w:w="624" w:type="pct"/>
            <w:noWrap w:val="0"/>
            <w:vAlign w:val="top"/>
          </w:tcPr>
          <w:p w14:paraId="2BC245E2">
            <w:pPr>
              <w:rPr>
                <w:rFonts w:hint="eastAsia" w:ascii="宋体" w:hAnsi="宋体" w:eastAsia="宋体" w:cs="宋体"/>
                <w:i w:val="0"/>
                <w:iCs w:val="0"/>
                <w:color w:val="auto"/>
                <w:sz w:val="24"/>
                <w:szCs w:val="24"/>
              </w:rPr>
            </w:pPr>
          </w:p>
        </w:tc>
        <w:tc>
          <w:tcPr>
            <w:tcW w:w="624" w:type="pct"/>
            <w:noWrap w:val="0"/>
            <w:vAlign w:val="top"/>
          </w:tcPr>
          <w:p w14:paraId="16707C88">
            <w:pPr>
              <w:rPr>
                <w:rFonts w:hint="eastAsia" w:ascii="宋体" w:hAnsi="宋体" w:eastAsia="宋体" w:cs="宋体"/>
                <w:i w:val="0"/>
                <w:iCs w:val="0"/>
                <w:color w:val="auto"/>
                <w:sz w:val="24"/>
                <w:szCs w:val="24"/>
              </w:rPr>
            </w:pPr>
          </w:p>
        </w:tc>
        <w:tc>
          <w:tcPr>
            <w:tcW w:w="623" w:type="pct"/>
            <w:noWrap w:val="0"/>
            <w:vAlign w:val="top"/>
          </w:tcPr>
          <w:p w14:paraId="34F975A0">
            <w:pPr>
              <w:rPr>
                <w:rFonts w:hint="eastAsia" w:ascii="宋体" w:hAnsi="宋体" w:eastAsia="宋体" w:cs="宋体"/>
                <w:i w:val="0"/>
                <w:iCs w:val="0"/>
                <w:color w:val="auto"/>
                <w:sz w:val="24"/>
                <w:szCs w:val="24"/>
              </w:rPr>
            </w:pPr>
          </w:p>
        </w:tc>
        <w:tc>
          <w:tcPr>
            <w:tcW w:w="624" w:type="pct"/>
            <w:noWrap w:val="0"/>
            <w:vAlign w:val="top"/>
          </w:tcPr>
          <w:p w14:paraId="3EA41449">
            <w:pPr>
              <w:rPr>
                <w:rFonts w:hint="eastAsia" w:ascii="宋体" w:hAnsi="宋体" w:eastAsia="宋体" w:cs="宋体"/>
                <w:i w:val="0"/>
                <w:iCs w:val="0"/>
                <w:color w:val="auto"/>
                <w:sz w:val="24"/>
                <w:szCs w:val="24"/>
              </w:rPr>
            </w:pPr>
          </w:p>
        </w:tc>
        <w:tc>
          <w:tcPr>
            <w:tcW w:w="623" w:type="pct"/>
            <w:noWrap w:val="0"/>
            <w:vAlign w:val="top"/>
          </w:tcPr>
          <w:p w14:paraId="0A2B978A">
            <w:pPr>
              <w:rPr>
                <w:rFonts w:hint="eastAsia" w:ascii="宋体" w:hAnsi="宋体" w:eastAsia="宋体" w:cs="宋体"/>
                <w:i w:val="0"/>
                <w:iCs w:val="0"/>
                <w:color w:val="auto"/>
                <w:sz w:val="24"/>
                <w:szCs w:val="24"/>
              </w:rPr>
            </w:pPr>
          </w:p>
        </w:tc>
        <w:tc>
          <w:tcPr>
            <w:tcW w:w="628" w:type="pct"/>
            <w:noWrap w:val="0"/>
            <w:vAlign w:val="top"/>
          </w:tcPr>
          <w:p w14:paraId="783B895B">
            <w:pPr>
              <w:rPr>
                <w:rFonts w:hint="eastAsia" w:ascii="宋体" w:hAnsi="宋体" w:eastAsia="宋体" w:cs="宋体"/>
                <w:i w:val="0"/>
                <w:iCs w:val="0"/>
                <w:color w:val="auto"/>
                <w:sz w:val="24"/>
                <w:szCs w:val="24"/>
              </w:rPr>
            </w:pPr>
          </w:p>
        </w:tc>
      </w:tr>
    </w:tbl>
    <w:p w14:paraId="68D1C20D">
      <w:pPr>
        <w:pStyle w:val="16"/>
        <w:spacing w:line="399" w:lineRule="auto"/>
        <w:rPr>
          <w:i w:val="0"/>
          <w:iCs w:val="0"/>
          <w:color w:val="auto"/>
        </w:rPr>
      </w:pPr>
    </w:p>
    <w:p w14:paraId="710AC9F8">
      <w:pPr>
        <w:spacing w:before="65" w:line="437" w:lineRule="auto"/>
        <w:ind w:left="0" w:leftChars="0" w:right="2136" w:firstLine="0" w:firstLineChars="0"/>
        <w:rPr>
          <w:rFonts w:ascii="宋体" w:hAnsi="宋体" w:eastAsia="宋体" w:cs="宋体"/>
          <w:i w:val="0"/>
          <w:iCs w:val="0"/>
          <w:color w:val="auto"/>
          <w:spacing w:val="8"/>
          <w:sz w:val="20"/>
          <w:szCs w:val="20"/>
        </w:rPr>
      </w:pPr>
      <w:r>
        <w:rPr>
          <w:rFonts w:ascii="宋体" w:hAnsi="宋体" w:eastAsia="宋体" w:cs="宋体"/>
          <w:i w:val="0"/>
          <w:iCs w:val="0"/>
          <w:color w:val="auto"/>
          <w:spacing w:val="8"/>
          <w:sz w:val="20"/>
          <w:szCs w:val="20"/>
        </w:rPr>
        <w:t xml:space="preserve">注：投标人应按所列格式提交包括分包在内的劳动力计划表。 </w:t>
      </w:r>
    </w:p>
    <w:p w14:paraId="1D23B02B">
      <w:pPr>
        <w:spacing w:before="65" w:line="437" w:lineRule="auto"/>
        <w:ind w:left="0" w:leftChars="0" w:right="2136" w:firstLine="432" w:firstLineChars="200"/>
        <w:rPr>
          <w:rFonts w:ascii="宋体" w:hAnsi="宋体" w:eastAsia="宋体" w:cs="宋体"/>
          <w:i w:val="0"/>
          <w:iCs w:val="0"/>
          <w:color w:val="auto"/>
          <w:sz w:val="20"/>
          <w:szCs w:val="20"/>
        </w:rPr>
      </w:pPr>
      <w:r>
        <w:rPr>
          <w:rFonts w:ascii="宋体" w:hAnsi="宋体" w:eastAsia="宋体" w:cs="宋体"/>
          <w:i w:val="0"/>
          <w:iCs w:val="0"/>
          <w:color w:val="auto"/>
          <w:spacing w:val="8"/>
          <w:sz w:val="20"/>
          <w:szCs w:val="20"/>
        </w:rPr>
        <w:t>本计划表是以每班八小时工作制为基础的。</w:t>
      </w:r>
    </w:p>
    <w:p w14:paraId="4D3A70F4">
      <w:pPr>
        <w:spacing w:line="437" w:lineRule="auto"/>
        <w:rPr>
          <w:rFonts w:ascii="宋体" w:hAnsi="宋体" w:eastAsia="宋体" w:cs="宋体"/>
          <w:i w:val="0"/>
          <w:iCs w:val="0"/>
          <w:color w:val="auto"/>
          <w:sz w:val="20"/>
          <w:szCs w:val="20"/>
        </w:rPr>
        <w:sectPr>
          <w:footerReference r:id="rId27"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16AD1D33">
      <w:pPr>
        <w:spacing w:before="56" w:line="220" w:lineRule="auto"/>
        <w:ind w:left="0" w:leftChars="0" w:firstLine="0" w:firstLineChars="0"/>
        <w:jc w:val="center"/>
        <w:rPr>
          <w:rFonts w:hint="eastAsia" w:ascii="宋体" w:hAnsi="宋体" w:eastAsia="宋体" w:cs="宋体"/>
          <w:b/>
          <w:bCs/>
          <w:i w:val="0"/>
          <w:iCs w:val="0"/>
          <w:color w:val="auto"/>
          <w:sz w:val="28"/>
          <w:szCs w:val="28"/>
        </w:rPr>
      </w:pPr>
      <w:r>
        <w:rPr>
          <w:rFonts w:hint="eastAsia" w:ascii="宋体" w:hAnsi="宋体" w:eastAsia="宋体" w:cs="宋体"/>
          <w:b/>
          <w:bCs/>
          <w:i w:val="0"/>
          <w:iCs w:val="0"/>
          <w:color w:val="auto"/>
          <w:spacing w:val="-5"/>
          <w:sz w:val="28"/>
          <w:szCs w:val="28"/>
        </w:rPr>
        <w:t>表3</w:t>
      </w:r>
      <w:r>
        <w:rPr>
          <w:rFonts w:hint="eastAsia" w:ascii="宋体" w:hAnsi="宋体" w:eastAsia="宋体" w:cs="宋体"/>
          <w:b/>
          <w:bCs/>
          <w:i w:val="0"/>
          <w:iCs w:val="0"/>
          <w:color w:val="auto"/>
          <w:spacing w:val="29"/>
          <w:sz w:val="28"/>
          <w:szCs w:val="28"/>
        </w:rPr>
        <w:t xml:space="preserve">  </w:t>
      </w:r>
      <w:r>
        <w:rPr>
          <w:rFonts w:hint="eastAsia" w:ascii="宋体" w:hAnsi="宋体" w:cs="宋体"/>
          <w:b/>
          <w:bCs/>
          <w:i w:val="0"/>
          <w:iCs w:val="0"/>
          <w:color w:val="auto"/>
          <w:spacing w:val="-5"/>
          <w:sz w:val="28"/>
          <w:szCs w:val="28"/>
          <w:lang w:eastAsia="zh-CN"/>
        </w:rPr>
        <w:t>☑</w:t>
      </w:r>
      <w:r>
        <w:rPr>
          <w:rFonts w:hint="eastAsia" w:ascii="宋体" w:hAnsi="宋体" w:eastAsia="宋体" w:cs="宋体"/>
          <w:b/>
          <w:bCs/>
          <w:i w:val="0"/>
          <w:iCs w:val="0"/>
          <w:color w:val="auto"/>
          <w:spacing w:val="-5"/>
          <w:sz w:val="28"/>
          <w:szCs w:val="28"/>
        </w:rPr>
        <w:t>计划开、竣工日期和施工进度图表</w:t>
      </w:r>
    </w:p>
    <w:p w14:paraId="6BC209F5">
      <w:pPr>
        <w:pStyle w:val="16"/>
        <w:spacing w:line="334" w:lineRule="auto"/>
        <w:rPr>
          <w:i w:val="0"/>
          <w:iCs w:val="0"/>
          <w:color w:val="auto"/>
          <w:sz w:val="24"/>
          <w:szCs w:val="24"/>
        </w:rPr>
      </w:pPr>
    </w:p>
    <w:p w14:paraId="19B51FC3">
      <w:pPr>
        <w:keepNext w:val="0"/>
        <w:keepLines w:val="0"/>
        <w:pageBreakBefore w:val="0"/>
        <w:widowControl w:val="0"/>
        <w:kinsoku/>
        <w:wordWrap/>
        <w:overflowPunct/>
        <w:topLinePunct w:val="0"/>
        <w:autoSpaceDE/>
        <w:autoSpaceDN/>
        <w:bidi w:val="0"/>
        <w:adjustRightInd/>
        <w:snapToGrid/>
        <w:spacing w:line="400" w:lineRule="exact"/>
        <w:ind w:firstLine="484"/>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投标人应提交的施工进度网络图或施工进度</w:t>
      </w:r>
      <w:r>
        <w:rPr>
          <w:rFonts w:hint="eastAsia" w:ascii="宋体" w:hAnsi="宋体" w:eastAsia="宋体" w:cs="宋体"/>
          <w:i w:val="0"/>
          <w:iCs w:val="0"/>
          <w:color w:val="auto"/>
          <w:spacing w:val="-1"/>
          <w:sz w:val="24"/>
          <w:szCs w:val="24"/>
        </w:rPr>
        <w:t>表，说明按招标文件要求的工期</w:t>
      </w:r>
      <w:r>
        <w:rPr>
          <w:rFonts w:hint="eastAsia" w:ascii="宋体" w:hAnsi="宋体" w:eastAsia="宋体" w:cs="宋体"/>
          <w:i w:val="0"/>
          <w:iCs w:val="0"/>
          <w:color w:val="auto"/>
          <w:sz w:val="24"/>
          <w:szCs w:val="24"/>
        </w:rPr>
        <w:t xml:space="preserve"> 进行施工的各个关键日期。中标的投标人还要按合同条件有</w:t>
      </w:r>
      <w:r>
        <w:rPr>
          <w:rFonts w:hint="eastAsia" w:ascii="宋体" w:hAnsi="宋体" w:eastAsia="宋体" w:cs="宋体"/>
          <w:i w:val="0"/>
          <w:iCs w:val="0"/>
          <w:color w:val="auto"/>
          <w:spacing w:val="-1"/>
          <w:sz w:val="24"/>
          <w:szCs w:val="24"/>
        </w:rPr>
        <w:t>关条款的要求提交详</w:t>
      </w:r>
      <w:r>
        <w:rPr>
          <w:rFonts w:hint="eastAsia" w:ascii="宋体" w:hAnsi="宋体" w:eastAsia="宋体" w:cs="宋体"/>
          <w:i w:val="0"/>
          <w:iCs w:val="0"/>
          <w:color w:val="auto"/>
          <w:sz w:val="24"/>
          <w:szCs w:val="24"/>
        </w:rPr>
        <w:t xml:space="preserve"> </w:t>
      </w:r>
      <w:r>
        <w:rPr>
          <w:rFonts w:hint="eastAsia" w:ascii="宋体" w:hAnsi="宋体" w:eastAsia="宋体" w:cs="宋体"/>
          <w:i w:val="0"/>
          <w:iCs w:val="0"/>
          <w:color w:val="auto"/>
          <w:spacing w:val="-1"/>
          <w:sz w:val="24"/>
          <w:szCs w:val="24"/>
        </w:rPr>
        <w:t>细的施工进度计划。</w:t>
      </w:r>
    </w:p>
    <w:p w14:paraId="519B4226">
      <w:pPr>
        <w:keepNext w:val="0"/>
        <w:keepLines w:val="0"/>
        <w:pageBreakBefore w:val="0"/>
        <w:widowControl w:val="0"/>
        <w:kinsoku/>
        <w:wordWrap/>
        <w:overflowPunct/>
        <w:topLinePunct w:val="0"/>
        <w:autoSpaceDE/>
        <w:autoSpaceDN/>
        <w:bidi w:val="0"/>
        <w:adjustRightInd/>
        <w:snapToGrid/>
        <w:spacing w:line="400" w:lineRule="exact"/>
        <w:ind w:left="4" w:firstLine="476"/>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施工进度表可采用关键线路网络图（或横道图）表示</w:t>
      </w:r>
      <w:r>
        <w:rPr>
          <w:rFonts w:hint="eastAsia" w:ascii="宋体" w:hAnsi="宋体" w:eastAsia="宋体" w:cs="宋体"/>
          <w:i w:val="0"/>
          <w:iCs w:val="0"/>
          <w:color w:val="auto"/>
          <w:spacing w:val="-1"/>
          <w:sz w:val="24"/>
          <w:szCs w:val="24"/>
        </w:rPr>
        <w:t>，说明计划开工日期和各分项工程各阶段的完工日期和分包合同签订的日期。</w:t>
      </w:r>
    </w:p>
    <w:p w14:paraId="30C0C9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施工进度计划应与施工组织设计相适应。</w:t>
      </w:r>
    </w:p>
    <w:p w14:paraId="238382E1">
      <w:pPr>
        <w:spacing w:line="220" w:lineRule="auto"/>
        <w:rPr>
          <w:rFonts w:ascii="宋体" w:hAnsi="宋体" w:eastAsia="宋体" w:cs="宋体"/>
          <w:i w:val="0"/>
          <w:iCs w:val="0"/>
          <w:color w:val="auto"/>
          <w:sz w:val="24"/>
          <w:szCs w:val="24"/>
        </w:rPr>
        <w:sectPr>
          <w:footerReference r:id="rId28"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3BF5741B">
      <w:pPr>
        <w:spacing w:before="56" w:line="219" w:lineRule="auto"/>
        <w:ind w:left="0" w:leftChars="0" w:firstLine="0" w:firstLineChars="0"/>
        <w:jc w:val="center"/>
        <w:rPr>
          <w:rFonts w:ascii="宋体" w:hAnsi="宋体" w:eastAsia="宋体" w:cs="宋体"/>
          <w:i w:val="0"/>
          <w:iCs w:val="0"/>
          <w:color w:val="auto"/>
          <w:sz w:val="28"/>
          <w:szCs w:val="28"/>
        </w:rPr>
      </w:pPr>
      <w:r>
        <w:rPr>
          <w:rFonts w:hint="eastAsia" w:ascii="宋体" w:hAnsi="宋体" w:eastAsia="宋体" w:cs="宋体"/>
          <w:b/>
          <w:bCs/>
          <w:i w:val="0"/>
          <w:iCs w:val="0"/>
          <w:color w:val="auto"/>
          <w:spacing w:val="-5"/>
          <w:sz w:val="28"/>
          <w:szCs w:val="28"/>
        </w:rPr>
        <w:t>表4</w:t>
      </w:r>
      <w:r>
        <w:rPr>
          <w:rFonts w:hint="eastAsia" w:ascii="宋体" w:hAnsi="宋体" w:eastAsia="宋体" w:cs="宋体"/>
          <w:b/>
          <w:bCs/>
          <w:i w:val="0"/>
          <w:iCs w:val="0"/>
          <w:color w:val="auto"/>
          <w:spacing w:val="28"/>
          <w:sz w:val="28"/>
          <w:szCs w:val="28"/>
        </w:rPr>
        <w:t xml:space="preserve">  </w:t>
      </w:r>
      <w:r>
        <w:rPr>
          <w:rFonts w:hint="eastAsia" w:ascii="宋体" w:hAnsi="宋体" w:cs="宋体"/>
          <w:b/>
          <w:bCs/>
          <w:i w:val="0"/>
          <w:iCs w:val="0"/>
          <w:color w:val="auto"/>
          <w:spacing w:val="-5"/>
          <w:sz w:val="28"/>
          <w:szCs w:val="28"/>
          <w:lang w:eastAsia="zh-CN"/>
        </w:rPr>
        <w:t>☑</w:t>
      </w:r>
      <w:r>
        <w:rPr>
          <w:rFonts w:hint="eastAsia" w:ascii="宋体" w:hAnsi="宋体" w:eastAsia="宋体" w:cs="宋体"/>
          <w:b/>
          <w:bCs/>
          <w:i w:val="0"/>
          <w:iCs w:val="0"/>
          <w:color w:val="auto"/>
          <w:spacing w:val="-5"/>
          <w:sz w:val="28"/>
          <w:szCs w:val="28"/>
        </w:rPr>
        <w:t>施工总平面布置图及临时用地表</w:t>
      </w:r>
    </w:p>
    <w:p w14:paraId="73C9DF69">
      <w:pPr>
        <w:pStyle w:val="16"/>
        <w:spacing w:line="334" w:lineRule="auto"/>
        <w:rPr>
          <w:i w:val="0"/>
          <w:iCs w:val="0"/>
          <w:color w:val="auto"/>
        </w:rPr>
      </w:pPr>
    </w:p>
    <w:p w14:paraId="468F2DB0">
      <w:pPr>
        <w:spacing w:before="78" w:line="219" w:lineRule="auto"/>
        <w:ind w:left="0" w:firstLine="468"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3"/>
          <w:sz w:val="24"/>
          <w:szCs w:val="24"/>
        </w:rPr>
        <w:t>1.施工总平面布置图</w:t>
      </w:r>
    </w:p>
    <w:p w14:paraId="34F64595">
      <w:pPr>
        <w:spacing w:before="205" w:line="368" w:lineRule="auto"/>
        <w:ind w:firstLine="480"/>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4"/>
          <w:sz w:val="24"/>
          <w:szCs w:val="24"/>
        </w:rPr>
        <w:t>投标人应提交一份施工总平面图，给出现场临时设施布置图</w:t>
      </w:r>
      <w:r>
        <w:rPr>
          <w:rFonts w:hint="eastAsia" w:ascii="宋体" w:hAnsi="宋体" w:eastAsia="宋体" w:cs="宋体"/>
          <w:i w:val="0"/>
          <w:iCs w:val="0"/>
          <w:color w:val="auto"/>
          <w:spacing w:val="-5"/>
          <w:sz w:val="24"/>
          <w:szCs w:val="24"/>
        </w:rPr>
        <w:t>表并附文字说明，</w:t>
      </w:r>
      <w:r>
        <w:rPr>
          <w:rFonts w:hint="eastAsia" w:ascii="宋体" w:hAnsi="宋体" w:eastAsia="宋体" w:cs="宋体"/>
          <w:i w:val="0"/>
          <w:iCs w:val="0"/>
          <w:color w:val="auto"/>
          <w:sz w:val="24"/>
          <w:szCs w:val="24"/>
        </w:rPr>
        <w:t>说明临时设施、加工车间、现场办公、设备及仓</w:t>
      </w:r>
      <w:r>
        <w:rPr>
          <w:rFonts w:hint="eastAsia" w:ascii="宋体" w:hAnsi="宋体" w:eastAsia="宋体" w:cs="宋体"/>
          <w:i w:val="0"/>
          <w:iCs w:val="0"/>
          <w:color w:val="auto"/>
          <w:spacing w:val="-1"/>
          <w:sz w:val="24"/>
          <w:szCs w:val="24"/>
        </w:rPr>
        <w:t>储、供电、供水、卫生、生活等</w:t>
      </w:r>
      <w:r>
        <w:rPr>
          <w:rFonts w:hint="eastAsia" w:ascii="宋体" w:hAnsi="宋体" w:eastAsia="宋体" w:cs="宋体"/>
          <w:i w:val="0"/>
          <w:iCs w:val="0"/>
          <w:color w:val="auto"/>
          <w:spacing w:val="-2"/>
          <w:sz w:val="24"/>
          <w:szCs w:val="24"/>
        </w:rPr>
        <w:t>设施的情况和布置。</w:t>
      </w:r>
    </w:p>
    <w:p w14:paraId="1E37F4CC">
      <w:pPr>
        <w:spacing w:before="38" w:line="219" w:lineRule="auto"/>
        <w:ind w:left="0" w:firstLine="456"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6"/>
          <w:sz w:val="24"/>
          <w:szCs w:val="24"/>
        </w:rPr>
        <w:t>2.临时用地表</w:t>
      </w:r>
    </w:p>
    <w:p w14:paraId="3E650462">
      <w:pPr>
        <w:spacing w:line="80" w:lineRule="exact"/>
        <w:rPr>
          <w:rFonts w:hint="eastAsia" w:ascii="宋体" w:hAnsi="宋体" w:eastAsia="宋体" w:cs="宋体"/>
          <w:i w:val="0"/>
          <w:iCs w:val="0"/>
          <w:color w:val="auto"/>
          <w:sz w:val="24"/>
          <w:szCs w:val="24"/>
        </w:rPr>
      </w:pPr>
    </w:p>
    <w:tbl>
      <w:tblPr>
        <w:tblStyle w:val="7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403"/>
        <w:gridCol w:w="2436"/>
        <w:gridCol w:w="2398"/>
        <w:gridCol w:w="2404"/>
      </w:tblGrid>
      <w:tr w14:paraId="4D4EA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46" w:type="pct"/>
            <w:noWrap w:val="0"/>
            <w:vAlign w:val="top"/>
          </w:tcPr>
          <w:p w14:paraId="66DB4EBA">
            <w:pPr>
              <w:pStyle w:val="75"/>
              <w:spacing w:before="114" w:line="221" w:lineRule="auto"/>
              <w:ind w:left="0" w:leftChars="0" w:firstLine="0" w:firstLineChars="0"/>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6"/>
                <w:sz w:val="24"/>
                <w:szCs w:val="24"/>
              </w:rPr>
              <w:t>用途</w:t>
            </w:r>
          </w:p>
        </w:tc>
        <w:tc>
          <w:tcPr>
            <w:tcW w:w="1263" w:type="pct"/>
            <w:noWrap w:val="0"/>
            <w:vAlign w:val="top"/>
          </w:tcPr>
          <w:p w14:paraId="5C9DDB4C">
            <w:pPr>
              <w:pStyle w:val="75"/>
              <w:spacing w:before="115" w:line="219" w:lineRule="auto"/>
              <w:ind w:left="0" w:leftChars="0" w:firstLine="0" w:firstLineChars="0"/>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2"/>
                <w:sz w:val="24"/>
                <w:szCs w:val="24"/>
              </w:rPr>
              <w:t>面积（平方米）</w:t>
            </w:r>
          </w:p>
        </w:tc>
        <w:tc>
          <w:tcPr>
            <w:tcW w:w="1243" w:type="pct"/>
            <w:noWrap w:val="0"/>
            <w:vAlign w:val="top"/>
          </w:tcPr>
          <w:p w14:paraId="34AC8DDF">
            <w:pPr>
              <w:pStyle w:val="75"/>
              <w:spacing w:before="114" w:line="221" w:lineRule="auto"/>
              <w:ind w:left="0" w:leftChars="0" w:firstLine="0" w:firstLineChars="0"/>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5"/>
                <w:sz w:val="24"/>
                <w:szCs w:val="24"/>
              </w:rPr>
              <w:t>位置</w:t>
            </w:r>
          </w:p>
        </w:tc>
        <w:tc>
          <w:tcPr>
            <w:tcW w:w="1246" w:type="pct"/>
            <w:noWrap w:val="0"/>
            <w:vAlign w:val="top"/>
          </w:tcPr>
          <w:p w14:paraId="4473117A">
            <w:pPr>
              <w:pStyle w:val="75"/>
              <w:spacing w:before="114" w:line="220" w:lineRule="auto"/>
              <w:ind w:left="0" w:leftChars="0" w:firstLine="0" w:firstLineChars="0"/>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6"/>
                <w:sz w:val="24"/>
                <w:szCs w:val="24"/>
              </w:rPr>
              <w:t>需用时间</w:t>
            </w:r>
          </w:p>
        </w:tc>
      </w:tr>
      <w:tr w14:paraId="0FC3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246" w:type="pct"/>
            <w:noWrap w:val="0"/>
            <w:vAlign w:val="top"/>
          </w:tcPr>
          <w:p w14:paraId="73F3AE5A">
            <w:pPr>
              <w:rPr>
                <w:rFonts w:hint="eastAsia" w:ascii="宋体" w:hAnsi="宋体" w:eastAsia="宋体" w:cs="宋体"/>
                <w:i w:val="0"/>
                <w:iCs w:val="0"/>
                <w:color w:val="auto"/>
                <w:sz w:val="24"/>
                <w:szCs w:val="24"/>
              </w:rPr>
            </w:pPr>
          </w:p>
        </w:tc>
        <w:tc>
          <w:tcPr>
            <w:tcW w:w="1263" w:type="pct"/>
            <w:noWrap w:val="0"/>
            <w:vAlign w:val="top"/>
          </w:tcPr>
          <w:p w14:paraId="2593808D">
            <w:pPr>
              <w:rPr>
                <w:rFonts w:hint="eastAsia" w:ascii="宋体" w:hAnsi="宋体" w:eastAsia="宋体" w:cs="宋体"/>
                <w:i w:val="0"/>
                <w:iCs w:val="0"/>
                <w:color w:val="auto"/>
                <w:sz w:val="24"/>
                <w:szCs w:val="24"/>
              </w:rPr>
            </w:pPr>
          </w:p>
        </w:tc>
        <w:tc>
          <w:tcPr>
            <w:tcW w:w="1243" w:type="pct"/>
            <w:noWrap w:val="0"/>
            <w:vAlign w:val="top"/>
          </w:tcPr>
          <w:p w14:paraId="3D5098E5">
            <w:pPr>
              <w:rPr>
                <w:rFonts w:hint="eastAsia" w:ascii="宋体" w:hAnsi="宋体" w:eastAsia="宋体" w:cs="宋体"/>
                <w:i w:val="0"/>
                <w:iCs w:val="0"/>
                <w:color w:val="auto"/>
                <w:sz w:val="24"/>
                <w:szCs w:val="24"/>
              </w:rPr>
            </w:pPr>
          </w:p>
        </w:tc>
        <w:tc>
          <w:tcPr>
            <w:tcW w:w="1246" w:type="pct"/>
            <w:noWrap w:val="0"/>
            <w:vAlign w:val="top"/>
          </w:tcPr>
          <w:p w14:paraId="6158492D">
            <w:pPr>
              <w:rPr>
                <w:rFonts w:hint="eastAsia" w:ascii="宋体" w:hAnsi="宋体" w:eastAsia="宋体" w:cs="宋体"/>
                <w:i w:val="0"/>
                <w:iCs w:val="0"/>
                <w:color w:val="auto"/>
                <w:sz w:val="24"/>
                <w:szCs w:val="24"/>
              </w:rPr>
            </w:pPr>
          </w:p>
        </w:tc>
      </w:tr>
      <w:tr w14:paraId="5A143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246" w:type="pct"/>
            <w:noWrap w:val="0"/>
            <w:vAlign w:val="top"/>
          </w:tcPr>
          <w:p w14:paraId="2695D3ED">
            <w:pPr>
              <w:rPr>
                <w:rFonts w:hint="eastAsia" w:ascii="宋体" w:hAnsi="宋体" w:eastAsia="宋体" w:cs="宋体"/>
                <w:i w:val="0"/>
                <w:iCs w:val="0"/>
                <w:color w:val="auto"/>
                <w:sz w:val="24"/>
                <w:szCs w:val="24"/>
              </w:rPr>
            </w:pPr>
          </w:p>
        </w:tc>
        <w:tc>
          <w:tcPr>
            <w:tcW w:w="1263" w:type="pct"/>
            <w:noWrap w:val="0"/>
            <w:vAlign w:val="top"/>
          </w:tcPr>
          <w:p w14:paraId="494B6262">
            <w:pPr>
              <w:rPr>
                <w:rFonts w:hint="eastAsia" w:ascii="宋体" w:hAnsi="宋体" w:eastAsia="宋体" w:cs="宋体"/>
                <w:i w:val="0"/>
                <w:iCs w:val="0"/>
                <w:color w:val="auto"/>
                <w:sz w:val="24"/>
                <w:szCs w:val="24"/>
              </w:rPr>
            </w:pPr>
          </w:p>
        </w:tc>
        <w:tc>
          <w:tcPr>
            <w:tcW w:w="1243" w:type="pct"/>
            <w:noWrap w:val="0"/>
            <w:vAlign w:val="top"/>
          </w:tcPr>
          <w:p w14:paraId="75E91D57">
            <w:pPr>
              <w:rPr>
                <w:rFonts w:hint="eastAsia" w:ascii="宋体" w:hAnsi="宋体" w:eastAsia="宋体" w:cs="宋体"/>
                <w:i w:val="0"/>
                <w:iCs w:val="0"/>
                <w:color w:val="auto"/>
                <w:sz w:val="24"/>
                <w:szCs w:val="24"/>
              </w:rPr>
            </w:pPr>
          </w:p>
        </w:tc>
        <w:tc>
          <w:tcPr>
            <w:tcW w:w="1246" w:type="pct"/>
            <w:noWrap w:val="0"/>
            <w:vAlign w:val="top"/>
          </w:tcPr>
          <w:p w14:paraId="637DE11B">
            <w:pPr>
              <w:rPr>
                <w:rFonts w:hint="eastAsia" w:ascii="宋体" w:hAnsi="宋体" w:eastAsia="宋体" w:cs="宋体"/>
                <w:i w:val="0"/>
                <w:iCs w:val="0"/>
                <w:color w:val="auto"/>
                <w:sz w:val="24"/>
                <w:szCs w:val="24"/>
              </w:rPr>
            </w:pPr>
          </w:p>
        </w:tc>
      </w:tr>
      <w:tr w14:paraId="46547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246" w:type="pct"/>
            <w:noWrap w:val="0"/>
            <w:vAlign w:val="top"/>
          </w:tcPr>
          <w:p w14:paraId="64000E90">
            <w:pPr>
              <w:rPr>
                <w:rFonts w:hint="eastAsia" w:ascii="宋体" w:hAnsi="宋体" w:eastAsia="宋体" w:cs="宋体"/>
                <w:i w:val="0"/>
                <w:iCs w:val="0"/>
                <w:color w:val="auto"/>
                <w:sz w:val="24"/>
                <w:szCs w:val="24"/>
              </w:rPr>
            </w:pPr>
          </w:p>
        </w:tc>
        <w:tc>
          <w:tcPr>
            <w:tcW w:w="1263" w:type="pct"/>
            <w:noWrap w:val="0"/>
            <w:vAlign w:val="top"/>
          </w:tcPr>
          <w:p w14:paraId="1ED88D25">
            <w:pPr>
              <w:rPr>
                <w:rFonts w:hint="eastAsia" w:ascii="宋体" w:hAnsi="宋体" w:eastAsia="宋体" w:cs="宋体"/>
                <w:i w:val="0"/>
                <w:iCs w:val="0"/>
                <w:color w:val="auto"/>
                <w:sz w:val="24"/>
                <w:szCs w:val="24"/>
              </w:rPr>
            </w:pPr>
          </w:p>
        </w:tc>
        <w:tc>
          <w:tcPr>
            <w:tcW w:w="1243" w:type="pct"/>
            <w:noWrap w:val="0"/>
            <w:vAlign w:val="top"/>
          </w:tcPr>
          <w:p w14:paraId="02E08B69">
            <w:pPr>
              <w:rPr>
                <w:rFonts w:hint="eastAsia" w:ascii="宋体" w:hAnsi="宋体" w:eastAsia="宋体" w:cs="宋体"/>
                <w:i w:val="0"/>
                <w:iCs w:val="0"/>
                <w:color w:val="auto"/>
                <w:sz w:val="24"/>
                <w:szCs w:val="24"/>
              </w:rPr>
            </w:pPr>
          </w:p>
        </w:tc>
        <w:tc>
          <w:tcPr>
            <w:tcW w:w="1246" w:type="pct"/>
            <w:noWrap w:val="0"/>
            <w:vAlign w:val="top"/>
          </w:tcPr>
          <w:p w14:paraId="7077EF63">
            <w:pPr>
              <w:rPr>
                <w:rFonts w:hint="eastAsia" w:ascii="宋体" w:hAnsi="宋体" w:eastAsia="宋体" w:cs="宋体"/>
                <w:i w:val="0"/>
                <w:iCs w:val="0"/>
                <w:color w:val="auto"/>
                <w:sz w:val="24"/>
                <w:szCs w:val="24"/>
              </w:rPr>
            </w:pPr>
          </w:p>
        </w:tc>
      </w:tr>
      <w:tr w14:paraId="49519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246" w:type="pct"/>
            <w:noWrap w:val="0"/>
            <w:vAlign w:val="top"/>
          </w:tcPr>
          <w:p w14:paraId="283310B4">
            <w:pPr>
              <w:rPr>
                <w:rFonts w:hint="eastAsia" w:ascii="宋体" w:hAnsi="宋体" w:eastAsia="宋体" w:cs="宋体"/>
                <w:i w:val="0"/>
                <w:iCs w:val="0"/>
                <w:color w:val="auto"/>
                <w:sz w:val="24"/>
                <w:szCs w:val="24"/>
              </w:rPr>
            </w:pPr>
          </w:p>
        </w:tc>
        <w:tc>
          <w:tcPr>
            <w:tcW w:w="1263" w:type="pct"/>
            <w:noWrap w:val="0"/>
            <w:vAlign w:val="top"/>
          </w:tcPr>
          <w:p w14:paraId="3BC6B354">
            <w:pPr>
              <w:rPr>
                <w:rFonts w:hint="eastAsia" w:ascii="宋体" w:hAnsi="宋体" w:eastAsia="宋体" w:cs="宋体"/>
                <w:i w:val="0"/>
                <w:iCs w:val="0"/>
                <w:color w:val="auto"/>
                <w:sz w:val="24"/>
                <w:szCs w:val="24"/>
              </w:rPr>
            </w:pPr>
          </w:p>
        </w:tc>
        <w:tc>
          <w:tcPr>
            <w:tcW w:w="1243" w:type="pct"/>
            <w:noWrap w:val="0"/>
            <w:vAlign w:val="top"/>
          </w:tcPr>
          <w:p w14:paraId="3A2D1B19">
            <w:pPr>
              <w:rPr>
                <w:rFonts w:hint="eastAsia" w:ascii="宋体" w:hAnsi="宋体" w:eastAsia="宋体" w:cs="宋体"/>
                <w:i w:val="0"/>
                <w:iCs w:val="0"/>
                <w:color w:val="auto"/>
                <w:sz w:val="24"/>
                <w:szCs w:val="24"/>
              </w:rPr>
            </w:pPr>
          </w:p>
        </w:tc>
        <w:tc>
          <w:tcPr>
            <w:tcW w:w="1246" w:type="pct"/>
            <w:noWrap w:val="0"/>
            <w:vAlign w:val="top"/>
          </w:tcPr>
          <w:p w14:paraId="69E19692">
            <w:pPr>
              <w:rPr>
                <w:rFonts w:hint="eastAsia" w:ascii="宋体" w:hAnsi="宋体" w:eastAsia="宋体" w:cs="宋体"/>
                <w:i w:val="0"/>
                <w:iCs w:val="0"/>
                <w:color w:val="auto"/>
                <w:sz w:val="24"/>
                <w:szCs w:val="24"/>
              </w:rPr>
            </w:pPr>
          </w:p>
        </w:tc>
      </w:tr>
      <w:tr w14:paraId="79291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246" w:type="pct"/>
            <w:noWrap w:val="0"/>
            <w:vAlign w:val="top"/>
          </w:tcPr>
          <w:p w14:paraId="509E61F2">
            <w:pPr>
              <w:rPr>
                <w:rFonts w:hint="eastAsia" w:ascii="宋体" w:hAnsi="宋体" w:eastAsia="宋体" w:cs="宋体"/>
                <w:i w:val="0"/>
                <w:iCs w:val="0"/>
                <w:color w:val="auto"/>
                <w:sz w:val="24"/>
                <w:szCs w:val="24"/>
              </w:rPr>
            </w:pPr>
          </w:p>
        </w:tc>
        <w:tc>
          <w:tcPr>
            <w:tcW w:w="1263" w:type="pct"/>
            <w:noWrap w:val="0"/>
            <w:vAlign w:val="top"/>
          </w:tcPr>
          <w:p w14:paraId="2121FAC8">
            <w:pPr>
              <w:rPr>
                <w:rFonts w:hint="eastAsia" w:ascii="宋体" w:hAnsi="宋体" w:eastAsia="宋体" w:cs="宋体"/>
                <w:i w:val="0"/>
                <w:iCs w:val="0"/>
                <w:color w:val="auto"/>
                <w:sz w:val="24"/>
                <w:szCs w:val="24"/>
              </w:rPr>
            </w:pPr>
          </w:p>
        </w:tc>
        <w:tc>
          <w:tcPr>
            <w:tcW w:w="1243" w:type="pct"/>
            <w:noWrap w:val="0"/>
            <w:vAlign w:val="top"/>
          </w:tcPr>
          <w:p w14:paraId="3FD5ACFB">
            <w:pPr>
              <w:rPr>
                <w:rFonts w:hint="eastAsia" w:ascii="宋体" w:hAnsi="宋体" w:eastAsia="宋体" w:cs="宋体"/>
                <w:i w:val="0"/>
                <w:iCs w:val="0"/>
                <w:color w:val="auto"/>
                <w:sz w:val="24"/>
                <w:szCs w:val="24"/>
              </w:rPr>
            </w:pPr>
          </w:p>
        </w:tc>
        <w:tc>
          <w:tcPr>
            <w:tcW w:w="1246" w:type="pct"/>
            <w:noWrap w:val="0"/>
            <w:vAlign w:val="top"/>
          </w:tcPr>
          <w:p w14:paraId="7969A638">
            <w:pPr>
              <w:rPr>
                <w:rFonts w:hint="eastAsia" w:ascii="宋体" w:hAnsi="宋体" w:eastAsia="宋体" w:cs="宋体"/>
                <w:i w:val="0"/>
                <w:iCs w:val="0"/>
                <w:color w:val="auto"/>
                <w:sz w:val="24"/>
                <w:szCs w:val="24"/>
              </w:rPr>
            </w:pPr>
          </w:p>
        </w:tc>
      </w:tr>
      <w:tr w14:paraId="174C8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246" w:type="pct"/>
            <w:noWrap w:val="0"/>
            <w:vAlign w:val="top"/>
          </w:tcPr>
          <w:p w14:paraId="548A1CE0">
            <w:pPr>
              <w:rPr>
                <w:rFonts w:hint="eastAsia" w:ascii="宋体" w:hAnsi="宋体" w:eastAsia="宋体" w:cs="宋体"/>
                <w:i w:val="0"/>
                <w:iCs w:val="0"/>
                <w:color w:val="auto"/>
                <w:sz w:val="24"/>
                <w:szCs w:val="24"/>
              </w:rPr>
            </w:pPr>
          </w:p>
        </w:tc>
        <w:tc>
          <w:tcPr>
            <w:tcW w:w="1263" w:type="pct"/>
            <w:noWrap w:val="0"/>
            <w:vAlign w:val="top"/>
          </w:tcPr>
          <w:p w14:paraId="5622CFC4">
            <w:pPr>
              <w:rPr>
                <w:rFonts w:hint="eastAsia" w:ascii="宋体" w:hAnsi="宋体" w:eastAsia="宋体" w:cs="宋体"/>
                <w:i w:val="0"/>
                <w:iCs w:val="0"/>
                <w:color w:val="auto"/>
                <w:sz w:val="24"/>
                <w:szCs w:val="24"/>
              </w:rPr>
            </w:pPr>
          </w:p>
        </w:tc>
        <w:tc>
          <w:tcPr>
            <w:tcW w:w="1243" w:type="pct"/>
            <w:noWrap w:val="0"/>
            <w:vAlign w:val="top"/>
          </w:tcPr>
          <w:p w14:paraId="0A437B10">
            <w:pPr>
              <w:rPr>
                <w:rFonts w:hint="eastAsia" w:ascii="宋体" w:hAnsi="宋体" w:eastAsia="宋体" w:cs="宋体"/>
                <w:i w:val="0"/>
                <w:iCs w:val="0"/>
                <w:color w:val="auto"/>
                <w:sz w:val="24"/>
                <w:szCs w:val="24"/>
              </w:rPr>
            </w:pPr>
          </w:p>
        </w:tc>
        <w:tc>
          <w:tcPr>
            <w:tcW w:w="1246" w:type="pct"/>
            <w:noWrap w:val="0"/>
            <w:vAlign w:val="top"/>
          </w:tcPr>
          <w:p w14:paraId="60089A9C">
            <w:pPr>
              <w:rPr>
                <w:rFonts w:hint="eastAsia" w:ascii="宋体" w:hAnsi="宋体" w:eastAsia="宋体" w:cs="宋体"/>
                <w:i w:val="0"/>
                <w:iCs w:val="0"/>
                <w:color w:val="auto"/>
                <w:sz w:val="24"/>
                <w:szCs w:val="24"/>
              </w:rPr>
            </w:pPr>
          </w:p>
        </w:tc>
      </w:tr>
      <w:tr w14:paraId="20794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246" w:type="pct"/>
            <w:noWrap w:val="0"/>
            <w:vAlign w:val="top"/>
          </w:tcPr>
          <w:p w14:paraId="4A9385CE">
            <w:pPr>
              <w:rPr>
                <w:rFonts w:hint="eastAsia" w:ascii="宋体" w:hAnsi="宋体" w:eastAsia="宋体" w:cs="宋体"/>
                <w:i w:val="0"/>
                <w:iCs w:val="0"/>
                <w:color w:val="auto"/>
                <w:sz w:val="24"/>
                <w:szCs w:val="24"/>
              </w:rPr>
            </w:pPr>
          </w:p>
        </w:tc>
        <w:tc>
          <w:tcPr>
            <w:tcW w:w="1263" w:type="pct"/>
            <w:noWrap w:val="0"/>
            <w:vAlign w:val="top"/>
          </w:tcPr>
          <w:p w14:paraId="24E7465C">
            <w:pPr>
              <w:rPr>
                <w:rFonts w:hint="eastAsia" w:ascii="宋体" w:hAnsi="宋体" w:eastAsia="宋体" w:cs="宋体"/>
                <w:i w:val="0"/>
                <w:iCs w:val="0"/>
                <w:color w:val="auto"/>
                <w:sz w:val="24"/>
                <w:szCs w:val="24"/>
              </w:rPr>
            </w:pPr>
          </w:p>
        </w:tc>
        <w:tc>
          <w:tcPr>
            <w:tcW w:w="1243" w:type="pct"/>
            <w:noWrap w:val="0"/>
            <w:vAlign w:val="top"/>
          </w:tcPr>
          <w:p w14:paraId="737A7F0A">
            <w:pPr>
              <w:rPr>
                <w:rFonts w:hint="eastAsia" w:ascii="宋体" w:hAnsi="宋体" w:eastAsia="宋体" w:cs="宋体"/>
                <w:i w:val="0"/>
                <w:iCs w:val="0"/>
                <w:color w:val="auto"/>
                <w:sz w:val="24"/>
                <w:szCs w:val="24"/>
              </w:rPr>
            </w:pPr>
          </w:p>
        </w:tc>
        <w:tc>
          <w:tcPr>
            <w:tcW w:w="1246" w:type="pct"/>
            <w:noWrap w:val="0"/>
            <w:vAlign w:val="top"/>
          </w:tcPr>
          <w:p w14:paraId="6AA4C10E">
            <w:pPr>
              <w:rPr>
                <w:rFonts w:hint="eastAsia" w:ascii="宋体" w:hAnsi="宋体" w:eastAsia="宋体" w:cs="宋体"/>
                <w:i w:val="0"/>
                <w:iCs w:val="0"/>
                <w:color w:val="auto"/>
                <w:sz w:val="24"/>
                <w:szCs w:val="24"/>
              </w:rPr>
            </w:pPr>
          </w:p>
        </w:tc>
      </w:tr>
      <w:tr w14:paraId="4CEBF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246" w:type="pct"/>
            <w:noWrap w:val="0"/>
            <w:vAlign w:val="top"/>
          </w:tcPr>
          <w:p w14:paraId="62AB433F">
            <w:pPr>
              <w:rPr>
                <w:rFonts w:hint="eastAsia" w:ascii="宋体" w:hAnsi="宋体" w:eastAsia="宋体" w:cs="宋体"/>
                <w:i w:val="0"/>
                <w:iCs w:val="0"/>
                <w:color w:val="auto"/>
                <w:sz w:val="24"/>
                <w:szCs w:val="24"/>
              </w:rPr>
            </w:pPr>
          </w:p>
        </w:tc>
        <w:tc>
          <w:tcPr>
            <w:tcW w:w="1263" w:type="pct"/>
            <w:noWrap w:val="0"/>
            <w:vAlign w:val="top"/>
          </w:tcPr>
          <w:p w14:paraId="5E6339CF">
            <w:pPr>
              <w:rPr>
                <w:rFonts w:hint="eastAsia" w:ascii="宋体" w:hAnsi="宋体" w:eastAsia="宋体" w:cs="宋体"/>
                <w:i w:val="0"/>
                <w:iCs w:val="0"/>
                <w:color w:val="auto"/>
                <w:sz w:val="24"/>
                <w:szCs w:val="24"/>
              </w:rPr>
            </w:pPr>
          </w:p>
        </w:tc>
        <w:tc>
          <w:tcPr>
            <w:tcW w:w="1243" w:type="pct"/>
            <w:noWrap w:val="0"/>
            <w:vAlign w:val="top"/>
          </w:tcPr>
          <w:p w14:paraId="43FEE60B">
            <w:pPr>
              <w:rPr>
                <w:rFonts w:hint="eastAsia" w:ascii="宋体" w:hAnsi="宋体" w:eastAsia="宋体" w:cs="宋体"/>
                <w:i w:val="0"/>
                <w:iCs w:val="0"/>
                <w:color w:val="auto"/>
                <w:sz w:val="24"/>
                <w:szCs w:val="24"/>
              </w:rPr>
            </w:pPr>
          </w:p>
        </w:tc>
        <w:tc>
          <w:tcPr>
            <w:tcW w:w="1246" w:type="pct"/>
            <w:noWrap w:val="0"/>
            <w:vAlign w:val="top"/>
          </w:tcPr>
          <w:p w14:paraId="533A691D">
            <w:pPr>
              <w:rPr>
                <w:rFonts w:hint="eastAsia" w:ascii="宋体" w:hAnsi="宋体" w:eastAsia="宋体" w:cs="宋体"/>
                <w:i w:val="0"/>
                <w:iCs w:val="0"/>
                <w:color w:val="auto"/>
                <w:sz w:val="24"/>
                <w:szCs w:val="24"/>
              </w:rPr>
            </w:pPr>
          </w:p>
        </w:tc>
      </w:tr>
      <w:tr w14:paraId="1F818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246" w:type="pct"/>
            <w:noWrap w:val="0"/>
            <w:vAlign w:val="top"/>
          </w:tcPr>
          <w:p w14:paraId="22881FB5">
            <w:pPr>
              <w:rPr>
                <w:rFonts w:hint="eastAsia" w:ascii="宋体" w:hAnsi="宋体" w:eastAsia="宋体" w:cs="宋体"/>
                <w:i w:val="0"/>
                <w:iCs w:val="0"/>
                <w:color w:val="auto"/>
                <w:sz w:val="24"/>
                <w:szCs w:val="24"/>
              </w:rPr>
            </w:pPr>
          </w:p>
        </w:tc>
        <w:tc>
          <w:tcPr>
            <w:tcW w:w="1263" w:type="pct"/>
            <w:noWrap w:val="0"/>
            <w:vAlign w:val="top"/>
          </w:tcPr>
          <w:p w14:paraId="17DE4E60">
            <w:pPr>
              <w:rPr>
                <w:rFonts w:hint="eastAsia" w:ascii="宋体" w:hAnsi="宋体" w:eastAsia="宋体" w:cs="宋体"/>
                <w:i w:val="0"/>
                <w:iCs w:val="0"/>
                <w:color w:val="auto"/>
                <w:sz w:val="24"/>
                <w:szCs w:val="24"/>
              </w:rPr>
            </w:pPr>
          </w:p>
        </w:tc>
        <w:tc>
          <w:tcPr>
            <w:tcW w:w="1243" w:type="pct"/>
            <w:noWrap w:val="0"/>
            <w:vAlign w:val="top"/>
          </w:tcPr>
          <w:p w14:paraId="5FA0A973">
            <w:pPr>
              <w:rPr>
                <w:rFonts w:hint="eastAsia" w:ascii="宋体" w:hAnsi="宋体" w:eastAsia="宋体" w:cs="宋体"/>
                <w:i w:val="0"/>
                <w:iCs w:val="0"/>
                <w:color w:val="auto"/>
                <w:sz w:val="24"/>
                <w:szCs w:val="24"/>
              </w:rPr>
            </w:pPr>
          </w:p>
        </w:tc>
        <w:tc>
          <w:tcPr>
            <w:tcW w:w="1246" w:type="pct"/>
            <w:noWrap w:val="0"/>
            <w:vAlign w:val="top"/>
          </w:tcPr>
          <w:p w14:paraId="7F9BB855">
            <w:pPr>
              <w:rPr>
                <w:rFonts w:hint="eastAsia" w:ascii="宋体" w:hAnsi="宋体" w:eastAsia="宋体" w:cs="宋体"/>
                <w:i w:val="0"/>
                <w:iCs w:val="0"/>
                <w:color w:val="auto"/>
                <w:sz w:val="24"/>
                <w:szCs w:val="24"/>
              </w:rPr>
            </w:pPr>
          </w:p>
        </w:tc>
      </w:tr>
      <w:tr w14:paraId="31E95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246" w:type="pct"/>
            <w:noWrap w:val="0"/>
            <w:vAlign w:val="top"/>
          </w:tcPr>
          <w:p w14:paraId="72AA340A">
            <w:pPr>
              <w:rPr>
                <w:rFonts w:hint="eastAsia" w:ascii="宋体" w:hAnsi="宋体" w:eastAsia="宋体" w:cs="宋体"/>
                <w:i w:val="0"/>
                <w:iCs w:val="0"/>
                <w:color w:val="auto"/>
                <w:sz w:val="24"/>
                <w:szCs w:val="24"/>
              </w:rPr>
            </w:pPr>
          </w:p>
        </w:tc>
        <w:tc>
          <w:tcPr>
            <w:tcW w:w="1263" w:type="pct"/>
            <w:noWrap w:val="0"/>
            <w:vAlign w:val="top"/>
          </w:tcPr>
          <w:p w14:paraId="66E2F7FB">
            <w:pPr>
              <w:rPr>
                <w:rFonts w:hint="eastAsia" w:ascii="宋体" w:hAnsi="宋体" w:eastAsia="宋体" w:cs="宋体"/>
                <w:i w:val="0"/>
                <w:iCs w:val="0"/>
                <w:color w:val="auto"/>
                <w:sz w:val="24"/>
                <w:szCs w:val="24"/>
              </w:rPr>
            </w:pPr>
          </w:p>
        </w:tc>
        <w:tc>
          <w:tcPr>
            <w:tcW w:w="1243" w:type="pct"/>
            <w:noWrap w:val="0"/>
            <w:vAlign w:val="top"/>
          </w:tcPr>
          <w:p w14:paraId="307165E1">
            <w:pPr>
              <w:rPr>
                <w:rFonts w:hint="eastAsia" w:ascii="宋体" w:hAnsi="宋体" w:eastAsia="宋体" w:cs="宋体"/>
                <w:i w:val="0"/>
                <w:iCs w:val="0"/>
                <w:color w:val="auto"/>
                <w:sz w:val="24"/>
                <w:szCs w:val="24"/>
              </w:rPr>
            </w:pPr>
          </w:p>
        </w:tc>
        <w:tc>
          <w:tcPr>
            <w:tcW w:w="1246" w:type="pct"/>
            <w:noWrap w:val="0"/>
            <w:vAlign w:val="top"/>
          </w:tcPr>
          <w:p w14:paraId="66B0010C">
            <w:pPr>
              <w:rPr>
                <w:rFonts w:hint="eastAsia" w:ascii="宋体" w:hAnsi="宋体" w:eastAsia="宋体" w:cs="宋体"/>
                <w:i w:val="0"/>
                <w:iCs w:val="0"/>
                <w:color w:val="auto"/>
                <w:sz w:val="24"/>
                <w:szCs w:val="24"/>
              </w:rPr>
            </w:pPr>
          </w:p>
        </w:tc>
      </w:tr>
      <w:tr w14:paraId="56BFE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6" w:type="pct"/>
            <w:noWrap w:val="0"/>
            <w:vAlign w:val="top"/>
          </w:tcPr>
          <w:p w14:paraId="5825C7F4">
            <w:pPr>
              <w:pStyle w:val="75"/>
              <w:spacing w:before="165" w:line="221" w:lineRule="auto"/>
              <w:ind w:left="745"/>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6"/>
                <w:sz w:val="24"/>
                <w:szCs w:val="24"/>
              </w:rPr>
              <w:t>合计</w:t>
            </w:r>
          </w:p>
        </w:tc>
        <w:tc>
          <w:tcPr>
            <w:tcW w:w="1263" w:type="pct"/>
            <w:noWrap w:val="0"/>
            <w:vAlign w:val="top"/>
          </w:tcPr>
          <w:p w14:paraId="0A035475">
            <w:pPr>
              <w:rPr>
                <w:rFonts w:hint="eastAsia" w:ascii="宋体" w:hAnsi="宋体" w:eastAsia="宋体" w:cs="宋体"/>
                <w:i w:val="0"/>
                <w:iCs w:val="0"/>
                <w:color w:val="auto"/>
                <w:sz w:val="24"/>
                <w:szCs w:val="24"/>
              </w:rPr>
            </w:pPr>
          </w:p>
        </w:tc>
        <w:tc>
          <w:tcPr>
            <w:tcW w:w="1243" w:type="pct"/>
            <w:noWrap w:val="0"/>
            <w:vAlign w:val="top"/>
          </w:tcPr>
          <w:p w14:paraId="62E6C08F">
            <w:pPr>
              <w:rPr>
                <w:rFonts w:hint="eastAsia" w:ascii="宋体" w:hAnsi="宋体" w:eastAsia="宋体" w:cs="宋体"/>
                <w:i w:val="0"/>
                <w:iCs w:val="0"/>
                <w:color w:val="auto"/>
                <w:sz w:val="24"/>
                <w:szCs w:val="24"/>
              </w:rPr>
            </w:pPr>
          </w:p>
        </w:tc>
        <w:tc>
          <w:tcPr>
            <w:tcW w:w="1246" w:type="pct"/>
            <w:noWrap w:val="0"/>
            <w:vAlign w:val="top"/>
          </w:tcPr>
          <w:p w14:paraId="00016BEA">
            <w:pPr>
              <w:rPr>
                <w:rFonts w:hint="eastAsia" w:ascii="宋体" w:hAnsi="宋体" w:eastAsia="宋体" w:cs="宋体"/>
                <w:i w:val="0"/>
                <w:iCs w:val="0"/>
                <w:color w:val="auto"/>
                <w:sz w:val="24"/>
                <w:szCs w:val="24"/>
              </w:rPr>
            </w:pPr>
          </w:p>
        </w:tc>
      </w:tr>
    </w:tbl>
    <w:p w14:paraId="45F3C466">
      <w:pPr>
        <w:spacing w:before="140" w:line="227" w:lineRule="auto"/>
        <w:ind w:left="187"/>
        <w:rPr>
          <w:rFonts w:hint="eastAsia" w:ascii="宋体" w:hAnsi="宋体" w:eastAsia="宋体" w:cs="宋体"/>
          <w:i w:val="0"/>
          <w:iCs w:val="0"/>
          <w:color w:val="auto"/>
          <w:sz w:val="21"/>
          <w:szCs w:val="21"/>
        </w:rPr>
      </w:pPr>
      <w:r>
        <w:rPr>
          <w:rFonts w:hint="eastAsia" w:ascii="宋体" w:hAnsi="宋体" w:eastAsia="宋体" w:cs="宋体"/>
          <w:i w:val="0"/>
          <w:iCs w:val="0"/>
          <w:color w:val="auto"/>
          <w:spacing w:val="11"/>
          <w:sz w:val="21"/>
          <w:szCs w:val="21"/>
        </w:rPr>
        <w:t>注</w:t>
      </w:r>
      <w:r>
        <w:rPr>
          <w:rFonts w:hint="eastAsia" w:ascii="宋体" w:hAnsi="宋体" w:eastAsia="宋体" w:cs="宋体"/>
          <w:i w:val="0"/>
          <w:iCs w:val="0"/>
          <w:color w:val="auto"/>
          <w:spacing w:val="-18"/>
          <w:sz w:val="21"/>
          <w:szCs w:val="21"/>
        </w:rPr>
        <w:t>：</w:t>
      </w:r>
      <w:r>
        <w:rPr>
          <w:rFonts w:hint="eastAsia" w:ascii="宋体" w:hAnsi="宋体" w:eastAsia="宋体" w:cs="宋体"/>
          <w:i w:val="0"/>
          <w:iCs w:val="0"/>
          <w:color w:val="auto"/>
          <w:spacing w:val="-18"/>
          <w:sz w:val="21"/>
          <w:szCs w:val="21"/>
          <w:lang w:eastAsia="zh-CN"/>
        </w:rPr>
        <w:t>（</w:t>
      </w:r>
      <w:r>
        <w:rPr>
          <w:rFonts w:hint="eastAsia" w:ascii="宋体" w:hAnsi="宋体" w:eastAsia="宋体" w:cs="宋体"/>
          <w:i w:val="0"/>
          <w:iCs w:val="0"/>
          <w:color w:val="auto"/>
          <w:spacing w:val="-18"/>
          <w:sz w:val="21"/>
          <w:szCs w:val="21"/>
          <w:lang w:val="en-US" w:eastAsia="zh-CN"/>
        </w:rPr>
        <w:t>1</w:t>
      </w:r>
      <w:r>
        <w:rPr>
          <w:rFonts w:hint="eastAsia" w:ascii="宋体" w:hAnsi="宋体" w:eastAsia="宋体" w:cs="宋体"/>
          <w:i w:val="0"/>
          <w:iCs w:val="0"/>
          <w:color w:val="auto"/>
          <w:spacing w:val="-18"/>
          <w:sz w:val="21"/>
          <w:szCs w:val="21"/>
          <w:lang w:eastAsia="zh-CN"/>
        </w:rPr>
        <w:t>）</w:t>
      </w:r>
      <w:r>
        <w:rPr>
          <w:rFonts w:hint="eastAsia" w:ascii="宋体" w:hAnsi="宋体" w:eastAsia="宋体" w:cs="宋体"/>
          <w:i w:val="0"/>
          <w:iCs w:val="0"/>
          <w:color w:val="auto"/>
          <w:spacing w:val="11"/>
          <w:sz w:val="21"/>
          <w:szCs w:val="21"/>
        </w:rPr>
        <w:t>投标人应逐项填写本表，指出全部临时设施用地面积以</w:t>
      </w:r>
      <w:r>
        <w:rPr>
          <w:rFonts w:hint="eastAsia" w:ascii="宋体" w:hAnsi="宋体" w:eastAsia="宋体" w:cs="宋体"/>
          <w:i w:val="0"/>
          <w:iCs w:val="0"/>
          <w:color w:val="auto"/>
          <w:spacing w:val="10"/>
          <w:sz w:val="21"/>
          <w:szCs w:val="21"/>
        </w:rPr>
        <w:t>及详细用途。</w:t>
      </w:r>
    </w:p>
    <w:p w14:paraId="6B3539FE">
      <w:pPr>
        <w:spacing w:before="246" w:line="227" w:lineRule="auto"/>
        <w:ind w:left="634"/>
        <w:rPr>
          <w:rFonts w:hint="eastAsia" w:ascii="宋体" w:hAnsi="宋体" w:eastAsia="宋体" w:cs="宋体"/>
          <w:i w:val="0"/>
          <w:iCs w:val="0"/>
          <w:color w:val="auto"/>
          <w:sz w:val="21"/>
          <w:szCs w:val="21"/>
        </w:rPr>
      </w:pPr>
      <w:r>
        <w:rPr>
          <w:rFonts w:hint="eastAsia" w:ascii="宋体" w:hAnsi="宋体" w:eastAsia="宋体" w:cs="宋体"/>
          <w:i w:val="0"/>
          <w:iCs w:val="0"/>
          <w:color w:val="auto"/>
          <w:spacing w:val="7"/>
          <w:sz w:val="21"/>
          <w:szCs w:val="21"/>
          <w:lang w:eastAsia="zh-CN"/>
        </w:rPr>
        <w:t>（</w:t>
      </w:r>
      <w:r>
        <w:rPr>
          <w:rFonts w:hint="eastAsia" w:ascii="宋体" w:hAnsi="宋体" w:eastAsia="宋体" w:cs="宋体"/>
          <w:i w:val="0"/>
          <w:iCs w:val="0"/>
          <w:color w:val="auto"/>
          <w:spacing w:val="7"/>
          <w:sz w:val="21"/>
          <w:szCs w:val="21"/>
          <w:lang w:val="en-US" w:eastAsia="zh-CN"/>
        </w:rPr>
        <w:t>2</w:t>
      </w:r>
      <w:r>
        <w:rPr>
          <w:rFonts w:hint="eastAsia" w:ascii="宋体" w:hAnsi="宋体" w:eastAsia="宋体" w:cs="宋体"/>
          <w:i w:val="0"/>
          <w:iCs w:val="0"/>
          <w:color w:val="auto"/>
          <w:spacing w:val="7"/>
          <w:sz w:val="21"/>
          <w:szCs w:val="21"/>
          <w:lang w:eastAsia="zh-CN"/>
        </w:rPr>
        <w:t>）</w:t>
      </w:r>
      <w:r>
        <w:rPr>
          <w:rFonts w:hint="eastAsia" w:ascii="宋体" w:hAnsi="宋体" w:eastAsia="宋体" w:cs="宋体"/>
          <w:i w:val="0"/>
          <w:iCs w:val="0"/>
          <w:color w:val="auto"/>
          <w:spacing w:val="7"/>
          <w:sz w:val="21"/>
          <w:szCs w:val="21"/>
        </w:rPr>
        <w:t>若本表不够，可加附页。</w:t>
      </w:r>
    </w:p>
    <w:p w14:paraId="59B34C43">
      <w:pPr>
        <w:spacing w:line="227" w:lineRule="auto"/>
        <w:rPr>
          <w:rFonts w:ascii="宋体" w:hAnsi="宋体" w:eastAsia="宋体" w:cs="宋体"/>
          <w:i w:val="0"/>
          <w:iCs w:val="0"/>
          <w:color w:val="auto"/>
          <w:sz w:val="20"/>
          <w:szCs w:val="20"/>
        </w:rPr>
        <w:sectPr>
          <w:footerReference r:id="rId29"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658F7F16">
      <w:pPr>
        <w:numPr>
          <w:ilvl w:val="0"/>
          <w:numId w:val="18"/>
        </w:numPr>
        <w:spacing w:before="88" w:line="224" w:lineRule="auto"/>
        <w:ind w:left="0" w:leftChars="0" w:firstLine="0" w:firstLineChars="0"/>
        <w:jc w:val="center"/>
        <w:outlineLvl w:val="1"/>
        <w:rPr>
          <w:rFonts w:hint="eastAsia" w:ascii="宋体" w:hAnsi="宋体" w:eastAsia="宋体" w:cs="宋体"/>
          <w:b/>
          <w:bCs/>
          <w:i w:val="0"/>
          <w:iCs w:val="0"/>
          <w:color w:val="auto"/>
          <w:spacing w:val="5"/>
          <w:sz w:val="28"/>
          <w:szCs w:val="28"/>
        </w:rPr>
      </w:pPr>
      <w:bookmarkStart w:id="3355" w:name="bookmark6"/>
      <w:bookmarkEnd w:id="3355"/>
      <w:bookmarkStart w:id="3356" w:name="_Toc914108526"/>
      <w:bookmarkStart w:id="3357" w:name="_Toc22639"/>
      <w:r>
        <w:rPr>
          <w:rFonts w:hint="eastAsia" w:ascii="宋体" w:hAnsi="宋体" w:eastAsia="宋体" w:cs="宋体"/>
          <w:b/>
          <w:bCs/>
          <w:i w:val="0"/>
          <w:iCs w:val="0"/>
          <w:color w:val="auto"/>
          <w:spacing w:val="5"/>
          <w:sz w:val="28"/>
          <w:szCs w:val="28"/>
        </w:rPr>
        <w:t>拟分包项目的管理方案</w:t>
      </w:r>
      <w:bookmarkEnd w:id="3356"/>
      <w:bookmarkEnd w:id="3357"/>
    </w:p>
    <w:p w14:paraId="2B6E65B2">
      <w:pPr>
        <w:numPr>
          <w:ilvl w:val="0"/>
          <w:numId w:val="0"/>
        </w:numPr>
        <w:spacing w:before="88" w:line="224" w:lineRule="auto"/>
        <w:ind w:leftChars="0"/>
        <w:jc w:val="both"/>
        <w:outlineLvl w:val="9"/>
        <w:rPr>
          <w:rFonts w:ascii="宋体" w:hAnsi="宋体" w:eastAsia="宋体" w:cs="宋体"/>
          <w:b/>
          <w:bCs/>
          <w:i w:val="0"/>
          <w:iCs w:val="0"/>
          <w:color w:val="auto"/>
          <w:spacing w:val="5"/>
          <w:sz w:val="35"/>
          <w:szCs w:val="35"/>
        </w:rPr>
      </w:pPr>
    </w:p>
    <w:p w14:paraId="2327C4E2">
      <w:pPr>
        <w:numPr>
          <w:ilvl w:val="0"/>
          <w:numId w:val="0"/>
        </w:numPr>
        <w:spacing w:before="88" w:line="224" w:lineRule="auto"/>
        <w:ind w:leftChars="0"/>
        <w:jc w:val="center"/>
        <w:outlineLvl w:val="1"/>
        <w:rPr>
          <w:rFonts w:hint="eastAsia" w:ascii="方正黑体_GBK" w:hAnsi="方正黑体_GBK" w:eastAsia="方正黑体_GBK" w:cs="方正黑体_GBK"/>
          <w:b w:val="0"/>
          <w:bCs w:val="0"/>
          <w:i w:val="0"/>
          <w:iCs w:val="0"/>
          <w:color w:val="auto"/>
          <w:spacing w:val="4"/>
          <w:sz w:val="44"/>
          <w:szCs w:val="44"/>
          <w:lang w:eastAsia="zh-CN"/>
        </w:rPr>
      </w:pPr>
      <w:r>
        <w:rPr>
          <w:rFonts w:ascii="宋体" w:hAnsi="宋体" w:eastAsia="宋体" w:cs="宋体"/>
          <w:b/>
          <w:bCs/>
          <w:i w:val="0"/>
          <w:iCs w:val="0"/>
          <w:color w:val="auto"/>
          <w:spacing w:val="5"/>
          <w:sz w:val="35"/>
          <w:szCs w:val="35"/>
        </w:rPr>
        <w:br w:type="page"/>
      </w:r>
      <w:bookmarkStart w:id="3358" w:name="bookmark7"/>
      <w:bookmarkEnd w:id="3358"/>
      <w:bookmarkStart w:id="3359" w:name="_Toc11047"/>
      <w:bookmarkStart w:id="3360" w:name="_Toc1483230534"/>
      <w:r>
        <w:rPr>
          <w:rFonts w:hint="eastAsia" w:ascii="宋体" w:hAnsi="宋体" w:eastAsia="宋体" w:cs="宋体"/>
          <w:b/>
          <w:bCs/>
          <w:i w:val="0"/>
          <w:iCs w:val="0"/>
          <w:color w:val="auto"/>
          <w:spacing w:val="5"/>
          <w:sz w:val="28"/>
          <w:szCs w:val="28"/>
          <w:lang w:eastAsia="zh-CN"/>
        </w:rPr>
        <w:t>六、BIM工作方案</w:t>
      </w:r>
      <w:bookmarkEnd w:id="3359"/>
    </w:p>
    <w:p w14:paraId="5B3776EB">
      <w:pPr>
        <w:numPr>
          <w:ilvl w:val="0"/>
          <w:numId w:val="0"/>
        </w:numPr>
        <w:spacing w:before="88" w:line="224" w:lineRule="auto"/>
        <w:ind w:leftChars="0"/>
        <w:jc w:val="center"/>
        <w:outlineLvl w:val="1"/>
        <w:rPr>
          <w:rFonts w:hint="eastAsia" w:ascii="方正黑体_GBK" w:hAnsi="方正黑体_GBK" w:eastAsia="方正黑体_GBK" w:cs="方正黑体_GBK"/>
          <w:b w:val="0"/>
          <w:bCs w:val="0"/>
          <w:i w:val="0"/>
          <w:iCs w:val="0"/>
          <w:color w:val="auto"/>
          <w:spacing w:val="4"/>
          <w:sz w:val="44"/>
          <w:szCs w:val="44"/>
          <w:lang w:eastAsia="zh-CN"/>
        </w:rPr>
      </w:pPr>
      <w:r>
        <w:rPr>
          <w:rFonts w:ascii="宋体" w:hAnsi="宋体" w:eastAsia="宋体" w:cs="宋体"/>
          <w:b/>
          <w:bCs/>
          <w:i w:val="0"/>
          <w:iCs w:val="0"/>
          <w:color w:val="auto"/>
          <w:spacing w:val="5"/>
          <w:sz w:val="35"/>
          <w:szCs w:val="35"/>
        </w:rPr>
        <w:br w:type="page"/>
      </w:r>
      <w:bookmarkStart w:id="3361" w:name="_Toc16408"/>
      <w:r>
        <w:rPr>
          <w:rFonts w:hint="eastAsia" w:ascii="宋体" w:hAnsi="宋体" w:eastAsia="宋体" w:cs="宋体"/>
          <w:b/>
          <w:bCs/>
          <w:i w:val="0"/>
          <w:iCs w:val="0"/>
          <w:color w:val="auto"/>
          <w:spacing w:val="4"/>
          <w:sz w:val="28"/>
          <w:szCs w:val="28"/>
          <w:lang w:val="en-US" w:eastAsia="zh-CN"/>
        </w:rPr>
        <w:t>七</w:t>
      </w:r>
      <w:r>
        <w:rPr>
          <w:rFonts w:hint="eastAsia" w:ascii="宋体" w:hAnsi="宋体" w:eastAsia="宋体" w:cs="宋体"/>
          <w:b/>
          <w:bCs/>
          <w:i w:val="0"/>
          <w:iCs w:val="0"/>
          <w:color w:val="auto"/>
          <w:spacing w:val="4"/>
          <w:sz w:val="28"/>
          <w:szCs w:val="28"/>
          <w:lang w:eastAsia="zh-CN"/>
        </w:rPr>
        <w:t>、</w:t>
      </w:r>
      <w:r>
        <w:rPr>
          <w:rFonts w:hint="eastAsia" w:ascii="宋体" w:hAnsi="宋体" w:eastAsia="宋体" w:cs="宋体"/>
          <w:b/>
          <w:bCs/>
          <w:i w:val="0"/>
          <w:iCs w:val="0"/>
          <w:color w:val="auto"/>
          <w:spacing w:val="4"/>
          <w:sz w:val="28"/>
          <w:szCs w:val="28"/>
        </w:rPr>
        <w:t>其他</w:t>
      </w:r>
      <w:r>
        <w:rPr>
          <w:rFonts w:hint="eastAsia" w:ascii="宋体" w:hAnsi="宋体" w:eastAsia="宋体" w:cs="宋体"/>
          <w:b/>
          <w:bCs/>
          <w:i w:val="0"/>
          <w:iCs w:val="0"/>
          <w:color w:val="auto"/>
          <w:spacing w:val="4"/>
          <w:sz w:val="28"/>
          <w:szCs w:val="28"/>
          <w:lang w:eastAsia="zh-CN"/>
        </w:rPr>
        <w:t>资料</w:t>
      </w:r>
      <w:bookmarkEnd w:id="3360"/>
      <w:bookmarkEnd w:id="3361"/>
    </w:p>
    <w:p w14:paraId="51931542">
      <w:pPr>
        <w:widowControl w:val="0"/>
        <w:numPr>
          <w:ilvl w:val="0"/>
          <w:numId w:val="0"/>
        </w:numPr>
        <w:spacing w:before="114" w:line="225" w:lineRule="auto"/>
        <w:jc w:val="both"/>
        <w:outlineLvl w:val="9"/>
        <w:rPr>
          <w:rFonts w:hint="eastAsia" w:ascii="宋体" w:hAnsi="宋体" w:eastAsia="宋体" w:cs="宋体"/>
          <w:b/>
          <w:bCs/>
          <w:i w:val="0"/>
          <w:iCs w:val="0"/>
          <w:color w:val="auto"/>
          <w:spacing w:val="4"/>
          <w:sz w:val="35"/>
          <w:szCs w:val="35"/>
          <w:lang w:eastAsia="zh-CN"/>
        </w:rPr>
      </w:pPr>
    </w:p>
    <w:p w14:paraId="3BC2EB44">
      <w:pPr>
        <w:widowControl w:val="0"/>
        <w:numPr>
          <w:ilvl w:val="0"/>
          <w:numId w:val="0"/>
        </w:numPr>
        <w:spacing w:before="114" w:line="225" w:lineRule="auto"/>
        <w:jc w:val="both"/>
        <w:outlineLvl w:val="9"/>
        <w:rPr>
          <w:rFonts w:hint="eastAsia" w:ascii="宋体" w:hAnsi="宋体" w:eastAsia="宋体" w:cs="宋体"/>
          <w:b/>
          <w:bCs/>
          <w:i w:val="0"/>
          <w:iCs w:val="0"/>
          <w:color w:val="auto"/>
          <w:spacing w:val="4"/>
          <w:sz w:val="35"/>
          <w:szCs w:val="35"/>
          <w:lang w:eastAsia="zh-CN"/>
        </w:rPr>
      </w:pPr>
    </w:p>
    <w:sectPr>
      <w:footerReference r:id="rId30"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331">
      <wne:acd wne:acdName="acd0"/>
    </wne:keymap>
  </wne:keymaps>
  <wne:acds>
    <wne:acd wne:argValue="AQAAAAE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STHeiti">
    <w:altName w:val="宋体"/>
    <w:panose1 w:val="00000000000000000000"/>
    <w:charset w:val="00"/>
    <w:family w:val="auto"/>
    <w:pitch w:val="default"/>
    <w:sig w:usb0="00000000" w:usb1="00000000" w:usb2="00000000"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方正楷体简体">
    <w:altName w:val="宋体"/>
    <w:panose1 w:val="00000000000000000000"/>
    <w:charset w:val="00"/>
    <w:family w:val="auto"/>
    <w:pitch w:val="default"/>
    <w:sig w:usb0="00000000" w:usb1="00000000" w:usb2="00000000" w:usb3="00000000" w:csb0="00040001" w:csb1="00000000"/>
  </w:font>
  <w:font w:name="CESI仿宋-GB2312">
    <w:altName w:val="微软雅黑"/>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6D67">
    <w:pPr>
      <w:spacing w:line="168" w:lineRule="auto"/>
      <w:ind w:left="4184"/>
      <w:rPr>
        <w:rFonts w:hint="default" w:ascii="Calibri" w:hAnsi="Calibri" w:eastAsia="宋体" w:cs="Calibri"/>
        <w:sz w:val="18"/>
        <w:szCs w:val="18"/>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19F0">
    <w:pPr>
      <w:pStyle w:val="2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D3B274">
                          <w:pPr>
                            <w:pStyle w:val="25"/>
                          </w:pPr>
                          <w:r>
                            <w:fldChar w:fldCharType="begin"/>
                          </w:r>
                          <w:r>
                            <w:instrText xml:space="preserve"> PAGE  \* MERGEFORMAT </w:instrText>
                          </w:r>
                          <w:r>
                            <w:fldChar w:fldCharType="separate"/>
                          </w:r>
                          <w:r>
                            <w:t>55</w:t>
                          </w:r>
                          <w:r>
                            <w:fldChar w:fldCharType="end"/>
                          </w:r>
                        </w:p>
                      </w:txbxContent>
                    </wps:txbx>
                    <wps:bodyPr vert="horz" wrap="none" lIns="0" tIns="0" rIns="0" bIns="0" anchor="t" anchorCtr="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p3w+98BAAC/AwAADgAAAGRycy9lMm9Eb2MueG1srVPBjtMwEL0j8Q+W&#10;7zTZSqA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lZ05YGvj5x/fzz9/nX9/Y&#10;6nnSp/ehorRbT4lxeA0Dbc3sD+RMtIcWbfoTIUZxUvd0UVcNkcl0abVcrUoKSYrNB8Iv7q97DPGt&#10;AsuSUXOk8WVVxfF9iGPqnJKqObjRxuQRGveXgzCTp0i9jz0mKw67YSK0g+ZEfOgdUJ0O8CtnPW1B&#10;zR0tPWfmnSOR08LMBs7GbjaEk3Sx5pGz0XwTx8U6eNT7Lq9aair4V4d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Ap3w+98BAAC/AwAADgAAAAAA&#10;AAABACAAAAAeAQAAZHJzL2Uyb0RvYy54bWxQSwUGAAAAAAYABgBZAQAAbwUAAAAA&#10;">
              <v:fill on="f" focussize="0,0"/>
              <v:stroke on="f"/>
              <v:imagedata o:title=""/>
              <o:lock v:ext="edit" aspectratio="f"/>
              <v:textbox inset="0mm,0mm,0mm,0mm" style="mso-fit-shape-to-text:t;">
                <w:txbxContent>
                  <w:p w14:paraId="60D3B274">
                    <w:pPr>
                      <w:pStyle w:val="2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F9DAC">
    <w:pPr>
      <w:pStyle w:val="25"/>
      <w:rPr>
        <w:rFonts w:hint="eastAsia" w:cs="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3358DB">
                          <w:pPr>
                            <w:pStyle w:val="25"/>
                          </w:pPr>
                          <w:r>
                            <w:fldChar w:fldCharType="begin"/>
                          </w:r>
                          <w:r>
                            <w:instrText xml:space="preserve"> PAGE  \* MERGEFORMAT </w:instrText>
                          </w:r>
                          <w:r>
                            <w:fldChar w:fldCharType="separate"/>
                          </w:r>
                          <w:r>
                            <w:t>57</w:t>
                          </w:r>
                          <w:r>
                            <w:fldChar w:fldCharType="end"/>
                          </w:r>
                        </w:p>
                      </w:txbxContent>
                    </wps:txbx>
                    <wps:bodyPr vert="horz" wrap="none" lIns="0" tIns="0" rIns="0" bIns="0" anchor="t" anchorCtr="0" upright="0">
                      <a:spAutoFit/>
                    </wps:bodyPr>
                  </wps:wsp>
                </a:graphicData>
              </a:graphic>
            </wp:anchor>
          </w:drawing>
        </mc:Choice>
        <mc:Fallback>
          <w:pict>
            <v:shape id="文本框 8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KR6AF3gEAAMADAAAOAAAAAAAA&#10;AAEAIAAAAB4BAABkcnMvZTJvRG9jLnhtbFBLBQYAAAAABgAGAFkBAABuBQAAAAA=&#10;">
              <v:fill on="f" focussize="0,0"/>
              <v:stroke on="f"/>
              <v:imagedata o:title=""/>
              <o:lock v:ext="edit" aspectratio="f"/>
              <v:textbox inset="0mm,0mm,0mm,0mm" style="mso-fit-shape-to-text:t;">
                <w:txbxContent>
                  <w:p w14:paraId="023358DB">
                    <w:pPr>
                      <w:pStyle w:val="2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DEED">
    <w:pPr>
      <w:spacing w:line="169" w:lineRule="auto"/>
      <w:ind w:left="406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BA20CC">
                          <w:pPr>
                            <w:pStyle w:val="25"/>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UpMx98BAAC/AwAADgAAAAAA&#10;AAABACAAAAAeAQAAZHJzL2Uyb0RvYy54bWxQSwUGAAAAAAYABgBZAQAAbwUAAAAA&#10;">
              <v:fill on="f" focussize="0,0"/>
              <v:stroke on="f"/>
              <v:imagedata o:title=""/>
              <o:lock v:ext="edit" aspectratio="f"/>
              <v:textbox inset="0mm,0mm,0mm,0mm" style="mso-fit-shape-to-text:t;">
                <w:txbxContent>
                  <w:p w14:paraId="14BA20CC">
                    <w:pPr>
                      <w:pStyle w:val="2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E42C">
    <w:pPr>
      <w:spacing w:line="169" w:lineRule="auto"/>
      <w:ind w:left="4064"/>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F6EE40">
                          <w:pPr>
                            <w:pStyle w:val="25"/>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YD5bd8BAAC/AwAADgAAAAAA&#10;AAABACAAAAAeAQAAZHJzL2Uyb0RvYy54bWxQSwUGAAAAAAYABgBZAQAAbwUAAAAA&#10;">
              <v:fill on="f" focussize="0,0"/>
              <v:stroke on="f"/>
              <v:imagedata o:title=""/>
              <o:lock v:ext="edit" aspectratio="f"/>
              <v:textbox inset="0mm,0mm,0mm,0mm" style="mso-fit-shape-to-text:t;">
                <w:txbxContent>
                  <w:p w14:paraId="17F6EE40">
                    <w:pPr>
                      <w:pStyle w:val="2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015A">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262AD0">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158</w:t>
                          </w:r>
                          <w:r>
                            <w:rPr>
                              <w:rFonts w:ascii="宋体" w:hAnsi="Times New Roman" w:eastAsia="宋体" w:cs="Times New Roman"/>
                              <w:kern w:val="0"/>
                              <w:sz w:val="18"/>
                              <w:szCs w:val="20"/>
                              <w:lang w:val="en-US" w:eastAsia="zh-CN" w:bidi="ar-SA"/>
                            </w:rPr>
                            <w:fldChar w:fldCharType="end"/>
                          </w:r>
                        </w:p>
                      </w:txbxContent>
                    </wps:txbx>
                    <wps:bodyPr vert="horz" wrap="none" lIns="0" tIns="0" rIns="0" bIns="0" anchor="t" anchorCtr="0" upright="1">
                      <a:spAutoFit/>
                    </wps:bodyPr>
                  </wps:wsp>
                </a:graphicData>
              </a:graphic>
            </wp:anchor>
          </w:drawing>
        </mc:Choice>
        <mc:Fallback>
          <w:pict>
            <v:shape id="文本框 10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mDnvgAQAAwQMAAA4AAAAA&#10;AAAAAQAgAAAAHgEAAGRycy9lMm9Eb2MueG1sUEsFBgAAAAAGAAYAWQEAAHAFAAAAAA==&#10;">
              <v:fill on="f" focussize="0,0"/>
              <v:stroke on="f"/>
              <v:imagedata o:title=""/>
              <o:lock v:ext="edit" aspectratio="f"/>
              <v:textbox inset="0mm,0mm,0mm,0mm" style="mso-fit-shape-to-text:t;">
                <w:txbxContent>
                  <w:p w14:paraId="2D262AD0">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158</w:t>
                    </w:r>
                    <w:r>
                      <w:rPr>
                        <w:rFonts w:ascii="宋体" w:hAnsi="Times New Roman" w:eastAsia="宋体" w:cs="Times New Roman"/>
                        <w:kern w:val="0"/>
                        <w:sz w:val="18"/>
                        <w:szCs w:val="20"/>
                        <w:lang w:val="en-US" w:eastAsia="zh-CN" w:bidi="ar-SA"/>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1628">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16431E">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160</w:t>
                          </w:r>
                          <w:r>
                            <w:rPr>
                              <w:rFonts w:ascii="宋体" w:hAnsi="Times New Roman" w:eastAsia="宋体" w:cs="Times New Roman"/>
                              <w:kern w:val="0"/>
                              <w:sz w:val="18"/>
                              <w:szCs w:val="20"/>
                              <w:lang w:val="en-US" w:eastAsia="zh-CN" w:bidi="ar-SA"/>
                            </w:rPr>
                            <w:fldChar w:fldCharType="end"/>
                          </w:r>
                        </w:p>
                      </w:txbxContent>
                    </wps:txbx>
                    <wps:bodyPr vert="horz" wrap="none" lIns="0" tIns="0" rIns="0" bIns="0" anchor="t" anchorCtr="0" upright="1">
                      <a:spAutoFit/>
                    </wps:bodyPr>
                  </wps:wsp>
                </a:graphicData>
              </a:graphic>
            </wp:anchor>
          </w:drawing>
        </mc:Choice>
        <mc:Fallback>
          <w:pict>
            <v:shape id="文本框 104"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z6jLgAQAAwQMAAA4AAAAA&#10;AAAAAQAgAAAAHgEAAGRycy9lMm9Eb2MueG1sUEsFBgAAAAAGAAYAWQEAAHAFAAAAAA==&#10;">
              <v:fill on="f" focussize="0,0"/>
              <v:stroke on="f"/>
              <v:imagedata o:title=""/>
              <o:lock v:ext="edit" aspectratio="f"/>
              <v:textbox inset="0mm,0mm,0mm,0mm" style="mso-fit-shape-to-text:t;">
                <w:txbxContent>
                  <w:p w14:paraId="6916431E">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160</w:t>
                    </w:r>
                    <w:r>
                      <w:rPr>
                        <w:rFonts w:ascii="宋体" w:hAnsi="Times New Roman" w:eastAsia="宋体" w:cs="Times New Roman"/>
                        <w:kern w:val="0"/>
                        <w:sz w:val="18"/>
                        <w:szCs w:val="20"/>
                        <w:lang w:val="en-US" w:eastAsia="zh-CN" w:bidi="ar-S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9D97C">
    <w:pPr>
      <w:spacing w:line="168" w:lineRule="auto"/>
      <w:ind w:left="0" w:leftChars="0" w:firstLine="0" w:firstLineChars="0"/>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1769BB">
                          <w:pPr>
                            <w:pStyle w:val="25"/>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sEdZr3gEAAMADAAAOAAAAAAAA&#10;AAEAIAAAAB4BAABkcnMvZTJvRG9jLnhtbFBLBQYAAAAABgAGAFkBAABuBQAAAAA=&#10;">
              <v:fill on="f" focussize="0,0"/>
              <v:stroke on="f"/>
              <v:imagedata o:title=""/>
              <o:lock v:ext="edit" aspectratio="f"/>
              <v:textbox inset="0mm,0mm,0mm,0mm" style="mso-fit-shape-to-text:t;">
                <w:txbxContent>
                  <w:p w14:paraId="0C1769BB">
                    <w:pPr>
                      <w:pStyle w:val="2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4930">
    <w:pPr>
      <w:spacing w:line="169" w:lineRule="auto"/>
      <w:ind w:left="4026"/>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920ED">
                          <w:pPr>
                            <w:pStyle w:val="25"/>
                          </w:pPr>
                          <w:r>
                            <w:fldChar w:fldCharType="begin"/>
                          </w:r>
                          <w:r>
                            <w:instrText xml:space="preserve"> PAGE  \* MERGEFORMAT </w:instrText>
                          </w:r>
                          <w:r>
                            <w:fldChar w:fldCharType="separate"/>
                          </w:r>
                          <w:r>
                            <w:t>44</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Jsad8BAADAAwAADgAAAGRycy9lMm9Eb2MueG1srVPBjtMwEL0j8Q+W&#10;7zTZSqA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0CYsOXPC0sTPP76ff/4+//rG&#10;nr9MAvU+VJR36ykzDq9hoOTZH8iZeA8t2vQnRoziJO/pIq8aIpPp0mq5WpUUkhSbD4Rf3F/3GOJb&#10;BZYlo+ZI88uyiuP7EMfUOSVVc3CjjckzNO4vB2EmT5F6H3tMVhx2w0RoB82J+NBDoDod4FfOelqD&#10;mjvaes7MO0cqp42ZDZyN3WwIJ+lizSNno/kmjpt18Kj3Xd611FTwrw6ROs0EUhtj7ak7GmyWYFrC&#10;tDl/nnPW/cPb3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5Jsad8BAADAAwAADgAAAAAA&#10;AAABACAAAAAeAQAAZHJzL2Uyb0RvYy54bWxQSwUGAAAAAAYABgBZAQAAbwUAAAAA&#10;">
              <v:fill on="f" focussize="0,0"/>
              <v:stroke on="f"/>
              <v:imagedata o:title=""/>
              <o:lock v:ext="edit" aspectratio="f"/>
              <v:textbox inset="0mm,0mm,0mm,0mm" style="mso-fit-shape-to-text:t;">
                <w:txbxContent>
                  <w:p w14:paraId="4AF920ED">
                    <w:pPr>
                      <w:pStyle w:val="2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ED13B">
    <w:pPr>
      <w:spacing w:line="168" w:lineRule="auto"/>
      <w:ind w:left="4026"/>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B9595E">
                          <w:pPr>
                            <w:pStyle w:val="25"/>
                          </w:pPr>
                          <w:r>
                            <w:fldChar w:fldCharType="begin"/>
                          </w:r>
                          <w:r>
                            <w:instrText xml:space="preserve"> PAGE  \* MERGEFORMAT </w:instrText>
                          </w:r>
                          <w:r>
                            <w:fldChar w:fldCharType="separate"/>
                          </w:r>
                          <w:r>
                            <w:t>46</w:t>
                          </w:r>
                          <w:r>
                            <w:fldChar w:fldCharType="end"/>
                          </w:r>
                        </w:p>
                      </w:txbxContent>
                    </wps:txbx>
                    <wps:bodyPr vert="horz" wrap="none" lIns="0" tIns="0" rIns="0" bIns="0" anchor="t" anchorCtr="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jLn98BAADAAwAADgAAAAAA&#10;AAABACAAAAAeAQAAZHJzL2Uyb0RvYy54bWxQSwUGAAAAAAYABgBZAQAAbwUAAAAA&#10;">
              <v:fill on="f" focussize="0,0"/>
              <v:stroke on="f"/>
              <v:imagedata o:title=""/>
              <o:lock v:ext="edit" aspectratio="f"/>
              <v:textbox inset="0mm,0mm,0mm,0mm" style="mso-fit-shape-to-text:t;">
                <w:txbxContent>
                  <w:p w14:paraId="0BB9595E">
                    <w:pPr>
                      <w:pStyle w:val="2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A5F8F">
    <w:pPr>
      <w:spacing w:line="168" w:lineRule="auto"/>
      <w:ind w:left="4026"/>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4C50D">
                          <w:pPr>
                            <w:pStyle w:val="25"/>
                          </w:pPr>
                          <w:r>
                            <w:fldChar w:fldCharType="begin"/>
                          </w:r>
                          <w:r>
                            <w:instrText xml:space="preserve"> PAGE  \* MERGEFORMAT </w:instrText>
                          </w:r>
                          <w:r>
                            <w:fldChar w:fldCharType="separate"/>
                          </w:r>
                          <w:r>
                            <w:t>47</w:t>
                          </w:r>
                          <w:r>
                            <w:fldChar w:fldCharType="end"/>
                          </w:r>
                        </w:p>
                      </w:txbxContent>
                    </wps:txbx>
                    <wps:bodyPr vert="horz" wrap="none" lIns="0" tIns="0" rIns="0" bIns="0" anchor="t" anchorCtr="0" upright="0">
                      <a:spAutoFit/>
                    </wps:bodyPr>
                  </wps:wsp>
                </a:graphicData>
              </a:graphic>
            </wp:anchor>
          </w:drawing>
        </mc:Choice>
        <mc:Fallback>
          <w:pict>
            <v:shape id="文本框 6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3B7Q+N8BAADAAwAADgAAAAAA&#10;AAABACAAAAAeAQAAZHJzL2Uyb0RvYy54bWxQSwUGAAAAAAYABgBZAQAAbwUAAAAA&#10;">
              <v:fill on="f" focussize="0,0"/>
              <v:stroke on="f"/>
              <v:imagedata o:title=""/>
              <o:lock v:ext="edit" aspectratio="f"/>
              <v:textbox inset="0mm,0mm,0mm,0mm" style="mso-fit-shape-to-text:t;">
                <w:txbxContent>
                  <w:p w14:paraId="3664C50D">
                    <w:pPr>
                      <w:pStyle w:val="2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937D">
    <w:pPr>
      <w:pStyle w:val="25"/>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7C09D">
                          <w:pPr>
                            <w:pStyle w:val="2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0"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Vjt98BAADAAwAADgAAAAAA&#10;AAABACAAAAAeAQAAZHJzL2Uyb0RvYy54bWxQSwUGAAAAAAYABgBZAQAAbwUAAAAA&#10;">
              <v:fill on="f" focussize="0,0"/>
              <v:stroke on="f"/>
              <v:imagedata o:title=""/>
              <o:lock v:ext="edit" aspectratio="f"/>
              <v:textbox inset="0mm,0mm,0mm,0mm" style="mso-fit-shape-to-text:t;">
                <w:txbxContent>
                  <w:p w14:paraId="3767C09D">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2A62">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D20AA">
                          <w:pPr>
                            <w:pStyle w:val="25"/>
                          </w:pPr>
                          <w:r>
                            <w:fldChar w:fldCharType="begin"/>
                          </w:r>
                          <w:r>
                            <w:instrText xml:space="preserve"> PAGE  \* MERGEFORMAT </w:instrText>
                          </w:r>
                          <w:r>
                            <w:fldChar w:fldCharType="separate"/>
                          </w:r>
                          <w:r>
                            <w:t>48</w:t>
                          </w:r>
                          <w:r>
                            <w:fldChar w:fldCharType="end"/>
                          </w:r>
                        </w:p>
                      </w:txbxContent>
                    </wps:txbx>
                    <wps:bodyPr vert="horz" wrap="none" lIns="0" tIns="0" rIns="0" bIns="0" anchor="t" anchorCtr="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KtrEy3gEAAMADAAAOAAAAAAAA&#10;AAEAIAAAAB4BAABkcnMvZTJvRG9jLnhtbFBLBQYAAAAABgAGAFkBAABuBQAAAAA=&#10;">
              <v:fill on="f" focussize="0,0"/>
              <v:stroke on="f"/>
              <v:imagedata o:title=""/>
              <o:lock v:ext="edit" aspectratio="f"/>
              <v:textbox inset="0mm,0mm,0mm,0mm" style="mso-fit-shape-to-text:t;">
                <w:txbxContent>
                  <w:p w14:paraId="383D20AA">
                    <w:pPr>
                      <w:pStyle w:val="2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FD08D">
    <w:pPr>
      <w:spacing w:line="169" w:lineRule="auto"/>
      <w:ind w:left="4095"/>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E0403">
                          <w:pPr>
                            <w:pStyle w:val="25"/>
                          </w:pPr>
                          <w:r>
                            <w:fldChar w:fldCharType="begin"/>
                          </w:r>
                          <w:r>
                            <w:instrText xml:space="preserve"> PAGE  \* MERGEFORMAT </w:instrText>
                          </w:r>
                          <w:r>
                            <w:fldChar w:fldCharType="separate"/>
                          </w:r>
                          <w:r>
                            <w:t>50</w:t>
                          </w:r>
                          <w:r>
                            <w:fldChar w:fldCharType="end"/>
                          </w:r>
                        </w:p>
                      </w:txbxContent>
                    </wps:txbx>
                    <wps:bodyPr vert="horz" wrap="none" lIns="0" tIns="0" rIns="0" bIns="0" anchor="t" anchorCtr="0" upright="0">
                      <a:spAutoFit/>
                    </wps:bodyPr>
                  </wps:wsp>
                </a:graphicData>
              </a:graphic>
            </wp:anchor>
          </w:drawing>
        </mc:Choice>
        <mc:Fallback>
          <w:pict>
            <v:shape id="文本框 6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tRoi93gEAAMADAAAOAAAAAAAA&#10;AAEAIAAAAB4BAABkcnMvZTJvRG9jLnhtbFBLBQYAAAAABgAGAFkBAABuBQAAAAA=&#10;">
              <v:fill on="f" focussize="0,0"/>
              <v:stroke on="f"/>
              <v:imagedata o:title=""/>
              <o:lock v:ext="edit" aspectratio="f"/>
              <v:textbox inset="0mm,0mm,0mm,0mm" style="mso-fit-shape-to-text:t;">
                <w:txbxContent>
                  <w:p w14:paraId="093E0403">
                    <w:pPr>
                      <w:pStyle w:val="2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3BDD">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5822D5">
                          <w:pPr>
                            <w:pStyle w:val="25"/>
                          </w:pPr>
                          <w:r>
                            <w:fldChar w:fldCharType="begin"/>
                          </w:r>
                          <w:r>
                            <w:instrText xml:space="preserve"> PAGE  \* MERGEFORMAT </w:instrText>
                          </w:r>
                          <w:r>
                            <w:fldChar w:fldCharType="separate"/>
                          </w:r>
                          <w:r>
                            <w:t>51</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NOHt8BAADAAwAADgAAAGRycy9lMm9Eb2MueG1srVPNjtMwEL4j8Q6W&#10;7zTZCq1K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0Ca84MwJSxM/f/92/vHr/PMr&#10;u36e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GNOHt8BAADAAwAADgAAAAAA&#10;AAABACAAAAAeAQAAZHJzL2Uyb0RvYy54bWxQSwUGAAAAAAYABgBZAQAAbwUAAAAA&#10;">
              <v:fill on="f" focussize="0,0"/>
              <v:stroke on="f"/>
              <v:imagedata o:title=""/>
              <o:lock v:ext="edit" aspectratio="f"/>
              <v:textbox inset="0mm,0mm,0mm,0mm" style="mso-fit-shape-to-text:t;">
                <w:txbxContent>
                  <w:p w14:paraId="675822D5">
                    <w:pPr>
                      <w:pStyle w:val="25"/>
                    </w:pPr>
                    <w:r>
                      <w:fldChar w:fldCharType="begin"/>
                    </w:r>
                    <w:r>
                      <w:instrText xml:space="preserve"> PAGE  \* MERGEFORMAT </w:instrText>
                    </w:r>
                    <w:r>
                      <w:fldChar w:fldCharType="separate"/>
                    </w:r>
                    <w:r>
                      <w:t>51</w:t>
                    </w:r>
                    <w:r>
                      <w:fldChar w:fldCharType="end"/>
                    </w:r>
                  </w:p>
                </w:txbxContent>
              </v:textbox>
            </v:shape>
          </w:pict>
        </mc:Fallback>
      </mc:AlternateContent>
    </w:r>
    <w:r>
      <w:rPr>
        <w:rFonts w:ascii="Calibri" w:hAnsi="Calibri" w:eastAsia="Calibri" w:cs="Calibri"/>
        <w:spacing w:val="-6"/>
        <w:sz w:val="18"/>
        <w:szCs w:val="18"/>
      </w:rPr>
      <w:t>119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4A7D">
    <w:pPr>
      <w:spacing w:line="169" w:lineRule="auto"/>
      <w:ind w:left="4026"/>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179AEE">
                          <w:pPr>
                            <w:pStyle w:val="25"/>
                          </w:pPr>
                          <w:r>
                            <w:fldChar w:fldCharType="begin"/>
                          </w:r>
                          <w:r>
                            <w:instrText xml:space="preserve"> PAGE  \* MERGEFORMAT </w:instrText>
                          </w:r>
                          <w:r>
                            <w:fldChar w:fldCharType="separate"/>
                          </w:r>
                          <w:r>
                            <w:t>52</w:t>
                          </w:r>
                          <w:r>
                            <w:fldChar w:fldCharType="end"/>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OGQ398BAADAAwAADgAAAAAA&#10;AAABACAAAAAeAQAAZHJzL2Uyb0RvYy54bWxQSwUGAAAAAAYABgBZAQAAbwUAAAAA&#10;">
              <v:fill on="f" focussize="0,0"/>
              <v:stroke on="f"/>
              <v:imagedata o:title=""/>
              <o:lock v:ext="edit" aspectratio="f"/>
              <v:textbox inset="0mm,0mm,0mm,0mm" style="mso-fit-shape-to-text:t;">
                <w:txbxContent>
                  <w:p w14:paraId="39179AEE">
                    <w:pPr>
                      <w:pStyle w:val="2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F2952">
    <w:pPr>
      <w:pStyle w:val="25"/>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5473B">
                          <w:pPr>
                            <w:pStyle w:val="25"/>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0pWRNt8BAADAAwAADgAAAAAA&#10;AAABACAAAAAeAQAAZHJzL2Uyb0RvYy54bWxQSwUGAAAAAAYABgBZAQAAbwUAAAAA&#10;">
              <v:fill on="f" focussize="0,0"/>
              <v:stroke on="f"/>
              <v:imagedata o:title=""/>
              <o:lock v:ext="edit" aspectratio="f"/>
              <v:textbox inset="0mm,0mm,0mm,0mm" style="mso-fit-shape-to-text:t;">
                <w:txbxContent>
                  <w:p w14:paraId="4545473B">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0219">
    <w:pPr>
      <w:spacing w:line="168" w:lineRule="auto"/>
      <w:ind w:left="4376"/>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49A33">
                          <w:pPr>
                            <w:pStyle w:val="25"/>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JpBjAt8BAADAAwAADgAAAAAA&#10;AAABACAAAAAeAQAAZHJzL2Uyb0RvYy54bWxQSwUGAAAAAAYABgBZAQAAbwUAAAAA&#10;">
              <v:fill on="f" focussize="0,0"/>
              <v:stroke on="f"/>
              <v:imagedata o:title=""/>
              <o:lock v:ext="edit" aspectratio="f"/>
              <v:textbox inset="0mm,0mm,0mm,0mm" style="mso-fit-shape-to-text:t;">
                <w:txbxContent>
                  <w:p w14:paraId="75F49A33">
                    <w:pPr>
                      <w:pStyle w:val="2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C675">
    <w:pPr>
      <w:spacing w:line="168" w:lineRule="auto"/>
      <w:ind w:left="4376"/>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BECF1">
                          <w:pPr>
                            <w:pStyle w:val="25"/>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4eMaN8BAAC/AwAADgAAAAAA&#10;AAABACAAAAAeAQAAZHJzL2Uyb0RvYy54bWxQSwUGAAAAAAYABgBZAQAAbwUAAAAA&#10;">
              <v:fill on="f" focussize="0,0"/>
              <v:stroke on="f"/>
              <v:imagedata o:title=""/>
              <o:lock v:ext="edit" aspectratio="f"/>
              <v:textbox inset="0mm,0mm,0mm,0mm" style="mso-fit-shape-to-text:t;">
                <w:txbxContent>
                  <w:p w14:paraId="252BECF1">
                    <w:pPr>
                      <w:pStyle w:val="2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E8A9">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2EAAE9">
                          <w:pPr>
                            <w:pStyle w:val="25"/>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vim/98BAAC/AwAADgAAAAAA&#10;AAABACAAAAAeAQAAZHJzL2Uyb0RvYy54bWxQSwUGAAAAAAYABgBZAQAAbwUAAAAA&#10;">
              <v:fill on="f" focussize="0,0"/>
              <v:stroke on="f"/>
              <v:imagedata o:title=""/>
              <o:lock v:ext="edit" aspectratio="f"/>
              <v:textbox inset="0mm,0mm,0mm,0mm" style="mso-fit-shape-to-text:t;">
                <w:txbxContent>
                  <w:p w14:paraId="552EAAE9">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15E3B">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5B7C4">
    <w:pPr>
      <w:pStyle w:val="25"/>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6E266">
                          <w:pPr>
                            <w:pStyle w:val="25"/>
                          </w:pPr>
                          <w:r>
                            <w:fldChar w:fldCharType="begin"/>
                          </w:r>
                          <w:r>
                            <w:instrText xml:space="preserve"> PAGE  \* MERGEFORMAT </w:instrText>
                          </w:r>
                          <w:r>
                            <w:fldChar w:fldCharType="separate"/>
                          </w:r>
                          <w:r>
                            <w:t>51</w:t>
                          </w:r>
                          <w:r>
                            <w:fldChar w:fldCharType="end"/>
                          </w:r>
                        </w:p>
                      </w:txbxContent>
                    </wps:txbx>
                    <wps:bodyPr vert="horz" wrap="none" lIns="0" tIns="0" rIns="0" bIns="0" anchor="t" anchorCtr="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EgP198BAAC/AwAADgAAAAAA&#10;AAABACAAAAAeAQAAZHJzL2Uyb0RvYy54bWxQSwUGAAAAAAYABgBZAQAAbwUAAAAA&#10;">
              <v:fill on="f" focussize="0,0"/>
              <v:stroke on="f"/>
              <v:imagedata o:title=""/>
              <o:lock v:ext="edit" aspectratio="f"/>
              <v:textbox inset="0mm,0mm,0mm,0mm" style="mso-fit-shape-to-text:t;">
                <w:txbxContent>
                  <w:p w14:paraId="4AA6E266">
                    <w:pPr>
                      <w:pStyle w:val="2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74572">
    <w:pPr>
      <w:pStyle w:val="2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704D3">
                          <w:pPr>
                            <w:pStyle w:val="25"/>
                          </w:pPr>
                          <w:r>
                            <w:fldChar w:fldCharType="begin"/>
                          </w:r>
                          <w:r>
                            <w:instrText xml:space="preserve"> PAGE  \* MERGEFORMAT </w:instrText>
                          </w:r>
                          <w:r>
                            <w:fldChar w:fldCharType="separate"/>
                          </w:r>
                          <w:r>
                            <w:t>56</w:t>
                          </w:r>
                          <w:r>
                            <w:fldChar w:fldCharType="end"/>
                          </w:r>
                        </w:p>
                      </w:txbxContent>
                    </wps:txbx>
                    <wps:bodyPr vert="horz" wrap="none" lIns="0" tIns="0" rIns="0" bIns="0" anchor="t" anchorCtr="0" upright="0">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OnxE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Y0dicsDfz8/dv5x6/zz69s&#10;dZ306X2oKO3BU2Ic3sBAWzP7AzkT7aFFm/5EiFGc1D1d1FVDZDJdWi1Xq5JCkmLzgfCLx+seQ7xX&#10;YFkyao40vqyqOL4LcUydU1I1B3famDxC4/5yEGbyFKn3scdkxWE3TIR20JyID70DqtMBfuGspy2o&#10;uaOl58y8dSRyWpjZwNnYzYZwki7WPHI2mrdxXKyDR73v8qqlpoJ/fYjUaSaQ2hhrT93RXLME0w6m&#10;xfnznLMe39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06fES3gEAAL8DAAAOAAAAAAAA&#10;AAEAIAAAAB4BAABkcnMvZTJvRG9jLnhtbFBLBQYAAAAABgAGAFkBAABuBQAAAAA=&#10;">
              <v:fill on="f" focussize="0,0"/>
              <v:stroke on="f"/>
              <v:imagedata o:title=""/>
              <o:lock v:ext="edit" aspectratio="f"/>
              <v:textbox inset="0mm,0mm,0mm,0mm" style="mso-fit-shape-to-text:t;">
                <w:txbxContent>
                  <w:p w14:paraId="1AB704D3">
                    <w:pPr>
                      <w:pStyle w:val="2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A95F4">
    <w:pPr>
      <w:pStyle w:val="26"/>
      <w:pBdr>
        <w:top w:val="none" w:color="auto" w:sz="0" w:space="1"/>
        <w:left w:val="none" w:color="auto" w:sz="0" w:space="4"/>
        <w:bottom w:val="none" w:color="auto" w:sz="0" w:space="1"/>
        <w:right w:val="none" w:color="auto" w:sz="0" w:space="4"/>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25F35">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9D883">
    <w:pPr>
      <w:pStyle w:val="26"/>
      <w:pBdr>
        <w:top w:val="none" w:color="auto" w:sz="0" w:space="1"/>
        <w:left w:val="none" w:color="auto" w:sz="0" w:space="4"/>
        <w:bottom w:val="none" w:color="auto" w:sz="0" w:space="1"/>
        <w:right w:val="none" w:color="auto" w:sz="0" w:space="4"/>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EBD93"/>
    <w:multiLevelType w:val="singleLevel"/>
    <w:tmpl w:val="ABEEBD93"/>
    <w:lvl w:ilvl="0" w:tentative="0">
      <w:start w:val="1"/>
      <w:numFmt w:val="decimal"/>
      <w:lvlText w:val="%1."/>
      <w:lvlJc w:val="left"/>
      <w:pPr>
        <w:tabs>
          <w:tab w:val="left" w:pos="312"/>
        </w:tabs>
        <w:ind w:left="525" w:firstLine="0"/>
      </w:pPr>
    </w:lvl>
  </w:abstractNum>
  <w:abstractNum w:abstractNumId="1">
    <w:nsid w:val="ADE51680"/>
    <w:multiLevelType w:val="singleLevel"/>
    <w:tmpl w:val="ADE51680"/>
    <w:lvl w:ilvl="0" w:tentative="0">
      <w:start w:val="21"/>
      <w:numFmt w:val="decimal"/>
      <w:suff w:val="space"/>
      <w:lvlText w:val="第%1条"/>
      <w:lvlJc w:val="left"/>
    </w:lvl>
  </w:abstractNum>
  <w:abstractNum w:abstractNumId="2">
    <w:nsid w:val="BFE70F35"/>
    <w:multiLevelType w:val="singleLevel"/>
    <w:tmpl w:val="BFE70F35"/>
    <w:lvl w:ilvl="0" w:tentative="0">
      <w:start w:val="5"/>
      <w:numFmt w:val="chineseCounting"/>
      <w:suff w:val="nothing"/>
      <w:lvlText w:val="%1、"/>
      <w:lvlJc w:val="left"/>
      <w:rPr>
        <w:rFonts w:hint="eastAsia"/>
      </w:rPr>
    </w:lvl>
  </w:abstractNum>
  <w:abstractNum w:abstractNumId="3">
    <w:nsid w:val="DFFE10BA"/>
    <w:multiLevelType w:val="singleLevel"/>
    <w:tmpl w:val="DFFE10BA"/>
    <w:lvl w:ilvl="0" w:tentative="0">
      <w:start w:val="3"/>
      <w:numFmt w:val="decimal"/>
      <w:suff w:val="space"/>
      <w:lvlText w:val="%1."/>
      <w:lvlJc w:val="left"/>
    </w:lvl>
  </w:abstractNum>
  <w:abstractNum w:abstractNumId="4">
    <w:nsid w:val="E6FD7DEE"/>
    <w:multiLevelType w:val="singleLevel"/>
    <w:tmpl w:val="E6FD7DEE"/>
    <w:lvl w:ilvl="0" w:tentative="0">
      <w:start w:val="3"/>
      <w:numFmt w:val="chineseCounting"/>
      <w:suff w:val="nothing"/>
      <w:lvlText w:val="%1、"/>
      <w:lvlJc w:val="left"/>
      <w:rPr>
        <w:rFonts w:hint="eastAsia"/>
      </w:rPr>
    </w:lvl>
  </w:abstractNum>
  <w:abstractNum w:abstractNumId="5">
    <w:nsid w:val="ECFFD34E"/>
    <w:multiLevelType w:val="singleLevel"/>
    <w:tmpl w:val="ECFFD34E"/>
    <w:lvl w:ilvl="0" w:tentative="0">
      <w:start w:val="1"/>
      <w:numFmt w:val="chineseCounting"/>
      <w:suff w:val="nothing"/>
      <w:lvlText w:val="%1、"/>
      <w:lvlJc w:val="left"/>
      <w:rPr>
        <w:rFonts w:hint="eastAsia"/>
      </w:rPr>
    </w:lvl>
  </w:abstractNum>
  <w:abstractNum w:abstractNumId="6">
    <w:nsid w:val="F7DE599B"/>
    <w:multiLevelType w:val="singleLevel"/>
    <w:tmpl w:val="F7DE599B"/>
    <w:lvl w:ilvl="0" w:tentative="0">
      <w:start w:val="8"/>
      <w:numFmt w:val="chineseCounting"/>
      <w:suff w:val="nothing"/>
      <w:lvlText w:val="（%1）"/>
      <w:lvlJc w:val="left"/>
      <w:rPr>
        <w:rFonts w:hint="eastAsia"/>
      </w:rPr>
    </w:lvl>
  </w:abstractNum>
  <w:abstractNum w:abstractNumId="7">
    <w:nsid w:val="FDEC5D47"/>
    <w:multiLevelType w:val="singleLevel"/>
    <w:tmpl w:val="FDEC5D47"/>
    <w:lvl w:ilvl="0" w:tentative="0">
      <w:start w:val="1"/>
      <w:numFmt w:val="chineseCounting"/>
      <w:suff w:val="nothing"/>
      <w:lvlText w:val="（%1）"/>
      <w:lvlJc w:val="left"/>
      <w:pPr>
        <w:ind w:left="0" w:firstLine="420"/>
      </w:pPr>
      <w:rPr>
        <w:rFonts w:hint="eastAsia"/>
      </w:rPr>
    </w:lvl>
  </w:abstractNum>
  <w:abstractNum w:abstractNumId="8">
    <w:nsid w:val="00000000"/>
    <w:multiLevelType w:val="singleLevel"/>
    <w:tmpl w:val="00000000"/>
    <w:lvl w:ilvl="0" w:tentative="0">
      <w:start w:val="1"/>
      <w:numFmt w:val="decimal"/>
      <w:suff w:val="nothing"/>
      <w:lvlText w:val="%1、"/>
      <w:lvlJc w:val="left"/>
    </w:lvl>
  </w:abstractNum>
  <w:abstractNum w:abstractNumId="9">
    <w:nsid w:val="01E967D5"/>
    <w:multiLevelType w:val="multilevel"/>
    <w:tmpl w:val="01E967D5"/>
    <w:lvl w:ilvl="0" w:tentative="0">
      <w:start w:val="1"/>
      <w:numFmt w:val="chineseCountingThousand"/>
      <w:pStyle w:val="93"/>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BFE653"/>
    <w:multiLevelType w:val="singleLevel"/>
    <w:tmpl w:val="1FBFE653"/>
    <w:lvl w:ilvl="0" w:tentative="0">
      <w:start w:val="1"/>
      <w:numFmt w:val="decimal"/>
      <w:lvlText w:val="%1."/>
      <w:lvlJc w:val="left"/>
      <w:pPr>
        <w:ind w:left="425" w:hanging="425"/>
      </w:pPr>
      <w:rPr>
        <w:rFonts w:hint="default"/>
      </w:rPr>
    </w:lvl>
  </w:abstractNum>
  <w:abstractNum w:abstractNumId="1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2">
    <w:nsid w:val="3AA800C6"/>
    <w:multiLevelType w:val="multilevel"/>
    <w:tmpl w:val="3AA800C6"/>
    <w:lvl w:ilvl="0" w:tentative="0">
      <w:start w:val="1"/>
      <w:numFmt w:val="decimal"/>
      <w:pStyle w:val="86"/>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3">
    <w:nsid w:val="3E1F9928"/>
    <w:multiLevelType w:val="singleLevel"/>
    <w:tmpl w:val="3E1F9928"/>
    <w:lvl w:ilvl="0" w:tentative="0">
      <w:start w:val="1"/>
      <w:numFmt w:val="decimal"/>
      <w:lvlText w:val="%1."/>
      <w:lvlJc w:val="left"/>
      <w:pPr>
        <w:tabs>
          <w:tab w:val="left" w:pos="312"/>
        </w:tabs>
        <w:ind w:left="525" w:firstLine="0"/>
      </w:pPr>
    </w:lvl>
  </w:abstractNum>
  <w:abstractNum w:abstractNumId="14">
    <w:nsid w:val="62687BB6"/>
    <w:multiLevelType w:val="multilevel"/>
    <w:tmpl w:val="62687BB6"/>
    <w:lvl w:ilvl="0" w:tentative="0">
      <w:start w:val="1"/>
      <w:numFmt w:val="decimal"/>
      <w:pStyle w:val="92"/>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5">
    <w:nsid w:val="6CDE14CD"/>
    <w:multiLevelType w:val="singleLevel"/>
    <w:tmpl w:val="6CDE14CD"/>
    <w:lvl w:ilvl="0" w:tentative="0">
      <w:start w:val="1"/>
      <w:numFmt w:val="chineseCounting"/>
      <w:suff w:val="nothing"/>
      <w:lvlText w:val="%1、"/>
      <w:lvlJc w:val="left"/>
      <w:pPr>
        <w:ind w:left="0" w:firstLine="420"/>
      </w:pPr>
      <w:rPr>
        <w:rFonts w:hint="eastAsia"/>
      </w:rPr>
    </w:lvl>
  </w:abstractNum>
  <w:abstractNum w:abstractNumId="16">
    <w:nsid w:val="6E87019F"/>
    <w:multiLevelType w:val="multilevel"/>
    <w:tmpl w:val="6E87019F"/>
    <w:lvl w:ilvl="0" w:tentative="0">
      <w:start w:val="1"/>
      <w:numFmt w:val="chineseCountingThousand"/>
      <w:pStyle w:val="84"/>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6"/>
  </w:num>
  <w:num w:numId="2">
    <w:abstractNumId w:val="12"/>
  </w:num>
  <w:num w:numId="3">
    <w:abstractNumId w:val="11"/>
    <w:lvlOverride w:ilvl="0">
      <w:lvl w:ilvl="0" w:tentative="1">
        <w:start w:val="1"/>
        <w:numFmt w:val="decimal"/>
        <w:lvlText w:val="第%1条"/>
        <w:lvlJc w:val="left"/>
        <w:pPr>
          <w:ind w:left="0" w:firstLine="0"/>
        </w:pPr>
      </w:lvl>
    </w:lvlOverride>
    <w:lvlOverride w:ilvl="1">
      <w:lvl w:ilvl="1" w:tentative="1">
        <w:start w:val="1"/>
        <w:numFmt w:val="decimal"/>
        <w:pStyle w:val="87"/>
        <w:lvlText w:val="%1.%2"/>
        <w:lvlJc w:val="left"/>
        <w:pPr>
          <w:ind w:left="1843" w:firstLine="0"/>
        </w:pPr>
      </w:lvl>
    </w:lvlOverride>
    <w:lvlOverride w:ilvl="2">
      <w:lvl w:ilvl="2" w:tentative="1">
        <w:start w:val="1"/>
        <w:numFmt w:val="decimal"/>
        <w:pStyle w:val="88"/>
        <w:lvlText w:val="%1.%2.%3"/>
        <w:lvlJc w:val="left"/>
        <w:pPr>
          <w:ind w:left="2126" w:firstLine="0"/>
        </w:pPr>
      </w:lvl>
    </w:lvlOverride>
    <w:lvlOverride w:ilvl="3">
      <w:lvl w:ilvl="3" w:tentative="1">
        <w:start w:val="1"/>
        <w:numFmt w:val="decimal"/>
        <w:pStyle w:val="89"/>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4">
    <w:abstractNumId w:val="1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90"/>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14"/>
  </w:num>
  <w:num w:numId="6">
    <w:abstractNumId w:val="9"/>
  </w:num>
  <w:num w:numId="7">
    <w:abstractNumId w:val="3"/>
  </w:num>
  <w:num w:numId="8">
    <w:abstractNumId w:val="0"/>
  </w:num>
  <w:num w:numId="9">
    <w:abstractNumId w:val="13"/>
  </w:num>
  <w:num w:numId="10">
    <w:abstractNumId w:val="15"/>
  </w:num>
  <w:num w:numId="11">
    <w:abstractNumId w:val="5"/>
  </w:num>
  <w:num w:numId="12">
    <w:abstractNumId w:val="7"/>
  </w:num>
  <w:num w:numId="13">
    <w:abstractNumId w:val="10"/>
  </w:num>
  <w:num w:numId="14">
    <w:abstractNumId w:val="1"/>
  </w:num>
  <w:num w:numId="15">
    <w:abstractNumId w:val="6"/>
  </w:num>
  <w:num w:numId="16">
    <w:abstractNumId w:val="8"/>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YWNjOTdlZDY2YmJhZjc0Y2VkNDQxOTU4OGY1YzAifQ=="/>
  </w:docVars>
  <w:rsids>
    <w:rsidRoot w:val="00172A27"/>
    <w:rsid w:val="00055E5D"/>
    <w:rsid w:val="0007590A"/>
    <w:rsid w:val="00093552"/>
    <w:rsid w:val="00114993"/>
    <w:rsid w:val="002C4D4F"/>
    <w:rsid w:val="002E3496"/>
    <w:rsid w:val="002F2ED5"/>
    <w:rsid w:val="003167E3"/>
    <w:rsid w:val="003240FB"/>
    <w:rsid w:val="00347911"/>
    <w:rsid w:val="00373E2F"/>
    <w:rsid w:val="00387426"/>
    <w:rsid w:val="003D58B5"/>
    <w:rsid w:val="003F390C"/>
    <w:rsid w:val="00411A9D"/>
    <w:rsid w:val="004478EA"/>
    <w:rsid w:val="00471FAE"/>
    <w:rsid w:val="004B6AC5"/>
    <w:rsid w:val="005324FA"/>
    <w:rsid w:val="00582545"/>
    <w:rsid w:val="005E6175"/>
    <w:rsid w:val="005F771A"/>
    <w:rsid w:val="006171FF"/>
    <w:rsid w:val="00697A33"/>
    <w:rsid w:val="006A598D"/>
    <w:rsid w:val="00717A85"/>
    <w:rsid w:val="00770365"/>
    <w:rsid w:val="00792B81"/>
    <w:rsid w:val="007E0E9B"/>
    <w:rsid w:val="00871C83"/>
    <w:rsid w:val="008A06C3"/>
    <w:rsid w:val="008F16FC"/>
    <w:rsid w:val="00925008"/>
    <w:rsid w:val="009419F7"/>
    <w:rsid w:val="009A60FB"/>
    <w:rsid w:val="00A15DFC"/>
    <w:rsid w:val="00A75FAA"/>
    <w:rsid w:val="00B561ED"/>
    <w:rsid w:val="00BE5556"/>
    <w:rsid w:val="00C1197C"/>
    <w:rsid w:val="00C269F2"/>
    <w:rsid w:val="00CA01D7"/>
    <w:rsid w:val="00CD64B0"/>
    <w:rsid w:val="00CE5626"/>
    <w:rsid w:val="00CF1A5E"/>
    <w:rsid w:val="00D04253"/>
    <w:rsid w:val="00D90AFA"/>
    <w:rsid w:val="00DA51F4"/>
    <w:rsid w:val="00DE61D6"/>
    <w:rsid w:val="00E255C0"/>
    <w:rsid w:val="00E35088"/>
    <w:rsid w:val="00E45870"/>
    <w:rsid w:val="00EE2EE2"/>
    <w:rsid w:val="00F56AFD"/>
    <w:rsid w:val="00FA4243"/>
    <w:rsid w:val="00FE1955"/>
    <w:rsid w:val="00FF3037"/>
    <w:rsid w:val="015032A9"/>
    <w:rsid w:val="01B97F5E"/>
    <w:rsid w:val="01BE686A"/>
    <w:rsid w:val="01FF36AB"/>
    <w:rsid w:val="02216399"/>
    <w:rsid w:val="02515D67"/>
    <w:rsid w:val="02B81128"/>
    <w:rsid w:val="02EE6291"/>
    <w:rsid w:val="03103BAE"/>
    <w:rsid w:val="03241B15"/>
    <w:rsid w:val="0328729F"/>
    <w:rsid w:val="03924443"/>
    <w:rsid w:val="03F316B5"/>
    <w:rsid w:val="04393DEB"/>
    <w:rsid w:val="048A5A1F"/>
    <w:rsid w:val="04D20A2E"/>
    <w:rsid w:val="04DB6578"/>
    <w:rsid w:val="05106433"/>
    <w:rsid w:val="058563A0"/>
    <w:rsid w:val="05877546"/>
    <w:rsid w:val="05E530D0"/>
    <w:rsid w:val="062B114A"/>
    <w:rsid w:val="06AC6081"/>
    <w:rsid w:val="06B53BF0"/>
    <w:rsid w:val="06C92AC5"/>
    <w:rsid w:val="06CB6C05"/>
    <w:rsid w:val="06FA2BAB"/>
    <w:rsid w:val="07506B6D"/>
    <w:rsid w:val="08714180"/>
    <w:rsid w:val="099865FE"/>
    <w:rsid w:val="09C06963"/>
    <w:rsid w:val="0A640393"/>
    <w:rsid w:val="0A67549D"/>
    <w:rsid w:val="0ACD7D8C"/>
    <w:rsid w:val="0BD20AC5"/>
    <w:rsid w:val="0C364685"/>
    <w:rsid w:val="0C3E477E"/>
    <w:rsid w:val="0C592B33"/>
    <w:rsid w:val="0CF167FE"/>
    <w:rsid w:val="0D462C06"/>
    <w:rsid w:val="0D4F57ED"/>
    <w:rsid w:val="0D5E4A67"/>
    <w:rsid w:val="0D9D1FC6"/>
    <w:rsid w:val="0E0A3AA7"/>
    <w:rsid w:val="0EAC63D0"/>
    <w:rsid w:val="0EB820DD"/>
    <w:rsid w:val="0F004B97"/>
    <w:rsid w:val="0F0E655A"/>
    <w:rsid w:val="0F1B218D"/>
    <w:rsid w:val="0F3873F4"/>
    <w:rsid w:val="0F6576EC"/>
    <w:rsid w:val="0F672627"/>
    <w:rsid w:val="0FFF317D"/>
    <w:rsid w:val="100E76C7"/>
    <w:rsid w:val="1075004A"/>
    <w:rsid w:val="108014D9"/>
    <w:rsid w:val="10C54237"/>
    <w:rsid w:val="10CA1840"/>
    <w:rsid w:val="10CC55B8"/>
    <w:rsid w:val="10D4446D"/>
    <w:rsid w:val="111F61FB"/>
    <w:rsid w:val="11625F09"/>
    <w:rsid w:val="122F2853"/>
    <w:rsid w:val="1276646D"/>
    <w:rsid w:val="128D5696"/>
    <w:rsid w:val="13A71273"/>
    <w:rsid w:val="13FF3B95"/>
    <w:rsid w:val="147927FD"/>
    <w:rsid w:val="14B75BE3"/>
    <w:rsid w:val="14EB3C2A"/>
    <w:rsid w:val="14F047FC"/>
    <w:rsid w:val="15051099"/>
    <w:rsid w:val="1539FCC9"/>
    <w:rsid w:val="15933F29"/>
    <w:rsid w:val="159840D0"/>
    <w:rsid w:val="15D8757A"/>
    <w:rsid w:val="167B2618"/>
    <w:rsid w:val="16F969DB"/>
    <w:rsid w:val="17231925"/>
    <w:rsid w:val="174E2E3A"/>
    <w:rsid w:val="17FF3593"/>
    <w:rsid w:val="189B0F17"/>
    <w:rsid w:val="1962557A"/>
    <w:rsid w:val="19CD252F"/>
    <w:rsid w:val="19F6D4C7"/>
    <w:rsid w:val="1A3C2D19"/>
    <w:rsid w:val="1A53652A"/>
    <w:rsid w:val="1A555061"/>
    <w:rsid w:val="1A6F0B06"/>
    <w:rsid w:val="1AD31933"/>
    <w:rsid w:val="1B486183"/>
    <w:rsid w:val="1B981814"/>
    <w:rsid w:val="1BD27A58"/>
    <w:rsid w:val="1BFD3543"/>
    <w:rsid w:val="1C205716"/>
    <w:rsid w:val="1C3A48AA"/>
    <w:rsid w:val="1C437B3E"/>
    <w:rsid w:val="1CD16C2D"/>
    <w:rsid w:val="1CDDB179"/>
    <w:rsid w:val="1D150C5C"/>
    <w:rsid w:val="1D293D92"/>
    <w:rsid w:val="1D401C1D"/>
    <w:rsid w:val="1D742FC9"/>
    <w:rsid w:val="1D8F32EF"/>
    <w:rsid w:val="1DC419E5"/>
    <w:rsid w:val="1DF223D6"/>
    <w:rsid w:val="1E354105"/>
    <w:rsid w:val="1E93689F"/>
    <w:rsid w:val="1FED1AC7"/>
    <w:rsid w:val="20403611"/>
    <w:rsid w:val="20556829"/>
    <w:rsid w:val="21314A8B"/>
    <w:rsid w:val="21FB3C27"/>
    <w:rsid w:val="223C1739"/>
    <w:rsid w:val="223E1158"/>
    <w:rsid w:val="229D37BE"/>
    <w:rsid w:val="22A94B66"/>
    <w:rsid w:val="231177A3"/>
    <w:rsid w:val="232E5C5F"/>
    <w:rsid w:val="2398549F"/>
    <w:rsid w:val="23F06DDE"/>
    <w:rsid w:val="246C03E2"/>
    <w:rsid w:val="2493793D"/>
    <w:rsid w:val="24CB1A6F"/>
    <w:rsid w:val="24DE75A8"/>
    <w:rsid w:val="250F7A94"/>
    <w:rsid w:val="25BB4B1E"/>
    <w:rsid w:val="25BF34BD"/>
    <w:rsid w:val="25E743E6"/>
    <w:rsid w:val="26000619"/>
    <w:rsid w:val="263E7FD8"/>
    <w:rsid w:val="264C6AEA"/>
    <w:rsid w:val="266A1B61"/>
    <w:rsid w:val="26AD77E2"/>
    <w:rsid w:val="273C318E"/>
    <w:rsid w:val="278F00C5"/>
    <w:rsid w:val="27FD29AD"/>
    <w:rsid w:val="284848F7"/>
    <w:rsid w:val="285308D9"/>
    <w:rsid w:val="28633AA5"/>
    <w:rsid w:val="28781D2A"/>
    <w:rsid w:val="2A0E2346"/>
    <w:rsid w:val="2A5C17C0"/>
    <w:rsid w:val="2AE648E9"/>
    <w:rsid w:val="2B604B44"/>
    <w:rsid w:val="2B6F3E9E"/>
    <w:rsid w:val="2B96235F"/>
    <w:rsid w:val="2C3F7395"/>
    <w:rsid w:val="2C6B1A80"/>
    <w:rsid w:val="2D8172D3"/>
    <w:rsid w:val="2E2E721F"/>
    <w:rsid w:val="2E655197"/>
    <w:rsid w:val="2E6D7F83"/>
    <w:rsid w:val="2EC8798D"/>
    <w:rsid w:val="2EFEFBFD"/>
    <w:rsid w:val="2F372694"/>
    <w:rsid w:val="2F698030"/>
    <w:rsid w:val="2F9E021E"/>
    <w:rsid w:val="2FF95CCC"/>
    <w:rsid w:val="317137B3"/>
    <w:rsid w:val="331F5AC9"/>
    <w:rsid w:val="33925219"/>
    <w:rsid w:val="33BEB3C3"/>
    <w:rsid w:val="33F93614"/>
    <w:rsid w:val="34225CA9"/>
    <w:rsid w:val="34AE08B7"/>
    <w:rsid w:val="34B31B1F"/>
    <w:rsid w:val="34C61D5C"/>
    <w:rsid w:val="353675C0"/>
    <w:rsid w:val="35831A25"/>
    <w:rsid w:val="35CB37E1"/>
    <w:rsid w:val="35CCAA12"/>
    <w:rsid w:val="35FF16FC"/>
    <w:rsid w:val="360C3A4B"/>
    <w:rsid w:val="36221730"/>
    <w:rsid w:val="367F168B"/>
    <w:rsid w:val="37020F50"/>
    <w:rsid w:val="3714431B"/>
    <w:rsid w:val="378B72B2"/>
    <w:rsid w:val="37F72957"/>
    <w:rsid w:val="380512C8"/>
    <w:rsid w:val="384304FA"/>
    <w:rsid w:val="3855793C"/>
    <w:rsid w:val="387F44C7"/>
    <w:rsid w:val="39335925"/>
    <w:rsid w:val="39617D8A"/>
    <w:rsid w:val="3986432B"/>
    <w:rsid w:val="39C737F8"/>
    <w:rsid w:val="39FE0374"/>
    <w:rsid w:val="3A3C7D8A"/>
    <w:rsid w:val="3AFC3726"/>
    <w:rsid w:val="3B046CCA"/>
    <w:rsid w:val="3B6C511E"/>
    <w:rsid w:val="3B7B475F"/>
    <w:rsid w:val="3BB70F4F"/>
    <w:rsid w:val="3BEB0577"/>
    <w:rsid w:val="3C432547"/>
    <w:rsid w:val="3C6852B7"/>
    <w:rsid w:val="3CE329C6"/>
    <w:rsid w:val="3D444F9E"/>
    <w:rsid w:val="3D5C7C45"/>
    <w:rsid w:val="3D900898"/>
    <w:rsid w:val="3DB1150E"/>
    <w:rsid w:val="3DF85B71"/>
    <w:rsid w:val="3E4D2B91"/>
    <w:rsid w:val="3E8978F7"/>
    <w:rsid w:val="3E9802E5"/>
    <w:rsid w:val="3EC2147F"/>
    <w:rsid w:val="3F4BC6EF"/>
    <w:rsid w:val="3FA64287"/>
    <w:rsid w:val="3FB473AD"/>
    <w:rsid w:val="3FBFA92C"/>
    <w:rsid w:val="3FD656E2"/>
    <w:rsid w:val="3FE772A4"/>
    <w:rsid w:val="3FFFECD7"/>
    <w:rsid w:val="40204D07"/>
    <w:rsid w:val="418E44CB"/>
    <w:rsid w:val="41CB264A"/>
    <w:rsid w:val="41FC2380"/>
    <w:rsid w:val="42834575"/>
    <w:rsid w:val="42984A4B"/>
    <w:rsid w:val="42C02CB2"/>
    <w:rsid w:val="436A7EB8"/>
    <w:rsid w:val="4391666C"/>
    <w:rsid w:val="443302F1"/>
    <w:rsid w:val="44352A8D"/>
    <w:rsid w:val="449B4C88"/>
    <w:rsid w:val="44A117BC"/>
    <w:rsid w:val="44A15E6C"/>
    <w:rsid w:val="45014B29"/>
    <w:rsid w:val="457479F1"/>
    <w:rsid w:val="45C85A30"/>
    <w:rsid w:val="45C95238"/>
    <w:rsid w:val="45D40775"/>
    <w:rsid w:val="46567CD1"/>
    <w:rsid w:val="466D308E"/>
    <w:rsid w:val="471F4C52"/>
    <w:rsid w:val="473C24AA"/>
    <w:rsid w:val="4770243A"/>
    <w:rsid w:val="477F1B13"/>
    <w:rsid w:val="47AB5220"/>
    <w:rsid w:val="47BB4F64"/>
    <w:rsid w:val="48233BCF"/>
    <w:rsid w:val="485812E3"/>
    <w:rsid w:val="485F6737"/>
    <w:rsid w:val="48900EC9"/>
    <w:rsid w:val="48AE4FC8"/>
    <w:rsid w:val="48F74BC1"/>
    <w:rsid w:val="49111AFF"/>
    <w:rsid w:val="49367787"/>
    <w:rsid w:val="494A42DB"/>
    <w:rsid w:val="49563B7D"/>
    <w:rsid w:val="495D3CCD"/>
    <w:rsid w:val="49D70948"/>
    <w:rsid w:val="49EC732A"/>
    <w:rsid w:val="49FA5ABD"/>
    <w:rsid w:val="4A07584B"/>
    <w:rsid w:val="4A1A3518"/>
    <w:rsid w:val="4A1D62E3"/>
    <w:rsid w:val="4B3F0159"/>
    <w:rsid w:val="4BB05FAF"/>
    <w:rsid w:val="4BF33BF1"/>
    <w:rsid w:val="4CCC588D"/>
    <w:rsid w:val="4D56124C"/>
    <w:rsid w:val="4D8C1650"/>
    <w:rsid w:val="4DBB2DDF"/>
    <w:rsid w:val="4DD0778F"/>
    <w:rsid w:val="4DF24607"/>
    <w:rsid w:val="4E857799"/>
    <w:rsid w:val="4EACA5ED"/>
    <w:rsid w:val="4EE724A5"/>
    <w:rsid w:val="4F0D65A9"/>
    <w:rsid w:val="4F3D7E8C"/>
    <w:rsid w:val="4F939C68"/>
    <w:rsid w:val="4FCFA3BA"/>
    <w:rsid w:val="4FDA66A3"/>
    <w:rsid w:val="4FEF6D95"/>
    <w:rsid w:val="4FEFAA61"/>
    <w:rsid w:val="504754BD"/>
    <w:rsid w:val="50826BA0"/>
    <w:rsid w:val="50CF1F80"/>
    <w:rsid w:val="512207AD"/>
    <w:rsid w:val="514D7F79"/>
    <w:rsid w:val="51731032"/>
    <w:rsid w:val="517A43CE"/>
    <w:rsid w:val="51B616F5"/>
    <w:rsid w:val="51B80E3A"/>
    <w:rsid w:val="51C66293"/>
    <w:rsid w:val="51ED7903"/>
    <w:rsid w:val="52347400"/>
    <w:rsid w:val="526936F7"/>
    <w:rsid w:val="528C20C6"/>
    <w:rsid w:val="52D90E80"/>
    <w:rsid w:val="53BE3CFF"/>
    <w:rsid w:val="541C54DC"/>
    <w:rsid w:val="54216F96"/>
    <w:rsid w:val="545872E7"/>
    <w:rsid w:val="54894702"/>
    <w:rsid w:val="54B50ED0"/>
    <w:rsid w:val="54C16ADA"/>
    <w:rsid w:val="55BF6ACF"/>
    <w:rsid w:val="564545FF"/>
    <w:rsid w:val="56D014DF"/>
    <w:rsid w:val="57172115"/>
    <w:rsid w:val="5733F0DA"/>
    <w:rsid w:val="577BA0B9"/>
    <w:rsid w:val="5788549E"/>
    <w:rsid w:val="57B78AA5"/>
    <w:rsid w:val="57CB5C37"/>
    <w:rsid w:val="57D99DDA"/>
    <w:rsid w:val="582B6BFD"/>
    <w:rsid w:val="585A2A77"/>
    <w:rsid w:val="587F6080"/>
    <w:rsid w:val="58BF0B2C"/>
    <w:rsid w:val="59103135"/>
    <w:rsid w:val="59471C0B"/>
    <w:rsid w:val="5949DDC9"/>
    <w:rsid w:val="59543A0F"/>
    <w:rsid w:val="59676172"/>
    <w:rsid w:val="59742ABC"/>
    <w:rsid w:val="59B1171F"/>
    <w:rsid w:val="5A0F163F"/>
    <w:rsid w:val="5A1F0DAD"/>
    <w:rsid w:val="5A5C0563"/>
    <w:rsid w:val="5A8FF20B"/>
    <w:rsid w:val="5AA44357"/>
    <w:rsid w:val="5AE01BAE"/>
    <w:rsid w:val="5BA35D37"/>
    <w:rsid w:val="5BD85008"/>
    <w:rsid w:val="5BF044CF"/>
    <w:rsid w:val="5C4D08B6"/>
    <w:rsid w:val="5CD40002"/>
    <w:rsid w:val="5CDFA116"/>
    <w:rsid w:val="5D2B1B78"/>
    <w:rsid w:val="5D6E4538"/>
    <w:rsid w:val="5D893142"/>
    <w:rsid w:val="5DBF1FC6"/>
    <w:rsid w:val="5DC7A9F6"/>
    <w:rsid w:val="5E062367"/>
    <w:rsid w:val="5E267B83"/>
    <w:rsid w:val="5E345885"/>
    <w:rsid w:val="5E4F64AE"/>
    <w:rsid w:val="5EBF4536"/>
    <w:rsid w:val="5ECC6424"/>
    <w:rsid w:val="5EF57AD4"/>
    <w:rsid w:val="5EFD3695"/>
    <w:rsid w:val="5F26142B"/>
    <w:rsid w:val="5F2D94AC"/>
    <w:rsid w:val="5F7621E2"/>
    <w:rsid w:val="5F7FB6BD"/>
    <w:rsid w:val="5F7FE6F1"/>
    <w:rsid w:val="5FC30F01"/>
    <w:rsid w:val="5FDF40F1"/>
    <w:rsid w:val="5FF7A45F"/>
    <w:rsid w:val="602D1A9B"/>
    <w:rsid w:val="603B2597"/>
    <w:rsid w:val="60682926"/>
    <w:rsid w:val="60752640"/>
    <w:rsid w:val="60BD1DF5"/>
    <w:rsid w:val="60D40433"/>
    <w:rsid w:val="6150151C"/>
    <w:rsid w:val="61BE4BB4"/>
    <w:rsid w:val="62145858"/>
    <w:rsid w:val="627F21DD"/>
    <w:rsid w:val="62C24322"/>
    <w:rsid w:val="62FA0A31"/>
    <w:rsid w:val="638425E6"/>
    <w:rsid w:val="638F2B8E"/>
    <w:rsid w:val="63BA4E86"/>
    <w:rsid w:val="63FA0EFC"/>
    <w:rsid w:val="640A35CB"/>
    <w:rsid w:val="644C0128"/>
    <w:rsid w:val="64C22A05"/>
    <w:rsid w:val="65C20DA2"/>
    <w:rsid w:val="6611494A"/>
    <w:rsid w:val="66E0426C"/>
    <w:rsid w:val="67369E98"/>
    <w:rsid w:val="677E6939"/>
    <w:rsid w:val="679E5709"/>
    <w:rsid w:val="67D9405E"/>
    <w:rsid w:val="67EF2781"/>
    <w:rsid w:val="67FDAF68"/>
    <w:rsid w:val="68E87C2B"/>
    <w:rsid w:val="68ED0122"/>
    <w:rsid w:val="69262B12"/>
    <w:rsid w:val="69DEE61C"/>
    <w:rsid w:val="69FFBCEE"/>
    <w:rsid w:val="6A393B65"/>
    <w:rsid w:val="6A5B9469"/>
    <w:rsid w:val="6A9B0710"/>
    <w:rsid w:val="6B26756E"/>
    <w:rsid w:val="6B311050"/>
    <w:rsid w:val="6B622AD0"/>
    <w:rsid w:val="6B9C4757"/>
    <w:rsid w:val="6BAEE4BD"/>
    <w:rsid w:val="6BF7421F"/>
    <w:rsid w:val="6BFBF6B4"/>
    <w:rsid w:val="6C207AFA"/>
    <w:rsid w:val="6C301D8D"/>
    <w:rsid w:val="6C4C67C7"/>
    <w:rsid w:val="6CFF5196"/>
    <w:rsid w:val="6D611F82"/>
    <w:rsid w:val="6DA870A8"/>
    <w:rsid w:val="6E1E7639"/>
    <w:rsid w:val="6E8B3532"/>
    <w:rsid w:val="6EA77C40"/>
    <w:rsid w:val="6EF80343"/>
    <w:rsid w:val="6F3A0AB4"/>
    <w:rsid w:val="6F3D1EEE"/>
    <w:rsid w:val="6F3F8627"/>
    <w:rsid w:val="6F48A382"/>
    <w:rsid w:val="6F51320D"/>
    <w:rsid w:val="6F7D706A"/>
    <w:rsid w:val="6F9C035C"/>
    <w:rsid w:val="6FB3F993"/>
    <w:rsid w:val="6FBB5FE5"/>
    <w:rsid w:val="6FBDBEEE"/>
    <w:rsid w:val="6FD66DA6"/>
    <w:rsid w:val="6FDABAA7"/>
    <w:rsid w:val="6FDFFBC7"/>
    <w:rsid w:val="6FFD8BB7"/>
    <w:rsid w:val="6FFFACE3"/>
    <w:rsid w:val="70191889"/>
    <w:rsid w:val="70261076"/>
    <w:rsid w:val="704F220F"/>
    <w:rsid w:val="71386584"/>
    <w:rsid w:val="72230BC3"/>
    <w:rsid w:val="72CA29CB"/>
    <w:rsid w:val="72D1468B"/>
    <w:rsid w:val="738353E3"/>
    <w:rsid w:val="73D55E1B"/>
    <w:rsid w:val="745B5592"/>
    <w:rsid w:val="750C1925"/>
    <w:rsid w:val="759D7B76"/>
    <w:rsid w:val="75E667D1"/>
    <w:rsid w:val="76147C68"/>
    <w:rsid w:val="764A0272"/>
    <w:rsid w:val="768F7938"/>
    <w:rsid w:val="76AC78FE"/>
    <w:rsid w:val="77073972"/>
    <w:rsid w:val="776A5958"/>
    <w:rsid w:val="77744979"/>
    <w:rsid w:val="777B7ACD"/>
    <w:rsid w:val="777CBE50"/>
    <w:rsid w:val="777E7119"/>
    <w:rsid w:val="77B6B5C7"/>
    <w:rsid w:val="77BA14A1"/>
    <w:rsid w:val="77EEB030"/>
    <w:rsid w:val="77EFD25E"/>
    <w:rsid w:val="77F7890D"/>
    <w:rsid w:val="77FEFE1C"/>
    <w:rsid w:val="78512489"/>
    <w:rsid w:val="78553058"/>
    <w:rsid w:val="788B52F1"/>
    <w:rsid w:val="78983FC7"/>
    <w:rsid w:val="796F7F48"/>
    <w:rsid w:val="79C039E5"/>
    <w:rsid w:val="79D55FA9"/>
    <w:rsid w:val="79D83433"/>
    <w:rsid w:val="7A126C48"/>
    <w:rsid w:val="7A1327EA"/>
    <w:rsid w:val="7A14C272"/>
    <w:rsid w:val="7A5B32B4"/>
    <w:rsid w:val="7A74617D"/>
    <w:rsid w:val="7A9B590A"/>
    <w:rsid w:val="7AA37E55"/>
    <w:rsid w:val="7AA641DB"/>
    <w:rsid w:val="7ACDDFCF"/>
    <w:rsid w:val="7AF770F9"/>
    <w:rsid w:val="7B265154"/>
    <w:rsid w:val="7B560A24"/>
    <w:rsid w:val="7B6F3AD3"/>
    <w:rsid w:val="7B8E6EC5"/>
    <w:rsid w:val="7BB537A3"/>
    <w:rsid w:val="7BCFEFC5"/>
    <w:rsid w:val="7BCFF245"/>
    <w:rsid w:val="7BDD9456"/>
    <w:rsid w:val="7C574A54"/>
    <w:rsid w:val="7C7644CA"/>
    <w:rsid w:val="7C9E4BB9"/>
    <w:rsid w:val="7CC3254F"/>
    <w:rsid w:val="7CDD22AE"/>
    <w:rsid w:val="7CFFD472"/>
    <w:rsid w:val="7D455E94"/>
    <w:rsid w:val="7D4FB33D"/>
    <w:rsid w:val="7D603F40"/>
    <w:rsid w:val="7D7BD42F"/>
    <w:rsid w:val="7D7FFF47"/>
    <w:rsid w:val="7DA168CE"/>
    <w:rsid w:val="7DAB72D3"/>
    <w:rsid w:val="7DFCEEDF"/>
    <w:rsid w:val="7DFD96FD"/>
    <w:rsid w:val="7DFDCC51"/>
    <w:rsid w:val="7DFF8483"/>
    <w:rsid w:val="7E302545"/>
    <w:rsid w:val="7E42237C"/>
    <w:rsid w:val="7E6392B6"/>
    <w:rsid w:val="7E926217"/>
    <w:rsid w:val="7EA95ED8"/>
    <w:rsid w:val="7EEF8DB0"/>
    <w:rsid w:val="7EFDF06E"/>
    <w:rsid w:val="7EFE059B"/>
    <w:rsid w:val="7EFF0ACF"/>
    <w:rsid w:val="7F2F53A8"/>
    <w:rsid w:val="7F3ED414"/>
    <w:rsid w:val="7F6F0D06"/>
    <w:rsid w:val="7F9ADA8B"/>
    <w:rsid w:val="7F9B1BE7"/>
    <w:rsid w:val="7F9D7F61"/>
    <w:rsid w:val="7F9E601F"/>
    <w:rsid w:val="7FB3937B"/>
    <w:rsid w:val="7FBF9E2C"/>
    <w:rsid w:val="7FCC1A15"/>
    <w:rsid w:val="7FDC4315"/>
    <w:rsid w:val="7FE6EA83"/>
    <w:rsid w:val="7FED3DF8"/>
    <w:rsid w:val="7FEF94B2"/>
    <w:rsid w:val="7FF50381"/>
    <w:rsid w:val="7FF72890"/>
    <w:rsid w:val="7FF9FC03"/>
    <w:rsid w:val="7FFB7C8C"/>
    <w:rsid w:val="7FFB8772"/>
    <w:rsid w:val="7FFD5B20"/>
    <w:rsid w:val="7FFF0E38"/>
    <w:rsid w:val="7FFF8B5A"/>
    <w:rsid w:val="7FFF9CF8"/>
    <w:rsid w:val="7FFFFB92"/>
    <w:rsid w:val="8BFD9634"/>
    <w:rsid w:val="8DFEAB72"/>
    <w:rsid w:val="8F58AD7D"/>
    <w:rsid w:val="96E5A910"/>
    <w:rsid w:val="97BE6AFA"/>
    <w:rsid w:val="9B6FF145"/>
    <w:rsid w:val="9BB3DEBA"/>
    <w:rsid w:val="9BF59B9F"/>
    <w:rsid w:val="A25F82C5"/>
    <w:rsid w:val="A3BAAB0B"/>
    <w:rsid w:val="A7F916A8"/>
    <w:rsid w:val="AEBB38CA"/>
    <w:rsid w:val="AEF689CF"/>
    <w:rsid w:val="AFEEFEE4"/>
    <w:rsid w:val="AFFBD62A"/>
    <w:rsid w:val="B2FE60F5"/>
    <w:rsid w:val="B6E7DDAC"/>
    <w:rsid w:val="B7B7CDB7"/>
    <w:rsid w:val="BAFE9C71"/>
    <w:rsid w:val="BBDBE682"/>
    <w:rsid w:val="BBE5B36C"/>
    <w:rsid w:val="BBEE5DE7"/>
    <w:rsid w:val="BBFED1BE"/>
    <w:rsid w:val="BEEFA189"/>
    <w:rsid w:val="BFD30EE7"/>
    <w:rsid w:val="BFD7A354"/>
    <w:rsid w:val="BFF781D6"/>
    <w:rsid w:val="BFF7BA85"/>
    <w:rsid w:val="BFFBFE95"/>
    <w:rsid w:val="BFFE7C37"/>
    <w:rsid w:val="C97FCA7B"/>
    <w:rsid w:val="C9BCBF4D"/>
    <w:rsid w:val="CAF9C5FB"/>
    <w:rsid w:val="CEFD2F24"/>
    <w:rsid w:val="CF7F6DB6"/>
    <w:rsid w:val="CFFF69A7"/>
    <w:rsid w:val="D33EE3F9"/>
    <w:rsid w:val="D4F612DB"/>
    <w:rsid w:val="D5DE5AB0"/>
    <w:rsid w:val="D777B558"/>
    <w:rsid w:val="D7FFAF8A"/>
    <w:rsid w:val="D9CC0CC8"/>
    <w:rsid w:val="DB6F1420"/>
    <w:rsid w:val="DBFE06C4"/>
    <w:rsid w:val="DD7F6086"/>
    <w:rsid w:val="DDBFC065"/>
    <w:rsid w:val="DDC7D324"/>
    <w:rsid w:val="DDD7F8AA"/>
    <w:rsid w:val="DDDF327A"/>
    <w:rsid w:val="DDDF399F"/>
    <w:rsid w:val="DEABF5E4"/>
    <w:rsid w:val="DEB7B17F"/>
    <w:rsid w:val="DF2FFCE0"/>
    <w:rsid w:val="DF3B387B"/>
    <w:rsid w:val="DF57F9C0"/>
    <w:rsid w:val="DFB7D56A"/>
    <w:rsid w:val="DFEBF349"/>
    <w:rsid w:val="DFFE132D"/>
    <w:rsid w:val="DFFF17D8"/>
    <w:rsid w:val="DFFFB692"/>
    <w:rsid w:val="E76C4F60"/>
    <w:rsid w:val="E77BEC86"/>
    <w:rsid w:val="E7B7CB90"/>
    <w:rsid w:val="E7EC8A1D"/>
    <w:rsid w:val="E7F90749"/>
    <w:rsid w:val="E7FFE218"/>
    <w:rsid w:val="E96B8352"/>
    <w:rsid w:val="E9CFCF95"/>
    <w:rsid w:val="EA3FBD15"/>
    <w:rsid w:val="EABEF60A"/>
    <w:rsid w:val="EC38AD93"/>
    <w:rsid w:val="ED3D0BD8"/>
    <w:rsid w:val="EDF9767A"/>
    <w:rsid w:val="EDFF3AF8"/>
    <w:rsid w:val="EE7EA159"/>
    <w:rsid w:val="EF37747A"/>
    <w:rsid w:val="EFBF6814"/>
    <w:rsid w:val="EFCFC5F2"/>
    <w:rsid w:val="EFE5D445"/>
    <w:rsid w:val="EFF537D1"/>
    <w:rsid w:val="EFFB221F"/>
    <w:rsid w:val="EFFD2780"/>
    <w:rsid w:val="EFFE3710"/>
    <w:rsid w:val="EFFE9363"/>
    <w:rsid w:val="EFFF1AA3"/>
    <w:rsid w:val="F27F8D94"/>
    <w:rsid w:val="F2FB2906"/>
    <w:rsid w:val="F3930738"/>
    <w:rsid w:val="F3EF9D6B"/>
    <w:rsid w:val="F3FABC55"/>
    <w:rsid w:val="F4BF3DF9"/>
    <w:rsid w:val="F5B78630"/>
    <w:rsid w:val="F6B59B9C"/>
    <w:rsid w:val="F6FD4F6E"/>
    <w:rsid w:val="F756B669"/>
    <w:rsid w:val="F77FB4B5"/>
    <w:rsid w:val="F7B6A1E7"/>
    <w:rsid w:val="F7BE6899"/>
    <w:rsid w:val="F7D362E1"/>
    <w:rsid w:val="F7F71213"/>
    <w:rsid w:val="F7FB1500"/>
    <w:rsid w:val="F7FF5938"/>
    <w:rsid w:val="F9BF0D56"/>
    <w:rsid w:val="F9BF4315"/>
    <w:rsid w:val="F9EF722F"/>
    <w:rsid w:val="FAFE10AC"/>
    <w:rsid w:val="FAFF5F1F"/>
    <w:rsid w:val="FB3FF98E"/>
    <w:rsid w:val="FBB3007C"/>
    <w:rsid w:val="FBF7396A"/>
    <w:rsid w:val="FC7D910B"/>
    <w:rsid w:val="FC9B2242"/>
    <w:rsid w:val="FCBD0002"/>
    <w:rsid w:val="FCBD3B0B"/>
    <w:rsid w:val="FD3FEA46"/>
    <w:rsid w:val="FD67EB1A"/>
    <w:rsid w:val="FDF5F18B"/>
    <w:rsid w:val="FE39B630"/>
    <w:rsid w:val="FE7760E0"/>
    <w:rsid w:val="FEFBAAD7"/>
    <w:rsid w:val="FEFDAB5C"/>
    <w:rsid w:val="FEFFADD6"/>
    <w:rsid w:val="FF194977"/>
    <w:rsid w:val="FF3BD195"/>
    <w:rsid w:val="FF3BD291"/>
    <w:rsid w:val="FF7FCDAE"/>
    <w:rsid w:val="FFC915A0"/>
    <w:rsid w:val="FFE02CE1"/>
    <w:rsid w:val="FFE71B84"/>
    <w:rsid w:val="FFEB43FF"/>
    <w:rsid w:val="FFF15877"/>
    <w:rsid w:val="FFF334B2"/>
    <w:rsid w:val="FFF7F851"/>
    <w:rsid w:val="FFFD3E9B"/>
    <w:rsid w:val="FFFD9CB7"/>
    <w:rsid w:val="FFFDE62A"/>
    <w:rsid w:val="FFFEB39E"/>
    <w:rsid w:val="FFFF04B6"/>
    <w:rsid w:val="FFFF4D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42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200" w:beforeLines="0" w:after="200" w:afterLines="0" w:line="240" w:lineRule="auto"/>
      <w:jc w:val="center"/>
      <w:outlineLvl w:val="0"/>
    </w:pPr>
    <w:rPr>
      <w:rFonts w:ascii="Times New Roman" w:hAnsi="Times New Roman" w:eastAsia="宋体"/>
      <w:b/>
      <w:bCs/>
      <w:kern w:val="44"/>
      <w:sz w:val="44"/>
      <w:szCs w:val="44"/>
    </w:rPr>
  </w:style>
  <w:style w:type="paragraph" w:styleId="3">
    <w:name w:val="heading 2"/>
    <w:basedOn w:val="1"/>
    <w:next w:val="1"/>
    <w:link w:val="48"/>
    <w:qFormat/>
    <w:uiPriority w:val="0"/>
    <w:pPr>
      <w:keepNext/>
      <w:keepLines/>
      <w:spacing w:before="200" w:beforeLines="0" w:after="200" w:afterLines="0" w:line="240" w:lineRule="auto"/>
      <w:ind w:firstLine="210" w:firstLineChars="100"/>
      <w:jc w:val="both"/>
      <w:outlineLvl w:val="1"/>
    </w:pPr>
    <w:rPr>
      <w:rFonts w:ascii="Arial" w:hAnsi="Arial" w:eastAsia="黑体"/>
      <w:bCs/>
      <w:sz w:val="28"/>
      <w:szCs w:val="32"/>
    </w:rPr>
  </w:style>
  <w:style w:type="paragraph" w:styleId="4">
    <w:name w:val="heading 3"/>
    <w:basedOn w:val="1"/>
    <w:next w:val="1"/>
    <w:link w:val="58"/>
    <w:qFormat/>
    <w:uiPriority w:val="0"/>
    <w:pPr>
      <w:keepNext/>
      <w:keepLines/>
      <w:spacing w:before="200" w:beforeLines="0" w:after="200" w:afterLines="0" w:line="240" w:lineRule="auto"/>
      <w:ind w:firstLine="210" w:firstLineChars="100"/>
      <w:outlineLvl w:val="2"/>
    </w:pPr>
    <w:rPr>
      <w:rFonts w:ascii="黑体" w:hAnsi="黑体" w:eastAsia="黑体"/>
      <w:bCs/>
      <w:sz w:val="24"/>
      <w:szCs w:val="28"/>
    </w:rPr>
  </w:style>
  <w:style w:type="paragraph" w:styleId="5">
    <w:name w:val="heading 4"/>
    <w:basedOn w:val="1"/>
    <w:next w:val="1"/>
    <w:link w:val="50"/>
    <w:qFormat/>
    <w:uiPriority w:val="0"/>
    <w:pPr>
      <w:keepNext/>
      <w:keepLines/>
      <w:spacing w:before="280" w:beforeLines="0" w:after="290" w:afterLines="0" w:line="374" w:lineRule="auto"/>
      <w:outlineLvl w:val="3"/>
    </w:pPr>
    <w:rPr>
      <w:rFonts w:ascii="Arial" w:hAnsi="Arial" w:eastAsia="黑体"/>
      <w:b/>
      <w:bCs/>
      <w:kern w:val="2"/>
      <w:sz w:val="28"/>
      <w:szCs w:val="28"/>
      <w:lang w:val="en-US" w:eastAsia="zh-CN" w:bidi="ar-SA"/>
    </w:rPr>
  </w:style>
  <w:style w:type="paragraph" w:styleId="6">
    <w:name w:val="heading 6"/>
    <w:basedOn w:val="1"/>
    <w:next w:val="1"/>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8">
    <w:name w:val="heading 8"/>
    <w:basedOn w:val="1"/>
    <w:next w:val="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9">
    <w:name w:val="heading 9"/>
    <w:basedOn w:val="1"/>
    <w:next w:val="1"/>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0">
    <w:name w:val="Default Paragraph Font"/>
    <w:uiPriority w:val="0"/>
  </w:style>
  <w:style w:type="table" w:default="1" w:styleId="38">
    <w:name w:val="Normal Table"/>
    <w:semiHidden/>
    <w:uiPriority w:val="0"/>
    <w:tblPr>
      <w:tblCellMar>
        <w:top w:w="0" w:type="dxa"/>
        <w:left w:w="108" w:type="dxa"/>
        <w:bottom w:w="0" w:type="dxa"/>
        <w:right w:w="108" w:type="dxa"/>
      </w:tblCellMar>
    </w:tblPr>
  </w:style>
  <w:style w:type="paragraph" w:styleId="10">
    <w:name w:val="toc 7"/>
    <w:basedOn w:val="1"/>
    <w:next w:val="1"/>
    <w:qFormat/>
    <w:uiPriority w:val="0"/>
    <w:pPr>
      <w:ind w:left="1260"/>
      <w:jc w:val="left"/>
    </w:pPr>
    <w:rPr>
      <w:sz w:val="18"/>
      <w:szCs w:val="18"/>
    </w:rPr>
  </w:style>
  <w:style w:type="paragraph" w:styleId="11">
    <w:name w:val="Normal Indent"/>
    <w:basedOn w:val="1"/>
    <w:next w:val="12"/>
    <w:qFormat/>
    <w:uiPriority w:val="0"/>
    <w:pPr>
      <w:ind w:firstLine="420" w:firstLineChars="200"/>
    </w:pPr>
  </w:style>
  <w:style w:type="paragraph" w:customStyle="1" w:styleId="12">
    <w:name w:val="样式3"/>
    <w:basedOn w:val="4"/>
    <w:next w:val="1"/>
    <w:qFormat/>
    <w:uiPriority w:val="0"/>
    <w:pPr>
      <w:widowControl w:val="0"/>
      <w:autoSpaceDE/>
      <w:autoSpaceDN/>
      <w:spacing w:before="260" w:after="260" w:line="415" w:lineRule="auto"/>
      <w:ind w:left="0" w:firstLine="0"/>
      <w:jc w:val="both"/>
      <w:outlineLvl w:val="2"/>
    </w:pPr>
    <w:rPr>
      <w:rFonts w:ascii="Times New Roman" w:eastAsia="Arial"/>
      <w:sz w:val="32"/>
    </w:rPr>
  </w:style>
  <w:style w:type="paragraph" w:styleId="13">
    <w:name w:val="Document Map"/>
    <w:basedOn w:val="1"/>
    <w:link w:val="51"/>
    <w:uiPriority w:val="0"/>
    <w:pPr>
      <w:shd w:val="clear" w:color="auto" w:fill="000080"/>
    </w:pPr>
    <w:rPr>
      <w:rFonts w:eastAsia="宋体"/>
      <w:kern w:val="2"/>
      <w:sz w:val="21"/>
      <w:szCs w:val="24"/>
      <w:lang w:val="en-US" w:eastAsia="zh-CN" w:bidi="ar-SA"/>
    </w:rPr>
  </w:style>
  <w:style w:type="paragraph" w:styleId="14">
    <w:name w:val="annotation text"/>
    <w:basedOn w:val="1"/>
    <w:link w:val="52"/>
    <w:qFormat/>
    <w:uiPriority w:val="0"/>
    <w:pPr>
      <w:jc w:val="left"/>
    </w:pPr>
    <w:rPr>
      <w:rFonts w:eastAsia="宋体"/>
      <w:kern w:val="2"/>
      <w:sz w:val="21"/>
      <w:szCs w:val="24"/>
      <w:lang w:val="en-US" w:eastAsia="zh-CN" w:bidi="ar-SA"/>
    </w:rPr>
  </w:style>
  <w:style w:type="paragraph" w:styleId="15">
    <w:name w:val="Body Text 3"/>
    <w:basedOn w:val="1"/>
    <w:qFormat/>
    <w:uiPriority w:val="0"/>
    <w:rPr>
      <w:rFonts w:ascii="宋体"/>
      <w:sz w:val="24"/>
      <w:szCs w:val="20"/>
    </w:rPr>
  </w:style>
  <w:style w:type="paragraph" w:styleId="16">
    <w:name w:val="Body Text"/>
    <w:basedOn w:val="1"/>
    <w:next w:val="17"/>
    <w:link w:val="53"/>
    <w:qFormat/>
    <w:uiPriority w:val="0"/>
    <w:pPr>
      <w:spacing w:after="120" w:afterLines="0"/>
    </w:pPr>
    <w:rPr>
      <w:rFonts w:eastAsia="宋体"/>
      <w:kern w:val="2"/>
      <w:sz w:val="21"/>
      <w:szCs w:val="24"/>
      <w:lang w:val="en-US" w:eastAsia="zh-CN" w:bidi="ar-SA"/>
    </w:rPr>
  </w:style>
  <w:style w:type="paragraph" w:styleId="17">
    <w:name w:val="toc 2"/>
    <w:basedOn w:val="1"/>
    <w:next w:val="1"/>
    <w:qFormat/>
    <w:uiPriority w:val="0"/>
    <w:pPr>
      <w:ind w:left="210"/>
      <w:jc w:val="left"/>
    </w:pPr>
    <w:rPr>
      <w:smallCaps/>
      <w:sz w:val="20"/>
      <w:szCs w:val="20"/>
    </w:rPr>
  </w:style>
  <w:style w:type="paragraph" w:styleId="18">
    <w:name w:val="Body Text Indent"/>
    <w:basedOn w:val="1"/>
    <w:next w:val="1"/>
    <w:uiPriority w:val="0"/>
    <w:pPr>
      <w:spacing w:after="120" w:afterLines="0"/>
      <w:ind w:left="420" w:leftChars="200"/>
    </w:pPr>
  </w:style>
  <w:style w:type="paragraph" w:styleId="19">
    <w:name w:val="toc 5"/>
    <w:basedOn w:val="1"/>
    <w:next w:val="1"/>
    <w:qFormat/>
    <w:uiPriority w:val="0"/>
    <w:pPr>
      <w:ind w:left="840"/>
      <w:jc w:val="left"/>
    </w:pPr>
    <w:rPr>
      <w:sz w:val="18"/>
      <w:szCs w:val="18"/>
    </w:rPr>
  </w:style>
  <w:style w:type="paragraph" w:styleId="20">
    <w:name w:val="toc 3"/>
    <w:basedOn w:val="1"/>
    <w:next w:val="1"/>
    <w:qFormat/>
    <w:uiPriority w:val="0"/>
    <w:pPr>
      <w:ind w:left="420"/>
      <w:jc w:val="left"/>
    </w:pPr>
    <w:rPr>
      <w:iCs/>
      <w:sz w:val="20"/>
      <w:szCs w:val="20"/>
    </w:rPr>
  </w:style>
  <w:style w:type="paragraph" w:styleId="21">
    <w:name w:val="Plain Text"/>
    <w:basedOn w:val="1"/>
    <w:next w:val="1"/>
    <w:qFormat/>
    <w:uiPriority w:val="0"/>
    <w:rPr>
      <w:rFonts w:ascii="宋体" w:hAnsi="Courier New"/>
      <w:szCs w:val="20"/>
    </w:rPr>
  </w:style>
  <w:style w:type="paragraph" w:styleId="22">
    <w:name w:val="toc 8"/>
    <w:basedOn w:val="1"/>
    <w:next w:val="1"/>
    <w:qFormat/>
    <w:uiPriority w:val="0"/>
    <w:pPr>
      <w:ind w:left="1470"/>
      <w:jc w:val="left"/>
    </w:pPr>
    <w:rPr>
      <w:sz w:val="18"/>
      <w:szCs w:val="18"/>
    </w:rPr>
  </w:style>
  <w:style w:type="paragraph" w:styleId="23">
    <w:name w:val="Date"/>
    <w:basedOn w:val="1"/>
    <w:next w:val="1"/>
    <w:uiPriority w:val="0"/>
    <w:rPr>
      <w:sz w:val="24"/>
      <w:szCs w:val="20"/>
    </w:rPr>
  </w:style>
  <w:style w:type="paragraph" w:styleId="24">
    <w:name w:val="Balloon Text"/>
    <w:basedOn w:val="1"/>
    <w:qFormat/>
    <w:uiPriority w:val="0"/>
    <w:rPr>
      <w:sz w:val="18"/>
      <w:szCs w:val="18"/>
    </w:rPr>
  </w:style>
  <w:style w:type="paragraph" w:styleId="25">
    <w:name w:val="footer"/>
    <w:basedOn w:val="1"/>
    <w:link w:val="54"/>
    <w:qFormat/>
    <w:uiPriority w:val="0"/>
    <w:pPr>
      <w:tabs>
        <w:tab w:val="center" w:pos="4153"/>
        <w:tab w:val="right" w:pos="8306"/>
      </w:tabs>
      <w:snapToGrid w:val="0"/>
      <w:jc w:val="left"/>
    </w:pPr>
    <w:rPr>
      <w:rFonts w:eastAsia="宋体"/>
      <w:kern w:val="2"/>
      <w:sz w:val="18"/>
      <w:szCs w:val="18"/>
      <w:lang w:val="en-US" w:eastAsia="zh-CN" w:bidi="ar-SA"/>
    </w:rPr>
  </w:style>
  <w:style w:type="paragraph" w:styleId="26">
    <w:name w:val="header"/>
    <w:basedOn w:val="1"/>
    <w:link w:val="55"/>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27">
    <w:name w:val="toc 1"/>
    <w:basedOn w:val="1"/>
    <w:next w:val="1"/>
    <w:uiPriority w:val="0"/>
    <w:pPr>
      <w:spacing w:before="120" w:beforeLines="0" w:after="120" w:afterLines="0"/>
      <w:jc w:val="left"/>
    </w:pPr>
    <w:rPr>
      <w:b/>
      <w:bCs/>
      <w:caps/>
      <w:sz w:val="20"/>
      <w:szCs w:val="20"/>
    </w:rPr>
  </w:style>
  <w:style w:type="paragraph" w:styleId="28">
    <w:name w:val="toc 4"/>
    <w:basedOn w:val="1"/>
    <w:next w:val="1"/>
    <w:qFormat/>
    <w:uiPriority w:val="0"/>
    <w:pPr>
      <w:ind w:left="630"/>
      <w:jc w:val="left"/>
    </w:pPr>
    <w:rPr>
      <w:sz w:val="18"/>
      <w:szCs w:val="18"/>
    </w:rPr>
  </w:style>
  <w:style w:type="paragraph" w:styleId="29">
    <w:name w:val="toc 6"/>
    <w:basedOn w:val="1"/>
    <w:next w:val="1"/>
    <w:qFormat/>
    <w:uiPriority w:val="0"/>
    <w:pPr>
      <w:ind w:left="1050"/>
      <w:jc w:val="left"/>
    </w:pPr>
    <w:rPr>
      <w:sz w:val="18"/>
      <w:szCs w:val="18"/>
    </w:rPr>
  </w:style>
  <w:style w:type="paragraph" w:styleId="30">
    <w:name w:val="Body Text Indent 3"/>
    <w:basedOn w:val="1"/>
    <w:qFormat/>
    <w:uiPriority w:val="0"/>
    <w:pPr>
      <w:spacing w:after="120" w:afterLines="0"/>
      <w:ind w:left="420" w:leftChars="200"/>
    </w:pPr>
    <w:rPr>
      <w:sz w:val="16"/>
      <w:szCs w:val="16"/>
    </w:rPr>
  </w:style>
  <w:style w:type="paragraph" w:styleId="31">
    <w:name w:val="toc 9"/>
    <w:basedOn w:val="1"/>
    <w:next w:val="1"/>
    <w:qFormat/>
    <w:uiPriority w:val="0"/>
    <w:pPr>
      <w:ind w:left="1680"/>
      <w:jc w:val="left"/>
    </w:pPr>
    <w:rPr>
      <w:sz w:val="18"/>
      <w:szCs w:val="18"/>
    </w:rPr>
  </w:style>
  <w:style w:type="paragraph" w:styleId="3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3">
    <w:name w:val="index 1"/>
    <w:basedOn w:val="1"/>
    <w:next w:val="1"/>
    <w:qFormat/>
    <w:uiPriority w:val="0"/>
    <w:pPr>
      <w:spacing w:line="220" w:lineRule="exact"/>
      <w:jc w:val="center"/>
    </w:pPr>
    <w:rPr>
      <w:rFonts w:ascii="仿宋_GB2312" w:eastAsia="仿宋_GB2312"/>
      <w:szCs w:val="21"/>
    </w:rPr>
  </w:style>
  <w:style w:type="paragraph" w:styleId="34">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35">
    <w:name w:val="annotation subject"/>
    <w:basedOn w:val="14"/>
    <w:next w:val="14"/>
    <w:link w:val="56"/>
    <w:uiPriority w:val="0"/>
    <w:pPr>
      <w:jc w:val="both"/>
    </w:pPr>
    <w:rPr>
      <w:b/>
      <w:bCs/>
    </w:rPr>
  </w:style>
  <w:style w:type="paragraph" w:styleId="36">
    <w:name w:val="Body Text First Indent"/>
    <w:basedOn w:val="1"/>
    <w:link w:val="57"/>
    <w:qFormat/>
    <w:uiPriority w:val="0"/>
    <w:pPr>
      <w:spacing w:line="312" w:lineRule="auto"/>
      <w:ind w:firstLine="420"/>
    </w:pPr>
  </w:style>
  <w:style w:type="paragraph" w:styleId="37">
    <w:name w:val="Body Text First Indent 2"/>
    <w:basedOn w:val="18"/>
    <w:next w:val="1"/>
    <w:qFormat/>
    <w:uiPriority w:val="0"/>
  </w:style>
  <w:style w:type="table" w:styleId="39">
    <w:name w:val="Table Grid"/>
    <w:basedOn w:val="3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rPr>
  </w:style>
  <w:style w:type="character" w:styleId="42">
    <w:name w:val="page number"/>
    <w:basedOn w:val="40"/>
    <w:qFormat/>
    <w:uiPriority w:val="0"/>
  </w:style>
  <w:style w:type="character" w:styleId="43">
    <w:name w:val="FollowedHyperlink"/>
    <w:uiPriority w:val="0"/>
    <w:rPr>
      <w:color w:val="800080"/>
      <w:u w:val="single"/>
    </w:rPr>
  </w:style>
  <w:style w:type="character" w:styleId="44">
    <w:name w:val="Hyperlink"/>
    <w:qFormat/>
    <w:uiPriority w:val="0"/>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character" w:customStyle="1" w:styleId="47">
    <w:name w:val="标题 1 Char"/>
    <w:link w:val="2"/>
    <w:uiPriority w:val="0"/>
    <w:rPr>
      <w:rFonts w:ascii="Times New Roman" w:hAnsi="Times New Roman" w:eastAsia="宋体"/>
      <w:b/>
      <w:bCs/>
      <w:kern w:val="44"/>
      <w:sz w:val="44"/>
      <w:szCs w:val="44"/>
      <w:lang w:val="en-US" w:eastAsia="zh-CN" w:bidi="ar-SA"/>
    </w:rPr>
  </w:style>
  <w:style w:type="character" w:customStyle="1" w:styleId="48">
    <w:name w:val="标题 2 Char"/>
    <w:link w:val="3"/>
    <w:qFormat/>
    <w:uiPriority w:val="0"/>
    <w:rPr>
      <w:rFonts w:ascii="Arial" w:hAnsi="Arial" w:eastAsia="黑体"/>
      <w:bCs/>
      <w:kern w:val="2"/>
      <w:sz w:val="28"/>
      <w:szCs w:val="32"/>
      <w:lang w:val="en-US" w:eastAsia="zh-CN" w:bidi="ar-SA"/>
    </w:rPr>
  </w:style>
  <w:style w:type="character" w:customStyle="1" w:styleId="49">
    <w:name w:val="标题 3 Char"/>
    <w:link w:val="4"/>
    <w:qFormat/>
    <w:uiPriority w:val="0"/>
    <w:rPr>
      <w:rFonts w:ascii="黑体" w:hAnsi="黑体" w:eastAsia="黑体"/>
      <w:bCs/>
      <w:kern w:val="2"/>
      <w:sz w:val="24"/>
      <w:szCs w:val="28"/>
      <w:lang w:val="en-US" w:eastAsia="zh-CN" w:bidi="ar-SA"/>
    </w:rPr>
  </w:style>
  <w:style w:type="character" w:customStyle="1" w:styleId="50">
    <w:name w:val="标题 4 Char"/>
    <w:link w:val="5"/>
    <w:qFormat/>
    <w:uiPriority w:val="0"/>
    <w:rPr>
      <w:rFonts w:ascii="Arial" w:hAnsi="Arial" w:eastAsia="黑体"/>
      <w:b/>
      <w:bCs/>
      <w:kern w:val="2"/>
      <w:sz w:val="28"/>
      <w:szCs w:val="28"/>
      <w:lang w:val="en-US" w:eastAsia="zh-CN" w:bidi="ar-SA"/>
    </w:rPr>
  </w:style>
  <w:style w:type="character" w:customStyle="1" w:styleId="51">
    <w:name w:val="文档结构图 Char"/>
    <w:link w:val="13"/>
    <w:qFormat/>
    <w:uiPriority w:val="0"/>
    <w:rPr>
      <w:rFonts w:eastAsia="宋体"/>
      <w:kern w:val="2"/>
      <w:sz w:val="21"/>
      <w:szCs w:val="24"/>
      <w:lang w:val="en-US" w:eastAsia="zh-CN" w:bidi="ar-SA"/>
    </w:rPr>
  </w:style>
  <w:style w:type="character" w:customStyle="1" w:styleId="52">
    <w:name w:val="批注文字 Char"/>
    <w:link w:val="14"/>
    <w:uiPriority w:val="0"/>
    <w:rPr>
      <w:rFonts w:eastAsia="宋体"/>
      <w:kern w:val="2"/>
      <w:sz w:val="21"/>
      <w:szCs w:val="24"/>
      <w:lang w:val="en-US" w:eastAsia="zh-CN" w:bidi="ar-SA"/>
    </w:rPr>
  </w:style>
  <w:style w:type="character" w:customStyle="1" w:styleId="53">
    <w:name w:val="正文文本 Char"/>
    <w:link w:val="16"/>
    <w:qFormat/>
    <w:uiPriority w:val="0"/>
    <w:rPr>
      <w:rFonts w:eastAsia="宋体"/>
      <w:kern w:val="2"/>
      <w:sz w:val="21"/>
      <w:szCs w:val="24"/>
      <w:lang w:val="en-US" w:eastAsia="zh-CN" w:bidi="ar-SA"/>
    </w:rPr>
  </w:style>
  <w:style w:type="character" w:customStyle="1" w:styleId="54">
    <w:name w:val="页脚 Char"/>
    <w:link w:val="25"/>
    <w:qFormat/>
    <w:uiPriority w:val="0"/>
    <w:rPr>
      <w:rFonts w:eastAsia="宋体"/>
      <w:kern w:val="2"/>
      <w:sz w:val="18"/>
      <w:szCs w:val="18"/>
      <w:lang w:val="en-US" w:eastAsia="zh-CN" w:bidi="ar-SA"/>
    </w:rPr>
  </w:style>
  <w:style w:type="character" w:customStyle="1" w:styleId="55">
    <w:name w:val="页眉 Char"/>
    <w:link w:val="26"/>
    <w:qFormat/>
    <w:uiPriority w:val="0"/>
    <w:rPr>
      <w:rFonts w:eastAsia="宋体"/>
      <w:kern w:val="2"/>
      <w:sz w:val="18"/>
      <w:szCs w:val="18"/>
      <w:lang w:val="en-US" w:eastAsia="zh-CN" w:bidi="ar-SA"/>
    </w:rPr>
  </w:style>
  <w:style w:type="character" w:customStyle="1" w:styleId="56">
    <w:name w:val="批注主题 Char"/>
    <w:link w:val="35"/>
    <w:qFormat/>
    <w:uiPriority w:val="0"/>
    <w:rPr>
      <w:rFonts w:eastAsia="宋体"/>
      <w:b/>
      <w:bCs/>
      <w:kern w:val="2"/>
      <w:sz w:val="21"/>
      <w:szCs w:val="24"/>
      <w:lang w:val="en-US" w:eastAsia="zh-CN" w:bidi="ar-SA"/>
    </w:rPr>
  </w:style>
  <w:style w:type="character" w:customStyle="1" w:styleId="57">
    <w:name w:val="正文首行缩进 Char"/>
    <w:basedOn w:val="53"/>
    <w:link w:val="36"/>
    <w:qFormat/>
    <w:uiPriority w:val="0"/>
  </w:style>
  <w:style w:type="character" w:customStyle="1" w:styleId="58">
    <w:name w:val="标题 3 Char Char"/>
    <w:link w:val="4"/>
    <w:qFormat/>
    <w:uiPriority w:val="0"/>
    <w:rPr>
      <w:b/>
      <w:bCs/>
      <w:kern w:val="2"/>
      <w:sz w:val="32"/>
      <w:szCs w:val="32"/>
    </w:rPr>
  </w:style>
  <w:style w:type="character" w:customStyle="1" w:styleId="59">
    <w:name w:val="font161"/>
    <w:qFormat/>
    <w:uiPriority w:val="0"/>
    <w:rPr>
      <w:b/>
      <w:bCs/>
      <w:sz w:val="32"/>
      <w:szCs w:val="32"/>
    </w:rPr>
  </w:style>
  <w:style w:type="paragraph" w:customStyle="1" w:styleId="60">
    <w:name w:val="1"/>
    <w:basedOn w:val="1"/>
    <w:qFormat/>
    <w:uiPriority w:val="0"/>
  </w:style>
  <w:style w:type="paragraph" w:customStyle="1" w:styleId="6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2">
    <w:name w:val="样式2"/>
    <w:basedOn w:val="4"/>
    <w:qFormat/>
    <w:uiPriority w:val="0"/>
    <w:rPr>
      <w:i/>
    </w:rPr>
  </w:style>
  <w:style w:type="paragraph" w:customStyle="1" w:styleId="63">
    <w:name w:val="WPSOffice手动目录 1"/>
    <w:qFormat/>
    <w:uiPriority w:val="0"/>
    <w:pPr>
      <w:ind w:leftChars="0"/>
    </w:pPr>
    <w:rPr>
      <w:rFonts w:ascii="Times New Roman" w:hAnsi="Times New Roman" w:eastAsia="宋体" w:cs="Times New Roman"/>
      <w:sz w:val="20"/>
      <w:szCs w:val="20"/>
    </w:rPr>
  </w:style>
  <w:style w:type="paragraph" w:customStyle="1" w:styleId="64">
    <w:name w:val="Char1"/>
    <w:basedOn w:val="1"/>
    <w:qFormat/>
    <w:uiPriority w:val="0"/>
    <w:pPr>
      <w:tabs>
        <w:tab w:val="left" w:pos="360"/>
      </w:tabs>
    </w:pPr>
    <w:rPr>
      <w:sz w:val="24"/>
    </w:rPr>
  </w:style>
  <w:style w:type="paragraph" w:customStyle="1" w:styleId="65">
    <w:name w:val="Char"/>
    <w:basedOn w:val="1"/>
    <w:qFormat/>
    <w:uiPriority w:val="0"/>
    <w:pPr>
      <w:tabs>
        <w:tab w:val="left" w:pos="360"/>
      </w:tabs>
    </w:pPr>
    <w:rPr>
      <w:sz w:val="24"/>
    </w:rPr>
  </w:style>
  <w:style w:type="paragraph" w:customStyle="1" w:styleId="66">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Cs w:val="0"/>
      <w:sz w:val="24"/>
      <w:szCs w:val="20"/>
    </w:rPr>
  </w:style>
  <w:style w:type="paragraph" w:customStyle="1" w:styleId="67">
    <w:name w:val="WPSOffice手动目录 3"/>
    <w:qFormat/>
    <w:uiPriority w:val="0"/>
    <w:pPr>
      <w:ind w:leftChars="400"/>
    </w:pPr>
    <w:rPr>
      <w:rFonts w:ascii="Times New Roman" w:hAnsi="Times New Roman" w:eastAsia="宋体" w:cs="Times New Roman"/>
      <w:sz w:val="20"/>
      <w:szCs w:val="20"/>
    </w:rPr>
  </w:style>
  <w:style w:type="paragraph" w:customStyle="1" w:styleId="68">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9">
    <w:name w:val="Revision"/>
    <w:qFormat/>
    <w:uiPriority w:val="0"/>
    <w:rPr>
      <w:rFonts w:ascii="Times New Roman" w:hAnsi="Times New Roman" w:eastAsia="宋体" w:cs="Times New Roman"/>
      <w:kern w:val="2"/>
      <w:sz w:val="21"/>
      <w:szCs w:val="24"/>
      <w:lang w:val="en-US" w:eastAsia="zh-CN" w:bidi="ar-SA"/>
    </w:rPr>
  </w:style>
  <w:style w:type="paragraph" w:customStyle="1" w:styleId="7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Cs w:val="0"/>
      <w:sz w:val="28"/>
      <w:szCs w:val="20"/>
    </w:rPr>
  </w:style>
  <w:style w:type="paragraph" w:customStyle="1" w:styleId="71">
    <w:name w:val="样式1"/>
    <w:basedOn w:val="1"/>
    <w:next w:val="5"/>
    <w:qFormat/>
    <w:uiPriority w:val="0"/>
    <w:pPr>
      <w:spacing w:line="360" w:lineRule="auto"/>
      <w:ind w:firstLine="420" w:firstLineChars="200"/>
    </w:pPr>
    <w:rPr>
      <w:rFonts w:ascii="宋体" w:hAnsi="宋体"/>
      <w:szCs w:val="21"/>
    </w:rPr>
  </w:style>
  <w:style w:type="paragraph" w:customStyle="1" w:styleId="72">
    <w:name w:val="表格文字"/>
    <w:basedOn w:val="1"/>
    <w:qFormat/>
    <w:uiPriority w:val="0"/>
    <w:pPr>
      <w:adjustRightInd w:val="0"/>
      <w:spacing w:line="420" w:lineRule="atLeast"/>
      <w:jc w:val="left"/>
      <w:textAlignment w:val="baseline"/>
    </w:pPr>
    <w:rPr>
      <w:kern w:val="0"/>
      <w:szCs w:val="20"/>
    </w:rPr>
  </w:style>
  <w:style w:type="paragraph" w:customStyle="1" w:styleId="73">
    <w:name w:val="WPSOffice手动目录 2"/>
    <w:qFormat/>
    <w:uiPriority w:val="0"/>
    <w:pPr>
      <w:ind w:leftChars="200"/>
    </w:pPr>
    <w:rPr>
      <w:rFonts w:ascii="Times New Roman" w:hAnsi="Times New Roman" w:eastAsia="宋体" w:cs="Times New Roman"/>
      <w:sz w:val="20"/>
      <w:szCs w:val="20"/>
    </w:rPr>
  </w:style>
  <w:style w:type="paragraph" w:customStyle="1" w:styleId="74">
    <w:name w:val="表格"/>
    <w:basedOn w:val="1"/>
    <w:qFormat/>
    <w:uiPriority w:val="0"/>
    <w:pPr>
      <w:jc w:val="center"/>
      <w:textAlignment w:val="center"/>
    </w:pPr>
    <w:rPr>
      <w:rFonts w:ascii="华文细黑" w:hAnsi="华文细黑"/>
      <w:kern w:val="0"/>
      <w:szCs w:val="20"/>
    </w:rPr>
  </w:style>
  <w:style w:type="paragraph" w:customStyle="1" w:styleId="75">
    <w:name w:val="Table Text"/>
    <w:basedOn w:val="1"/>
    <w:semiHidden/>
    <w:qFormat/>
    <w:uiPriority w:val="0"/>
    <w:rPr>
      <w:rFonts w:ascii="宋体" w:hAnsi="宋体" w:eastAsia="宋体" w:cs="宋体"/>
      <w:sz w:val="20"/>
      <w:szCs w:val="20"/>
      <w:lang w:val="en-US" w:eastAsia="en-US" w:bidi="ar-SA"/>
    </w:rPr>
  </w:style>
  <w:style w:type="table" w:customStyle="1" w:styleId="76">
    <w:name w:val="Table Normal"/>
    <w:unhideWhenUsed/>
    <w:qFormat/>
    <w:uiPriority w:val="0"/>
    <w:tblPr>
      <w:tblCellMar>
        <w:top w:w="0" w:type="dxa"/>
        <w:left w:w="0" w:type="dxa"/>
        <w:bottom w:w="0" w:type="dxa"/>
        <w:right w:w="0" w:type="dxa"/>
      </w:tblCellMar>
    </w:tblPr>
  </w:style>
  <w:style w:type="paragraph" w:customStyle="1" w:styleId="77">
    <w:name w:val="Table Paragraph"/>
    <w:basedOn w:val="1"/>
    <w:qFormat/>
    <w:uiPriority w:val="1"/>
    <w:pPr>
      <w:autoSpaceDE w:val="0"/>
      <w:autoSpaceDN w:val="0"/>
      <w:adjustRightInd w:val="0"/>
      <w:jc w:val="left"/>
    </w:pPr>
    <w:rPr>
      <w:rFonts w:ascii="宋体" w:eastAsia="宋体" w:cs="宋体"/>
      <w:kern w:val="0"/>
      <w:sz w:val="24"/>
      <w:szCs w:val="24"/>
    </w:rPr>
  </w:style>
  <w:style w:type="paragraph" w:customStyle="1" w:styleId="78">
    <w:name w:val="List Paragraph1"/>
    <w:qFormat/>
    <w:uiPriority w:val="0"/>
    <w:pPr>
      <w:ind w:firstLine="420" w:firstLineChars="200"/>
    </w:pPr>
    <w:rPr>
      <w:rFonts w:ascii="Times New Roman" w:hAnsi="Times New Roman" w:eastAsia="宋体" w:cs="Times New Roman"/>
      <w:lang w:val="en-US" w:eastAsia="zh-CN" w:bidi="ar-SA"/>
    </w:rPr>
  </w:style>
  <w:style w:type="paragraph" w:customStyle="1" w:styleId="79">
    <w:name w:val="List Paragraph"/>
    <w:basedOn w:val="1"/>
    <w:qFormat/>
    <w:uiPriority w:val="0"/>
    <w:pPr>
      <w:ind w:firstLine="420" w:firstLineChars="200"/>
    </w:pPr>
  </w:style>
  <w:style w:type="paragraph" w:customStyle="1" w:styleId="8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81">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82">
    <w:name w:val="TOC 标题1"/>
    <w:basedOn w:val="2"/>
    <w:next w:val="1"/>
    <w:unhideWhenUsed/>
    <w:qFormat/>
    <w:uiPriority w:val="39"/>
    <w:pPr>
      <w:spacing w:before="240" w:line="259" w:lineRule="auto"/>
      <w:jc w:val="left"/>
      <w:outlineLvl w:val="9"/>
    </w:pPr>
    <w:rPr>
      <w:rFonts w:ascii="Calibri Light" w:hAnsi="Calibri Light" w:cs="Times New Roman"/>
      <w:b w:val="0"/>
      <w:color w:val="2E75B5"/>
      <w:kern w:val="0"/>
      <w:sz w:val="32"/>
      <w:szCs w:val="32"/>
    </w:rPr>
  </w:style>
  <w:style w:type="paragraph" w:customStyle="1" w:styleId="83">
    <w:name w:val="TOC 标题2"/>
    <w:basedOn w:val="2"/>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84">
    <w:name w:val="协议书标题2"/>
    <w:basedOn w:val="3"/>
    <w:next w:val="1"/>
    <w:qFormat/>
    <w:uiPriority w:val="0"/>
    <w:pPr>
      <w:keepNext w:val="0"/>
      <w:keepLines w:val="0"/>
      <w:numPr>
        <w:ilvl w:val="0"/>
        <w:numId w:val="1"/>
      </w:numPr>
      <w:tabs>
        <w:tab w:val="left" w:pos="567"/>
      </w:tabs>
      <w:spacing w:line="360" w:lineRule="auto"/>
      <w:ind w:firstLine="0" w:firstLineChars="0"/>
      <w:jc w:val="left"/>
    </w:pPr>
    <w:rPr>
      <w:rFonts w:ascii="宋体" w:hAnsi="宋体" w:eastAsia="宋体"/>
      <w:sz w:val="24"/>
    </w:rPr>
  </w:style>
  <w:style w:type="paragraph" w:customStyle="1" w:styleId="8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86">
    <w:name w:val="通用标题2"/>
    <w:basedOn w:val="3"/>
    <w:next w:val="1"/>
    <w:qFormat/>
    <w:uiPriority w:val="0"/>
    <w:pPr>
      <w:keepNext w:val="0"/>
      <w:keepLines w:val="0"/>
      <w:numPr>
        <w:ilvl w:val="0"/>
        <w:numId w:val="2"/>
      </w:numPr>
      <w:tabs>
        <w:tab w:val="left" w:pos="993"/>
      </w:tabs>
      <w:spacing w:line="360" w:lineRule="auto"/>
      <w:ind w:firstLineChars="0"/>
    </w:pPr>
    <w:rPr>
      <w:rFonts w:ascii="黑体" w:hAnsi="黑体"/>
    </w:rPr>
  </w:style>
  <w:style w:type="paragraph" w:customStyle="1" w:styleId="87">
    <w:name w:val="通用标题3"/>
    <w:next w:val="1"/>
    <w:qFormat/>
    <w:uiPriority w:val="0"/>
    <w:pPr>
      <w:widowControl w:val="0"/>
      <w:numPr>
        <w:ilvl w:val="1"/>
        <w:numId w:val="3"/>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88">
    <w:name w:val="通用标题4"/>
    <w:next w:val="1"/>
    <w:qFormat/>
    <w:uiPriority w:val="0"/>
    <w:pPr>
      <w:numPr>
        <w:ilvl w:val="2"/>
        <w:numId w:val="3"/>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89">
    <w:name w:val="通用标题5"/>
    <w:qFormat/>
    <w:uiPriority w:val="0"/>
    <w:pPr>
      <w:widowControl w:val="0"/>
      <w:numPr>
        <w:ilvl w:val="3"/>
        <w:numId w:val="3"/>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90">
    <w:name w:val="通用标题6"/>
    <w:basedOn w:val="1"/>
    <w:qFormat/>
    <w:uiPriority w:val="0"/>
    <w:pPr>
      <w:numPr>
        <w:ilvl w:val="4"/>
        <w:numId w:val="4"/>
      </w:numPr>
      <w:tabs>
        <w:tab w:val="left" w:pos="993"/>
      </w:tabs>
      <w:wordWrap/>
      <w:topLinePunct w:val="0"/>
      <w:ind w:firstLine="0" w:firstLineChars="0"/>
    </w:pPr>
  </w:style>
  <w:style w:type="paragraph" w:customStyle="1" w:styleId="91">
    <w:name w:val="专用标题2"/>
    <w:basedOn w:val="3"/>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92">
    <w:name w:val="附件标题"/>
    <w:basedOn w:val="3"/>
    <w:next w:val="1"/>
    <w:qFormat/>
    <w:uiPriority w:val="0"/>
    <w:pPr>
      <w:numPr>
        <w:ilvl w:val="0"/>
        <w:numId w:val="5"/>
      </w:numPr>
      <w:tabs>
        <w:tab w:val="left" w:pos="1134"/>
      </w:tabs>
      <w:spacing w:line="360" w:lineRule="auto"/>
      <w:ind w:firstLine="0" w:firstLineChars="0"/>
      <w:jc w:val="center"/>
    </w:pPr>
    <w:rPr>
      <w:rFonts w:ascii="黑体" w:hAnsi="黑体"/>
      <w:sz w:val="30"/>
      <w:szCs w:val="30"/>
    </w:rPr>
  </w:style>
  <w:style w:type="paragraph" w:customStyle="1" w:styleId="93">
    <w:name w:val="附件标题1"/>
    <w:next w:val="1"/>
    <w:qFormat/>
    <w:uiPriority w:val="0"/>
    <w:pPr>
      <w:numPr>
        <w:ilvl w:val="0"/>
        <w:numId w:val="6"/>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94">
    <w:name w:val="_Style 2"/>
    <w:basedOn w:val="1"/>
    <w:next w:val="1"/>
    <w:qFormat/>
    <w:uiPriority w:val="0"/>
    <w:pPr>
      <w:ind w:firstLine="420" w:firstLineChars="200"/>
    </w:pPr>
  </w:style>
  <w:style w:type="paragraph" w:customStyle="1" w:styleId="95">
    <w:name w:val="正文首行缩进1"/>
    <w:basedOn w:val="16"/>
    <w:qFormat/>
    <w:uiPriority w:val="0"/>
    <w:pPr>
      <w:spacing w:line="360" w:lineRule="auto"/>
      <w:ind w:firstLine="309" w:firstLineChars="100"/>
      <w:outlineLvl w:val="0"/>
    </w:pPr>
    <w:rPr>
      <w:bCs/>
      <w:color w:val="000000"/>
      <w:kern w:val="28"/>
    </w:rPr>
  </w:style>
  <w:style w:type="paragraph" w:customStyle="1" w:styleId="96">
    <w:name w:val="正文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7">
    <w:name w:val="p0"/>
    <w:basedOn w:val="1"/>
    <w:qFormat/>
    <w:uiPriority w:val="0"/>
    <w:pPr>
      <w:widowControl/>
    </w:pPr>
    <w:rPr>
      <w:rFonts w:ascii="Times New Roman" w:hAnsi="Times New Roman"/>
      <w:kern w:val="0"/>
      <w:szCs w:val="21"/>
    </w:rPr>
  </w:style>
  <w:style w:type="character" w:customStyle="1" w:styleId="98">
    <w:name w:val="样式 宋体 四号"/>
    <w:qFormat/>
    <w:uiPriority w:val="0"/>
    <w:rPr>
      <w:rFonts w:ascii="宋体" w:hAnsi="宋体" w:eastAsia="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microsoft.com/office/2006/relationships/keyMapCustomizations" Target="customizations.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3.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使用说明"/>
    </customSectPr>
    <customSectPr>
      <sectNamePr val="招标文件示范文本目录"/>
    </customSectPr>
    <customSectPr>
      <sectNamePr val="正文"/>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202</Pages>
  <Words>122437</Words>
  <Characters>129383</Characters>
  <Lines>696</Lines>
  <Paragraphs>196</Paragraphs>
  <TotalTime>36</TotalTime>
  <ScaleCrop>false</ScaleCrop>
  <LinksUpToDate>false</LinksUpToDate>
  <CharactersWithSpaces>136894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2011-08-20T23:21:00Z</dcterms:created>
  <dc:creator>1</dc:creator>
  <cp:lastModifiedBy>郑涛</cp:lastModifiedBy>
  <cp:lastPrinted>2025-02-26T11:12:00Z</cp:lastPrinted>
  <dcterms:modified xsi:type="dcterms:W3CDTF">2025-11-11T03:00:14Z</dcterms:modified>
  <dc:title>中华人民共和国</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4F9D1717CA3140B8ADF996948EE2434F_13</vt:lpwstr>
  </property>
  <property fmtid="{D5CDD505-2E9C-101B-9397-08002B2CF9AE}" pid="4" name="KSOTemplateDocerSaveRecord">
    <vt:lpwstr>eyJoZGlkIjoiODkxMTRmYmEyYjNlZTM4ZWI0YTdkYjBjODIyNjY3ZjUiLCJ1c2VySWQiOiIyMjg5NDAwOTQifQ==</vt:lpwstr>
  </property>
</Properties>
</file>